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493">
      <w:pPr>
        <w:ind w:firstLine="840"/>
        <w:jc w:val="center"/>
        <w:rPr>
          <w:rFonts w:cs="Times New Roman" w:asciiTheme="minorEastAsia" w:hAnsiTheme="minorEastAsia"/>
          <w:bCs/>
          <w:color w:val="auto"/>
          <w:sz w:val="42"/>
          <w:szCs w:val="42"/>
        </w:rPr>
      </w:pPr>
    </w:p>
    <w:p w14:paraId="542C854A">
      <w:pPr>
        <w:jc w:val="center"/>
        <w:rPr>
          <w:rFonts w:cs="Times New Roman" w:asciiTheme="minorEastAsia" w:hAnsiTheme="minorEastAsia"/>
          <w:b/>
          <w:bCs/>
          <w:color w:val="auto"/>
          <w:sz w:val="56"/>
          <w:szCs w:val="56"/>
        </w:rPr>
      </w:pPr>
      <w:r>
        <w:rPr>
          <w:rFonts w:hint="eastAsia" w:cs="Times New Roman" w:asciiTheme="minorEastAsia" w:hAnsiTheme="minorEastAsia"/>
          <w:b/>
          <w:bCs/>
          <w:color w:val="auto"/>
          <w:sz w:val="44"/>
          <w:szCs w:val="44"/>
          <w:lang w:eastAsia="zh-CN"/>
        </w:rPr>
        <w:t>三门峡市城乡一体化示范区阳店镇小河村、西水头村、下南村、下北村、下村村、南宋村、崤底村、南卿村村庄实用性规划编制项目</w:t>
      </w:r>
    </w:p>
    <w:p w14:paraId="3DECAB3E">
      <w:pPr>
        <w:jc w:val="center"/>
        <w:rPr>
          <w:rFonts w:hint="eastAsia" w:cs="Times New Roman" w:asciiTheme="minorEastAsia" w:hAnsiTheme="minorEastAsia"/>
          <w:b/>
          <w:bCs/>
          <w:color w:val="auto"/>
          <w:sz w:val="84"/>
          <w:szCs w:val="84"/>
        </w:rPr>
      </w:pPr>
    </w:p>
    <w:p w14:paraId="7EF263EA">
      <w:pPr>
        <w:jc w:val="center"/>
        <w:rPr>
          <w:rFonts w:cs="Times New Roman" w:asciiTheme="minorEastAsia" w:hAnsiTheme="minorEastAsia"/>
          <w:bCs/>
          <w:color w:val="auto"/>
          <w:sz w:val="22"/>
          <w:szCs w:val="22"/>
        </w:rPr>
      </w:pPr>
      <w:r>
        <w:rPr>
          <w:rFonts w:hint="eastAsia" w:cs="Times New Roman" w:asciiTheme="minorEastAsia" w:hAnsiTheme="minorEastAsia"/>
          <w:b/>
          <w:bCs/>
          <w:color w:val="auto"/>
          <w:sz w:val="60"/>
          <w:szCs w:val="60"/>
        </w:rPr>
        <w:t>竞争性磋商文件</w:t>
      </w:r>
    </w:p>
    <w:p w14:paraId="63AD6C34">
      <w:pPr>
        <w:jc w:val="center"/>
        <w:rPr>
          <w:rFonts w:hint="eastAsia" w:cs="Times New Roman" w:asciiTheme="minorEastAsia" w:hAnsiTheme="minorEastAsia"/>
          <w:color w:val="auto"/>
          <w:sz w:val="28"/>
          <w:szCs w:val="28"/>
          <w:highlight w:val="yellow"/>
        </w:rPr>
      </w:pPr>
      <w:r>
        <w:rPr>
          <w:rFonts w:hint="eastAsia" w:cs="Times New Roman" w:asciiTheme="minorEastAsia" w:hAnsiTheme="minorEastAsia"/>
          <w:color w:val="auto"/>
          <w:sz w:val="28"/>
          <w:szCs w:val="28"/>
        </w:rPr>
        <w:t>项目编号：</w:t>
      </w:r>
      <w:r>
        <w:rPr>
          <w:rFonts w:hint="eastAsia" w:cs="Times New Roman" w:asciiTheme="minorEastAsia" w:hAnsiTheme="minorEastAsia"/>
          <w:color w:val="auto"/>
          <w:sz w:val="28"/>
          <w:szCs w:val="28"/>
          <w:lang w:val="en-US" w:eastAsia="zh-CN"/>
        </w:rPr>
        <w:t>SGZ[2025]265-ZC181</w:t>
      </w:r>
    </w:p>
    <w:p w14:paraId="0879836D">
      <w:pPr>
        <w:jc w:val="center"/>
        <w:rPr>
          <w:rFonts w:hint="default" w:cs="Times New Roman" w:asciiTheme="minorEastAsia" w:hAnsi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 xml:space="preserve">           示范竞磋采购-2025-23</w:t>
      </w:r>
    </w:p>
    <w:p w14:paraId="696B4FC9">
      <w:pPr>
        <w:jc w:val="center"/>
        <w:rPr>
          <w:rFonts w:asciiTheme="minorEastAsia" w:hAnsiTheme="minorEastAsia" w:eastAsiaTheme="minorEastAsia"/>
          <w:color w:val="auto"/>
        </w:rPr>
      </w:pPr>
      <w:r>
        <w:rPr>
          <w:rFonts w:hint="default" w:ascii="Times New Roman" w:hAnsi="Times New Roman" w:eastAsia="宋体" w:cs="Times New Roman"/>
          <w:color w:val="auto"/>
          <w:kern w:val="2"/>
          <w:sz w:val="21"/>
          <w:szCs w:val="24"/>
          <w:lang w:val="en-US" w:eastAsia="zh-CN" w:bidi="ar"/>
        </w:rPr>
        <w:drawing>
          <wp:inline distT="0" distB="0" distL="114300" distR="114300">
            <wp:extent cx="1790700" cy="1647825"/>
            <wp:effectExtent l="0" t="0" r="0" b="9525"/>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pic:cNvPicPr>
                  </pic:nvPicPr>
                  <pic:blipFill>
                    <a:blip r:embed="rId6"/>
                    <a:stretch>
                      <a:fillRect/>
                    </a:stretch>
                  </pic:blipFill>
                  <pic:spPr>
                    <a:xfrm>
                      <a:off x="0" y="0"/>
                      <a:ext cx="1790700" cy="1647825"/>
                    </a:xfrm>
                    <a:prstGeom prst="rect">
                      <a:avLst/>
                    </a:prstGeom>
                    <a:noFill/>
                    <a:ln>
                      <a:noFill/>
                    </a:ln>
                  </pic:spPr>
                </pic:pic>
              </a:graphicData>
            </a:graphic>
          </wp:inline>
        </w:drawing>
      </w:r>
    </w:p>
    <w:p w14:paraId="23E8CFFB">
      <w:pPr>
        <w:pStyle w:val="13"/>
        <w:ind w:left="0" w:leftChars="0"/>
        <w:rPr>
          <w:rFonts w:asciiTheme="minorEastAsia" w:hAnsiTheme="minorEastAsia" w:eastAsiaTheme="minorEastAsia"/>
          <w:color w:val="auto"/>
        </w:rPr>
      </w:pPr>
    </w:p>
    <w:p w14:paraId="1EF02F82">
      <w:pPr>
        <w:ind w:firstLine="1820" w:firstLineChars="650"/>
        <w:rPr>
          <w:rFonts w:hint="eastAsia" w:cs="Times New Roman" w:asciiTheme="minorEastAsia" w:hAnsiTheme="minorEastAsia"/>
          <w:color w:val="auto"/>
          <w:sz w:val="28"/>
          <w:szCs w:val="28"/>
        </w:rPr>
      </w:pPr>
    </w:p>
    <w:p w14:paraId="594C2074">
      <w:pPr>
        <w:jc w:val="both"/>
        <w:rPr>
          <w:rFonts w:hint="eastAsia" w:cs="Times New Roman" w:asciiTheme="minorEastAsia" w:hAnsiTheme="minorEastAsia"/>
          <w:color w:val="auto"/>
          <w:sz w:val="28"/>
          <w:szCs w:val="28"/>
        </w:rPr>
      </w:pPr>
    </w:p>
    <w:p w14:paraId="7ED85857">
      <w:pPr>
        <w:jc w:val="both"/>
        <w:rPr>
          <w:rFonts w:hint="eastAsia" w:cs="Times New Roman" w:asciiTheme="minorEastAsia" w:hAnsiTheme="minorEastAsia"/>
          <w:color w:val="auto"/>
          <w:sz w:val="28"/>
          <w:szCs w:val="28"/>
        </w:rPr>
      </w:pPr>
    </w:p>
    <w:p w14:paraId="24E0EBCD">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采   购  人：灵宝市阳店镇人民政府</w:t>
      </w:r>
    </w:p>
    <w:p w14:paraId="2D3FF8B3">
      <w:pPr>
        <w:ind w:firstLine="1960" w:firstLineChars="700"/>
        <w:jc w:val="both"/>
        <w:rPr>
          <w:rFonts w:hint="eastAsia" w:cs="Times New Roman" w:asciiTheme="minorEastAsia" w:hAnsiTheme="minorEastAsia"/>
          <w:color w:val="auto"/>
          <w:sz w:val="28"/>
          <w:szCs w:val="28"/>
          <w:lang w:val="en-US" w:eastAsia="zh-CN"/>
        </w:rPr>
      </w:pPr>
      <w:r>
        <w:rPr>
          <w:rFonts w:hint="eastAsia" w:cs="Times New Roman" w:asciiTheme="minorEastAsia" w:hAnsiTheme="minorEastAsia"/>
          <w:color w:val="auto"/>
          <w:sz w:val="28"/>
          <w:szCs w:val="28"/>
        </w:rPr>
        <w:t>代 理 机 构：</w:t>
      </w:r>
      <w:r>
        <w:rPr>
          <w:rFonts w:hint="eastAsia" w:cs="Times New Roman" w:asciiTheme="minorEastAsia" w:hAnsiTheme="minorEastAsia"/>
          <w:color w:val="auto"/>
          <w:sz w:val="28"/>
          <w:szCs w:val="28"/>
          <w:lang w:val="en-US" w:eastAsia="zh-CN"/>
        </w:rPr>
        <w:t>河南康基项目管理有限公司</w:t>
      </w:r>
    </w:p>
    <w:p w14:paraId="29DB35BE">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 xml:space="preserve">     期：二〇二</w:t>
      </w:r>
      <w:r>
        <w:rPr>
          <w:rFonts w:hint="eastAsia" w:cs="Times New Roman" w:asciiTheme="minorEastAsia" w:hAnsiTheme="minorEastAsia"/>
          <w:color w:val="auto"/>
          <w:sz w:val="28"/>
          <w:szCs w:val="28"/>
          <w:lang w:val="en-US" w:eastAsia="zh-CN"/>
        </w:rPr>
        <w:t>五</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六</w:t>
      </w:r>
      <w:r>
        <w:rPr>
          <w:rFonts w:hint="eastAsia" w:cs="Times New Roman" w:asciiTheme="minorEastAsia" w:hAnsiTheme="minorEastAsia"/>
          <w:color w:val="auto"/>
          <w:sz w:val="28"/>
          <w:szCs w:val="28"/>
        </w:rPr>
        <w:t>月</w:t>
      </w:r>
    </w:p>
    <w:p w14:paraId="0286897E">
      <w:pPr>
        <w:ind w:firstLine="562"/>
        <w:jc w:val="center"/>
        <w:rPr>
          <w:rFonts w:cs="Times New Roman" w:asciiTheme="minorEastAsia" w:hAnsiTheme="minorEastAsia"/>
          <w:b/>
          <w:color w:val="auto"/>
          <w:sz w:val="28"/>
          <w:szCs w:val="28"/>
          <w:highlight w:val="yellow"/>
        </w:rPr>
        <w:sectPr>
          <w:pgSz w:w="11906" w:h="16838"/>
          <w:pgMar w:top="1440" w:right="1576" w:bottom="1440" w:left="1576" w:header="851" w:footer="992" w:gutter="0"/>
          <w:pgNumType w:start="1" w:chapStyle="1"/>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74117142"/>
      </w:sdtPr>
      <w:sdtEndPr>
        <w:rPr>
          <w:rFonts w:hint="eastAsia" w:ascii="宋体" w:hAnsi="宋体" w:eastAsia="宋体" w:cs="宋体"/>
          <w:b w:val="0"/>
          <w:bCs w:val="0"/>
          <w:color w:val="auto"/>
          <w:kern w:val="2"/>
          <w:sz w:val="28"/>
          <w:szCs w:val="28"/>
          <w:lang w:val="en-US"/>
        </w:rPr>
      </w:sdtEndPr>
      <w:sdtContent>
        <w:p w14:paraId="6031AD4E">
          <w:pPr>
            <w:pStyle w:val="36"/>
            <w:pageBreakBefore w:val="0"/>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highlight w:val="none"/>
              <w:lang w:val="zh-CN"/>
            </w:rPr>
            <w:t>目  录</w:t>
          </w:r>
        </w:p>
        <w:p w14:paraId="32FCA1CC">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_Toc30992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rPr>
            <w:t>第一章</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_Toc30992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826C54">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_Toc23158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2BF01F">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6711FF9">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EE582C">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_Toc30880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_Toc30880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D0A62A">
          <w:pPr>
            <w:pStyle w:val="17"/>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_Toc27694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磋商文件格式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4F0171">
          <w:pPr>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sdtContent>
    </w:sdt>
    <w:p w14:paraId="4526EE6A">
      <w:pPr>
        <w:spacing w:line="520" w:lineRule="exact"/>
        <w:rPr>
          <w:rFonts w:cs="Times New Roman" w:asciiTheme="minorEastAsia" w:hAnsiTheme="minorEastAsia"/>
          <w:color w:val="auto"/>
          <w:kern w:val="0"/>
          <w:sz w:val="28"/>
          <w:szCs w:val="24"/>
        </w:rPr>
      </w:pPr>
    </w:p>
    <w:p w14:paraId="4242A32A">
      <w:pPr>
        <w:spacing w:line="520" w:lineRule="exact"/>
        <w:rPr>
          <w:rFonts w:cs="Times New Roman" w:asciiTheme="minorEastAsia" w:hAnsiTheme="minorEastAsia"/>
          <w:color w:val="auto"/>
          <w:kern w:val="0"/>
          <w:sz w:val="28"/>
          <w:szCs w:val="24"/>
        </w:rPr>
      </w:pPr>
    </w:p>
    <w:p w14:paraId="6F4565F0">
      <w:pPr>
        <w:spacing w:line="520" w:lineRule="exact"/>
        <w:rPr>
          <w:rFonts w:cs="Times New Roman" w:asciiTheme="minorEastAsia" w:hAnsiTheme="minorEastAsia"/>
          <w:color w:val="auto"/>
          <w:kern w:val="0"/>
          <w:sz w:val="28"/>
          <w:szCs w:val="24"/>
        </w:rPr>
      </w:pPr>
    </w:p>
    <w:p w14:paraId="02187C5D">
      <w:pPr>
        <w:spacing w:line="520" w:lineRule="exact"/>
        <w:rPr>
          <w:rFonts w:cs="Times New Roman" w:asciiTheme="minorEastAsia" w:hAnsiTheme="minorEastAsia"/>
          <w:color w:val="auto"/>
          <w:kern w:val="0"/>
          <w:sz w:val="28"/>
          <w:szCs w:val="24"/>
        </w:rPr>
      </w:pPr>
    </w:p>
    <w:p w14:paraId="7CCC7CA0">
      <w:pPr>
        <w:spacing w:line="520" w:lineRule="exact"/>
        <w:rPr>
          <w:rFonts w:cs="Times New Roman" w:asciiTheme="minorEastAsia" w:hAnsiTheme="minorEastAsia"/>
          <w:color w:val="auto"/>
          <w:kern w:val="0"/>
          <w:sz w:val="28"/>
          <w:szCs w:val="24"/>
        </w:rPr>
      </w:pPr>
    </w:p>
    <w:p w14:paraId="42C01F7C">
      <w:pPr>
        <w:spacing w:line="520" w:lineRule="exact"/>
        <w:rPr>
          <w:rFonts w:cs="Times New Roman" w:asciiTheme="minorEastAsia" w:hAnsiTheme="minorEastAsia"/>
          <w:color w:val="auto"/>
          <w:kern w:val="0"/>
          <w:sz w:val="28"/>
          <w:szCs w:val="24"/>
        </w:rPr>
      </w:pPr>
    </w:p>
    <w:p w14:paraId="4A2474B1">
      <w:pPr>
        <w:spacing w:line="520" w:lineRule="exact"/>
        <w:rPr>
          <w:rFonts w:cs="Times New Roman" w:asciiTheme="minorEastAsia" w:hAnsiTheme="minorEastAsia"/>
          <w:color w:val="auto"/>
          <w:kern w:val="0"/>
          <w:sz w:val="28"/>
          <w:szCs w:val="24"/>
        </w:rPr>
      </w:pPr>
    </w:p>
    <w:p w14:paraId="604F01DE">
      <w:pPr>
        <w:spacing w:line="520" w:lineRule="exact"/>
        <w:rPr>
          <w:rFonts w:cs="Times New Roman" w:asciiTheme="minorEastAsia" w:hAnsiTheme="minorEastAsia"/>
          <w:color w:val="auto"/>
          <w:kern w:val="0"/>
          <w:sz w:val="28"/>
          <w:szCs w:val="24"/>
        </w:rPr>
      </w:pPr>
    </w:p>
    <w:p w14:paraId="52521BCC">
      <w:pPr>
        <w:spacing w:line="520" w:lineRule="exact"/>
        <w:rPr>
          <w:rFonts w:cs="Times New Roman" w:asciiTheme="minorEastAsia" w:hAnsiTheme="minorEastAsia"/>
          <w:color w:val="auto"/>
          <w:kern w:val="0"/>
          <w:sz w:val="28"/>
          <w:szCs w:val="24"/>
        </w:rPr>
      </w:pPr>
    </w:p>
    <w:p w14:paraId="3D719C49">
      <w:pPr>
        <w:spacing w:line="520" w:lineRule="exact"/>
        <w:rPr>
          <w:rFonts w:cs="Times New Roman" w:asciiTheme="minorEastAsia" w:hAnsiTheme="minorEastAsia"/>
          <w:color w:val="auto"/>
          <w:kern w:val="0"/>
          <w:sz w:val="28"/>
          <w:szCs w:val="24"/>
        </w:rPr>
      </w:pPr>
    </w:p>
    <w:p w14:paraId="13A99CF8">
      <w:pPr>
        <w:spacing w:line="520" w:lineRule="exact"/>
        <w:rPr>
          <w:rFonts w:cs="Times New Roman" w:asciiTheme="minorEastAsia" w:hAnsiTheme="minorEastAsia"/>
          <w:color w:val="auto"/>
          <w:kern w:val="0"/>
          <w:sz w:val="28"/>
          <w:szCs w:val="24"/>
        </w:rPr>
      </w:pPr>
      <w:r>
        <w:rPr>
          <w:rFonts w:cs="Times New Roman" w:asciiTheme="minorEastAsia" w:hAnsiTheme="minorEastAsia"/>
          <w:color w:val="auto"/>
          <w:kern w:val="0"/>
          <w:sz w:val="28"/>
          <w:szCs w:val="24"/>
        </w:rPr>
        <w:br w:type="textWrapping"/>
      </w:r>
    </w:p>
    <w:p w14:paraId="09422D36">
      <w:pPr>
        <w:pStyle w:val="3"/>
        <w:ind w:firstLine="480"/>
        <w:rPr>
          <w:rFonts w:asciiTheme="minorEastAsia" w:hAnsiTheme="minorEastAsia" w:eastAsiaTheme="minorEastAsia"/>
          <w:color w:val="auto"/>
        </w:rPr>
      </w:pPr>
    </w:p>
    <w:p w14:paraId="6EF7C111">
      <w:pPr>
        <w:spacing w:line="520" w:lineRule="exact"/>
        <w:rPr>
          <w:rFonts w:cs="Times New Roman" w:asciiTheme="minorEastAsia" w:hAnsiTheme="minorEastAsia"/>
          <w:color w:val="auto"/>
          <w:kern w:val="0"/>
          <w:sz w:val="28"/>
          <w:szCs w:val="24"/>
        </w:rPr>
      </w:pPr>
    </w:p>
    <w:p w14:paraId="29C0F1CC">
      <w:pPr>
        <w:spacing w:line="520" w:lineRule="exact"/>
        <w:rPr>
          <w:rFonts w:cs="Times New Roman" w:asciiTheme="minorEastAsia" w:hAnsiTheme="minorEastAsia"/>
          <w:color w:val="auto"/>
          <w:kern w:val="0"/>
          <w:sz w:val="28"/>
          <w:szCs w:val="24"/>
        </w:rPr>
        <w:sectPr>
          <w:footerReference r:id="rId3" w:type="default"/>
          <w:pgSz w:w="11910" w:h="16850"/>
          <w:pgMar w:top="1400" w:right="960" w:bottom="880" w:left="1160" w:header="706" w:footer="691" w:gutter="0"/>
          <w:cols w:space="720" w:num="1"/>
        </w:sectPr>
      </w:pPr>
    </w:p>
    <w:p w14:paraId="09C88B85">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0"/>
          <w:sz w:val="28"/>
          <w:szCs w:val="28"/>
        </w:rPr>
      </w:pPr>
      <w:bookmarkStart w:id="0" w:name="_Toc30992"/>
      <w:bookmarkStart w:id="1" w:name="_Toc145065050"/>
      <w:bookmarkStart w:id="2" w:name="_Toc109675032"/>
      <w:r>
        <w:rPr>
          <w:rFonts w:hint="eastAsia" w:ascii="宋体" w:hAnsi="宋体" w:eastAsia="宋体" w:cs="宋体"/>
          <w:b/>
          <w:bCs/>
          <w:color w:val="auto"/>
          <w:kern w:val="0"/>
          <w:sz w:val="28"/>
          <w:szCs w:val="28"/>
        </w:rPr>
        <w:t>第一章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竞争性磋商公告</w:t>
      </w:r>
      <w:bookmarkEnd w:id="0"/>
      <w:bookmarkEnd w:id="1"/>
      <w:bookmarkEnd w:id="2"/>
    </w:p>
    <w:p w14:paraId="7B657A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5DF720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三门峡市城乡一体化示范区阳店镇小河村、西水头村、下南村、下北村、下村村、南宋村、崤底村、南卿村村庄实用性规划编制项目</w:t>
      </w:r>
      <w:r>
        <w:rPr>
          <w:rFonts w:hint="eastAsia" w:ascii="宋体" w:hAnsi="宋体" w:eastAsia="宋体" w:cs="宋体"/>
          <w:color w:val="auto"/>
          <w:sz w:val="24"/>
          <w:szCs w:val="24"/>
        </w:rPr>
        <w:t>的潜在投标人应在三门峡市公共资源交易中心网获取磋商文件，并</w:t>
      </w:r>
      <w:r>
        <w:rPr>
          <w:rFonts w:hint="eastAsia" w:ascii="宋体" w:hAnsi="宋体" w:eastAsia="宋体" w:cs="宋体"/>
          <w:color w:val="auto"/>
          <w:sz w:val="24"/>
          <w:szCs w:val="24"/>
          <w:lang w:eastAsia="zh-CN"/>
        </w:rPr>
        <w:t>于202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日0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highlight w:val="none"/>
          <w:lang w:eastAsia="zh-CN"/>
        </w:rPr>
        <w:t>（北京时间）前递交响应文件。</w:t>
      </w:r>
    </w:p>
    <w:p w14:paraId="5A7321E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一、项目基本情况</w:t>
      </w:r>
    </w:p>
    <w:p w14:paraId="7F8EB40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t>SGZ[2025]265-ZC181</w:t>
      </w:r>
      <w:r>
        <w:rPr>
          <w:rFonts w:hint="eastAsia" w:ascii="宋体" w:hAnsi="宋体" w:eastAsia="宋体" w:cs="宋体"/>
          <w:color w:val="auto"/>
          <w:sz w:val="24"/>
          <w:szCs w:val="24"/>
          <w:highlight w:val="none"/>
          <w:lang w:eastAsia="zh-CN"/>
        </w:rPr>
        <w:t>、示范竞磋采购-202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w:t>
      </w:r>
    </w:p>
    <w:p w14:paraId="5BD0631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三门峡市城乡一体化示范区阳店镇小河村、西水头村、下南村、下北村、下村村、南宋村、崤底村、南卿村村庄实用性规划编制项目</w:t>
      </w:r>
    </w:p>
    <w:p w14:paraId="7DF4976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7987D5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00000.00元</w:t>
      </w:r>
    </w:p>
    <w:p w14:paraId="0D8AA3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00000.00元</w:t>
      </w:r>
    </w:p>
    <w:tbl>
      <w:tblPr>
        <w:tblStyle w:val="2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389"/>
        <w:gridCol w:w="2271"/>
        <w:gridCol w:w="1683"/>
        <w:gridCol w:w="1733"/>
        <w:gridCol w:w="1624"/>
      </w:tblGrid>
      <w:tr w14:paraId="33C4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58"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389"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271"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683" w:type="dxa"/>
            <w:vAlign w:val="center"/>
          </w:tcPr>
          <w:p w14:paraId="2501218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包预算（元）</w:t>
            </w:r>
          </w:p>
        </w:tc>
        <w:tc>
          <w:tcPr>
            <w:tcW w:w="1733"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c>
          <w:tcPr>
            <w:tcW w:w="1624" w:type="dxa"/>
            <w:vAlign w:val="center"/>
          </w:tcPr>
          <w:p w14:paraId="592279C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是否专门面向中小企业</w:t>
            </w:r>
          </w:p>
        </w:tc>
      </w:tr>
      <w:tr w14:paraId="00E0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58"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20" w:firstLineChars="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89"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SGZ[2025]265-ZC181-1</w:t>
            </w:r>
          </w:p>
        </w:tc>
        <w:tc>
          <w:tcPr>
            <w:tcW w:w="2271"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三门峡市城乡一体化示范区阳店镇小河村、西水头村、下南村、下北村、下村村、南宋村、崤底村、南卿村村庄实用性规划编制项目</w:t>
            </w:r>
          </w:p>
        </w:tc>
        <w:tc>
          <w:tcPr>
            <w:tcW w:w="1683"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00000.00</w:t>
            </w:r>
          </w:p>
        </w:tc>
        <w:tc>
          <w:tcPr>
            <w:tcW w:w="1733"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00000.00</w:t>
            </w:r>
          </w:p>
        </w:tc>
        <w:tc>
          <w:tcPr>
            <w:tcW w:w="1624" w:type="dxa"/>
            <w:vAlign w:val="center"/>
          </w:tcPr>
          <w:p w14:paraId="3ACF5067">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bl>
    <w:p w14:paraId="244F5AC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0FE47B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三门峡市城乡一体化示范区阳店镇小河村、西水头村、下南村、下北村、下村村、南宋村、崤底村、南卿村村庄实用性规划编制项目的全部内容，并按要求提交成果文件，协助采购人完成成果文件的备案、评审和审批等工作</w:t>
      </w:r>
      <w:r>
        <w:rPr>
          <w:rFonts w:hint="eastAsia" w:ascii="宋体" w:hAnsi="宋体" w:eastAsia="宋体" w:cs="宋体"/>
          <w:color w:val="auto"/>
          <w:sz w:val="24"/>
          <w:szCs w:val="24"/>
          <w:lang w:eastAsia="zh-CN"/>
        </w:rPr>
        <w:t>；</w:t>
      </w:r>
    </w:p>
    <w:p w14:paraId="4F48708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5.2资金来源：财政资金，已落实</w:t>
      </w:r>
      <w:r>
        <w:rPr>
          <w:rFonts w:hint="eastAsia" w:ascii="宋体" w:hAnsi="宋体" w:eastAsia="宋体" w:cs="宋体"/>
          <w:color w:val="auto"/>
          <w:sz w:val="24"/>
          <w:szCs w:val="24"/>
          <w:lang w:eastAsia="zh-CN"/>
        </w:rPr>
        <w:t>；</w:t>
      </w:r>
    </w:p>
    <w:p w14:paraId="129CADF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5.3服务期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合同签订之日起180天内完成；</w:t>
      </w:r>
    </w:p>
    <w:p w14:paraId="167BE9E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5.4质量要求：</w:t>
      </w:r>
      <w:r>
        <w:rPr>
          <w:rFonts w:hint="eastAsia" w:ascii="宋体" w:hAnsi="宋体" w:eastAsia="宋体" w:cs="宋体"/>
          <w:color w:val="auto"/>
          <w:sz w:val="24"/>
          <w:szCs w:val="24"/>
          <w:lang w:eastAsia="zh-CN"/>
        </w:rPr>
        <w:t>符合国家、行业及地方现行相关法律法规、规范及技术标准，满足采购人要求；</w:t>
      </w:r>
    </w:p>
    <w:p w14:paraId="2407310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6、合同履行期限：同服务期</w:t>
      </w:r>
      <w:r>
        <w:rPr>
          <w:rFonts w:hint="eastAsia" w:ascii="宋体" w:hAnsi="宋体" w:eastAsia="宋体" w:cs="宋体"/>
          <w:color w:val="auto"/>
          <w:sz w:val="24"/>
          <w:szCs w:val="24"/>
          <w:lang w:val="en-US" w:eastAsia="zh-CN"/>
        </w:rPr>
        <w:t>限</w:t>
      </w:r>
    </w:p>
    <w:p w14:paraId="0F449D0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A48B25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DFA63B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9、是否为只面向中小企业采购：</w:t>
      </w:r>
      <w:r>
        <w:rPr>
          <w:rFonts w:hint="eastAsia" w:ascii="宋体" w:hAnsi="宋体" w:eastAsia="宋体" w:cs="宋体"/>
          <w:color w:val="auto"/>
          <w:sz w:val="24"/>
          <w:szCs w:val="24"/>
          <w:lang w:val="en-US" w:eastAsia="zh-CN"/>
        </w:rPr>
        <w:t>否</w:t>
      </w:r>
    </w:p>
    <w:p w14:paraId="610F288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60CD08B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B40543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2.落实政府采购政策满足的资格要求：本项目非专门面向中小微企业采购项目，执行优先采购节能环保、环境标志性产品，促进中小企业（监狱企业、残疾人福利性企业）发展等政府采购政策；   </w:t>
      </w:r>
    </w:p>
    <w:p w14:paraId="22983F9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C33CB4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w:t>
      </w:r>
    </w:p>
    <w:p w14:paraId="74FED4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3.2、供应商须具有</w:t>
      </w:r>
      <w:r>
        <w:rPr>
          <w:rFonts w:hint="eastAsia" w:ascii="宋体" w:hAnsi="宋体" w:eastAsia="宋体" w:cs="宋体"/>
          <w:color w:val="auto"/>
          <w:sz w:val="24"/>
          <w:szCs w:val="24"/>
          <w:lang w:eastAsia="zh-Hans"/>
        </w:rPr>
        <w:t>相关主管部门核发的城乡规划编制乙级及以上资质或土地规划乙级及以上资质</w:t>
      </w:r>
      <w:r>
        <w:rPr>
          <w:rFonts w:hint="eastAsia" w:ascii="宋体" w:hAnsi="宋体" w:eastAsia="宋体" w:cs="宋体"/>
          <w:color w:val="auto"/>
          <w:sz w:val="24"/>
          <w:szCs w:val="24"/>
          <w:lang w:eastAsia="zh-CN"/>
        </w:rPr>
        <w:t>；</w:t>
      </w:r>
    </w:p>
    <w:p w14:paraId="7471185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Hans"/>
        </w:rPr>
        <w:t>拟派项目负责人须具有相关专业（</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lang w:eastAsia="zh-Hans"/>
        </w:rPr>
        <w:t>规划、</w:t>
      </w:r>
      <w:r>
        <w:rPr>
          <w:rFonts w:hint="eastAsia" w:ascii="宋体" w:hAnsi="宋体" w:eastAsia="宋体" w:cs="宋体"/>
          <w:color w:val="auto"/>
          <w:sz w:val="24"/>
          <w:szCs w:val="24"/>
          <w:lang w:eastAsia="zh-CN"/>
        </w:rPr>
        <w:t>城市规划、</w:t>
      </w:r>
      <w:r>
        <w:rPr>
          <w:rFonts w:hint="eastAsia" w:ascii="宋体" w:hAnsi="宋体" w:eastAsia="宋体" w:cs="宋体"/>
          <w:color w:val="auto"/>
          <w:sz w:val="24"/>
          <w:szCs w:val="24"/>
          <w:lang w:eastAsia="zh-Hans"/>
        </w:rPr>
        <w:t>土地</w:t>
      </w:r>
      <w:r>
        <w:rPr>
          <w:rFonts w:hint="eastAsia" w:ascii="宋体" w:hAnsi="宋体" w:eastAsia="宋体" w:cs="宋体"/>
          <w:color w:val="auto"/>
          <w:sz w:val="24"/>
          <w:szCs w:val="24"/>
          <w:lang w:eastAsia="zh-CN"/>
        </w:rPr>
        <w:t>规划</w:t>
      </w:r>
      <w:r>
        <w:rPr>
          <w:rFonts w:hint="eastAsia" w:ascii="宋体" w:hAnsi="宋体" w:eastAsia="宋体" w:cs="宋体"/>
          <w:color w:val="auto"/>
          <w:sz w:val="24"/>
          <w:szCs w:val="24"/>
          <w:lang w:eastAsia="zh-Hans"/>
        </w:rPr>
        <w:t>）中级及以上职称或注册城乡规划师执业资格,且为本单位正式员工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近三个月中任意一个月在职社保缴纳材料（若为刚入职新进人员，提供情况说明）</w:t>
      </w:r>
      <w:r>
        <w:rPr>
          <w:rFonts w:hint="eastAsia" w:ascii="宋体" w:hAnsi="宋体" w:eastAsia="宋体" w:cs="宋体"/>
          <w:color w:val="auto"/>
          <w:sz w:val="24"/>
          <w:szCs w:val="24"/>
        </w:rPr>
        <w:t>；</w:t>
      </w:r>
    </w:p>
    <w:p w14:paraId="58D6691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p w14:paraId="35B5EBA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35FF9EE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3.6、本项目不接受联合体投标</w:t>
      </w:r>
      <w:r>
        <w:rPr>
          <w:rFonts w:hint="eastAsia" w:ascii="宋体" w:hAnsi="宋体" w:eastAsia="宋体" w:cs="宋体"/>
          <w:color w:val="auto"/>
          <w:sz w:val="24"/>
          <w:szCs w:val="24"/>
          <w:lang w:eastAsia="zh-CN"/>
        </w:rPr>
        <w:t>；</w:t>
      </w:r>
    </w:p>
    <w:p w14:paraId="47045B9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lang w:eastAsia="zh-CN"/>
        </w:rPr>
        <w:t>本次磋商实行资格后审，资格审查的具体要求详见竞争性磋商文件。</w:t>
      </w:r>
    </w:p>
    <w:p w14:paraId="2FFA216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2839015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bookmarkStart w:id="74" w:name="_GoBack"/>
      <w:bookmarkEnd w:id="74"/>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日，每天上午00:00至12:00，下午12:00至23:59（北京时间）</w:t>
      </w:r>
    </w:p>
    <w:p w14:paraId="266CCFD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2F7C134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8CB461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1D5F4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F9F717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01424A1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447FE2A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3FBB933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4367AE3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1B9385B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w:t>
      </w:r>
      <w:r>
        <w:rPr>
          <w:rFonts w:hint="eastAsia" w:ascii="宋体" w:hAnsi="宋体" w:eastAsia="宋体" w:cs="宋体"/>
          <w:color w:val="auto"/>
          <w:sz w:val="24"/>
          <w:szCs w:val="24"/>
          <w:lang w:val="en-US" w:eastAsia="zh-CN"/>
        </w:rPr>
        <w:t>五楼</w:t>
      </w:r>
      <w:r>
        <w:rPr>
          <w:rFonts w:hint="eastAsia" w:ascii="宋体" w:hAnsi="宋体" w:eastAsia="宋体" w:cs="宋体"/>
          <w:color w:val="auto"/>
          <w:sz w:val="24"/>
          <w:szCs w:val="24"/>
        </w:rPr>
        <w:t>开标</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室</w:t>
      </w:r>
    </w:p>
    <w:p w14:paraId="2115621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7EB00AE7">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ascii="宋体" w:hAnsi="宋体" w:eastAsia="宋体" w:cs="宋体"/>
          <w:color w:val="auto"/>
          <w:sz w:val="24"/>
          <w:szCs w:val="24"/>
          <w:lang w:eastAsia="zh-CN"/>
        </w:rPr>
        <w:t>中国</w:t>
      </w:r>
      <w:r>
        <w:rPr>
          <w:rFonts w:hint="eastAsia" w:ascii="宋体" w:hAnsi="宋体" w:eastAsia="宋体" w:cs="宋体"/>
          <w:color w:val="auto"/>
          <w:sz w:val="24"/>
          <w:szCs w:val="24"/>
        </w:rPr>
        <w:t>招标投标公共服务平台》、《三门峡市公共资源交易中心网》上发布。</w:t>
      </w:r>
    </w:p>
    <w:p w14:paraId="3A41F9F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3AE357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1.本项目为不见面开标项目，开标当日，投标人无需到开标现场参加开标会议，投标人应当在投标截止时间前，登陆不见面开标大厅选择登陆三门峡市公共资源电子招投标系统进行登陆（网址为</w:t>
      </w:r>
    </w:p>
    <w:p w14:paraId="1347D68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F6D2AF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2.本项目为电子化、无纸化交易项目，开标时不再接受任何纸质资料，为保证您能投标成功，请需仔细阅读竞争性磋商文件和三门峡市公共资源交易中心官网业务办理指南。</w:t>
      </w:r>
    </w:p>
    <w:p w14:paraId="7412BC9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3.根据《河南省财政厅关于优化政府采购营商环境有关问题的通知》（豫财购【2019】4号）第6条的规定，磋商保证金不再收取。</w:t>
      </w:r>
    </w:p>
    <w:p w14:paraId="77E675D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4.本项目实行资格后审，审查内容以竞争性磋商响应文件为准，其上传资料真实性由供应商自行承担，同时，供应商请完善主体库。</w:t>
      </w:r>
    </w:p>
    <w:p w14:paraId="5383F2D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5.评标打分部分：评标打分部分仍按照100分制原则进行，涉及到资格审查、企业荣誉、企业业绩等计分部分时，以投标单位自行上传到磋商响应文件中的相应内容为准。</w:t>
      </w:r>
    </w:p>
    <w:p w14:paraId="5FFAB8F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235AD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17D93B11">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1.监督单位：三门峡市城乡一体化示范区财政局</w:t>
      </w:r>
    </w:p>
    <w:p w14:paraId="3572776C">
      <w:pPr>
        <w:keepNext w:val="0"/>
        <w:keepLines w:val="0"/>
        <w:pageBreakBefore w:val="0"/>
        <w:kinsoku/>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联系电话：0398-2751077</w:t>
      </w:r>
    </w:p>
    <w:p w14:paraId="23E51939">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 购 人：灵宝市阳店镇人民政府</w:t>
      </w:r>
    </w:p>
    <w:p w14:paraId="521CD48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地    址：阳店镇小河村</w:t>
      </w:r>
    </w:p>
    <w:p w14:paraId="589015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联 系 人：</w:t>
      </w:r>
      <w:r>
        <w:rPr>
          <w:rFonts w:hint="eastAsia" w:ascii="宋体" w:hAnsi="宋体" w:eastAsia="宋体" w:cs="宋体"/>
          <w:color w:val="auto"/>
          <w:sz w:val="24"/>
          <w:szCs w:val="24"/>
          <w:lang w:val="en-US" w:eastAsia="zh-CN"/>
        </w:rPr>
        <w:t>陈先生</w:t>
      </w:r>
    </w:p>
    <w:p w14:paraId="0F6078AD">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联系方式：13030368217</w:t>
      </w:r>
    </w:p>
    <w:p w14:paraId="536AB733">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bidi="ar"/>
        </w:rPr>
        <w:t>河南康基项目管理有限公司</w:t>
      </w:r>
    </w:p>
    <w:p w14:paraId="1D5A4D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lang w:val="en-US" w:eastAsia="zh-CN" w:bidi="ar"/>
        </w:rPr>
        <w:t>三门峡市湖滨区文明路东段6号</w:t>
      </w:r>
    </w:p>
    <w:p w14:paraId="40ED9A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联 系 人：姚先生</w:t>
      </w:r>
    </w:p>
    <w:p w14:paraId="26357A3B">
      <w:pPr>
        <w:keepNext w:val="0"/>
        <w:keepLines w:val="0"/>
        <w:pageBreakBefore w:val="0"/>
        <w:kinsoku/>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bidi="ar"/>
        </w:rPr>
        <w:t>18939044748</w:t>
      </w:r>
    </w:p>
    <w:p w14:paraId="4012A34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.项目联系方式</w:t>
      </w:r>
    </w:p>
    <w:p w14:paraId="72B15DE5">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 系 人：</w:t>
      </w:r>
      <w:r>
        <w:rPr>
          <w:rFonts w:hint="eastAsia" w:ascii="宋体" w:hAnsi="宋体" w:eastAsia="宋体" w:cs="宋体"/>
          <w:color w:val="auto"/>
          <w:kern w:val="0"/>
          <w:sz w:val="24"/>
          <w:szCs w:val="24"/>
          <w:lang w:val="en-US" w:eastAsia="zh-CN" w:bidi="ar"/>
        </w:rPr>
        <w:t>姚先生</w:t>
      </w:r>
    </w:p>
    <w:p w14:paraId="0E050004">
      <w:pPr>
        <w:keepNext w:val="0"/>
        <w:keepLines w:val="0"/>
        <w:pageBreakBefore w:val="0"/>
        <w:kinsoku/>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bidi="ar"/>
        </w:rPr>
        <w:t>18939044748</w:t>
      </w:r>
    </w:p>
    <w:p w14:paraId="5376D07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1F1AB0C">
      <w:pPr>
        <w:keepNext w:val="0"/>
        <w:keepLines w:val="0"/>
        <w:pageBreakBefore w:val="0"/>
        <w:widowControl/>
        <w:kinsoku/>
        <w:overflowPunct/>
        <w:topLinePunct w:val="0"/>
        <w:autoSpaceDE/>
        <w:autoSpaceDN/>
        <w:bidi w:val="0"/>
        <w:adjustRightInd/>
        <w:snapToGrid/>
        <w:spacing w:line="360" w:lineRule="auto"/>
        <w:ind w:firstLine="723"/>
        <w:jc w:val="center"/>
        <w:textAlignment w:val="auto"/>
        <w:outlineLvl w:val="9"/>
        <w:rPr>
          <w:rFonts w:hint="eastAsia" w:ascii="宋体" w:hAnsi="宋体" w:eastAsia="宋体" w:cs="宋体"/>
          <w:b/>
          <w:bCs/>
          <w:color w:val="auto"/>
          <w:sz w:val="24"/>
          <w:szCs w:val="24"/>
        </w:rPr>
      </w:pPr>
    </w:p>
    <w:p w14:paraId="276D0291">
      <w:pPr>
        <w:pStyle w:val="3"/>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p>
    <w:p w14:paraId="1618F76B">
      <w:pPr>
        <w:pStyle w:val="18"/>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lang w:val="en-US" w:eastAsia="zh-CN" w:bidi="ar"/>
        </w:rPr>
        <w:sectPr>
          <w:pgSz w:w="11910" w:h="16850"/>
          <w:pgMar w:top="1304" w:right="1531" w:bottom="1304" w:left="1531" w:header="706" w:footer="691" w:gutter="0"/>
          <w:cols w:space="720" w:num="1"/>
        </w:sect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
        </w:rPr>
        <w:t xml:space="preserve">   2025年6月18日</w:t>
      </w:r>
    </w:p>
    <w:p w14:paraId="7DEE7FFC">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 w:name="_Toc23158"/>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bookmarkEnd w:id="3"/>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bookmarkStart w:id="4" w:name="_Toc145065051"/>
      <w:bookmarkStart w:id="5" w:name="_Toc518571702"/>
      <w:bookmarkStart w:id="6" w:name="_Toc109675033"/>
      <w:bookmarkStart w:id="7" w:name="_Toc145065218"/>
      <w:r>
        <w:rPr>
          <w:rFonts w:hint="eastAsia" w:ascii="宋体" w:hAnsi="宋体" w:eastAsia="宋体" w:cs="宋体"/>
          <w:bCs/>
          <w:color w:val="auto"/>
          <w:sz w:val="24"/>
          <w:szCs w:val="24"/>
        </w:rPr>
        <w:t>须知前附表</w:t>
      </w:r>
      <w:bookmarkEnd w:id="4"/>
      <w:bookmarkEnd w:id="5"/>
      <w:bookmarkEnd w:id="6"/>
      <w:bookmarkEnd w:id="7"/>
    </w:p>
    <w:tbl>
      <w:tblPr>
        <w:tblStyle w:val="22"/>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项号</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内容</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综合说明与要求</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综合说明</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三门峡市城乡一体化示范区阳店镇小河村、西水头村、下南村、下北村、下村村、南宋村、崤底村、南卿村村庄实用性规划编制项目</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highlight w:val="yellow"/>
                <w:lang w:val="en-US"/>
              </w:rPr>
            </w:pPr>
            <w:r>
              <w:rPr>
                <w:rFonts w:hint="eastAsia" w:ascii="宋体" w:hAnsi="宋体" w:eastAsia="宋体" w:cs="宋体"/>
                <w:color w:val="auto"/>
                <w:sz w:val="24"/>
                <w:szCs w:val="24"/>
                <w:highlight w:val="none"/>
                <w:lang w:val="en-US" w:eastAsia="zh-CN"/>
              </w:rPr>
              <w:t>SGZ[2025]265-ZC181</w:t>
            </w:r>
            <w:r>
              <w:rPr>
                <w:rFonts w:hint="eastAsia" w:ascii="宋体" w:hAnsi="宋体" w:eastAsia="宋体" w:cs="宋体"/>
                <w:color w:val="auto"/>
                <w:sz w:val="24"/>
                <w:szCs w:val="24"/>
                <w:highlight w:val="none"/>
                <w:lang w:eastAsia="zh-CN"/>
              </w:rPr>
              <w:t>、示范竞磋采购-202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973" w:type="dxa"/>
            <w:vAlign w:val="center"/>
          </w:tcPr>
          <w:p w14:paraId="47E0F51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灵宝市阳店镇人民政府</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门峡市城乡一体化示范区阳店镇小河村、西水头村、下南村、下北村、下村村、南宋村、崤底村、南卿村村庄实用性规划编制项目的全部内容，并按要求提交成果文件，协助采购人完成成果文件的备案、评审和审批等工作</w:t>
            </w:r>
            <w:r>
              <w:rPr>
                <w:rFonts w:hint="eastAsia" w:ascii="宋体" w:hAnsi="宋体" w:eastAsia="宋体" w:cs="宋体"/>
                <w:color w:val="auto"/>
                <w:sz w:val="24"/>
                <w:szCs w:val="24"/>
              </w:rPr>
              <w:t>。</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合同签订之日起180天内完成</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投标截止之日起60日历天</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10</w:t>
            </w:r>
          </w:p>
        </w:tc>
        <w:tc>
          <w:tcPr>
            <w:tcW w:w="1701" w:type="dxa"/>
            <w:vAlign w:val="center"/>
          </w:tcPr>
          <w:p w14:paraId="1463EC0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竞争性磋商保证金</w:t>
            </w:r>
          </w:p>
        </w:tc>
        <w:tc>
          <w:tcPr>
            <w:tcW w:w="6973" w:type="dxa"/>
            <w:vAlign w:val="center"/>
          </w:tcPr>
          <w:p w14:paraId="45A7902D">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根据《河南省财政厅关于优化政府采购营商环境有关问题的通知》（豫财购【2019】4号）第6条的规定，磋商保证金不再收取。</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11</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12</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0C41EA61">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kern w:val="0"/>
                <w:sz w:val="24"/>
                <w:szCs w:val="24"/>
              </w:rPr>
              <w:t>本项目为电子化、无纸化交易项目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但中标后，中标单位在领取成交通知书时需提交纸质版响应文件（应由电子响应文件导出）3份。</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13</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14</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15</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973" w:type="dxa"/>
            <w:vAlign w:val="center"/>
          </w:tcPr>
          <w:p w14:paraId="22FFB61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地点：三门峡市公共资源交易中心</w:t>
            </w:r>
            <w:r>
              <w:rPr>
                <w:rFonts w:hint="eastAsia" w:ascii="宋体" w:hAnsi="宋体" w:eastAsia="宋体" w:cs="宋体"/>
                <w:color w:val="auto"/>
                <w:spacing w:val="6"/>
                <w:sz w:val="24"/>
                <w:szCs w:val="24"/>
                <w:lang w:val="en-US" w:eastAsia="zh-CN"/>
              </w:rPr>
              <w:t>五</w:t>
            </w:r>
            <w:r>
              <w:rPr>
                <w:rFonts w:hint="eastAsia" w:ascii="宋体" w:hAnsi="宋体" w:eastAsia="宋体" w:cs="宋体"/>
                <w:color w:val="auto"/>
                <w:sz w:val="24"/>
                <w:szCs w:val="24"/>
                <w:highlight w:val="none"/>
                <w:lang w:val="en-US" w:eastAsia="zh-CN"/>
              </w:rPr>
              <w:t>楼</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室</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16</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3461B3F5">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由采购人代表1人及有关经济、技术等方面的专家2人共3人组成；</w:t>
            </w:r>
          </w:p>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专家确定方式：由采购人依法从相关专家库随机抽取。</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17</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18</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19</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00000.00元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z w:val="24"/>
                <w:szCs w:val="24"/>
              </w:rPr>
              <w:t>磋商供应商磋商报价超出“预算价”的，该磋商供应商按无效处理。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20</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21</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本项目中小企业所属行业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其他未列明行业（技术服务业）</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招标代理费</w:t>
            </w:r>
          </w:p>
        </w:tc>
        <w:tc>
          <w:tcPr>
            <w:tcW w:w="6973" w:type="dxa"/>
            <w:vAlign w:val="center"/>
          </w:tcPr>
          <w:p w14:paraId="7FB90CD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招标代理服务费参照《河南省招标代理服务收费指导意见》（豫招协【2023】002号）计取，由</w:t>
            </w:r>
            <w:r>
              <w:rPr>
                <w:rFonts w:hint="eastAsia" w:ascii="宋体" w:hAnsi="宋体" w:eastAsia="宋体" w:cs="宋体"/>
                <w:color w:val="auto"/>
                <w:spacing w:val="6"/>
                <w:sz w:val="24"/>
                <w:szCs w:val="24"/>
                <w:lang w:val="en-US" w:eastAsia="zh-CN"/>
              </w:rPr>
              <w:t>成交</w:t>
            </w:r>
            <w:r>
              <w:rPr>
                <w:rFonts w:hint="eastAsia" w:ascii="宋体" w:hAnsi="宋体" w:eastAsia="宋体" w:cs="宋体"/>
                <w:color w:val="auto"/>
                <w:spacing w:val="6"/>
                <w:sz w:val="24"/>
                <w:szCs w:val="24"/>
              </w:rPr>
              <w:t>人</w:t>
            </w:r>
            <w:r>
              <w:rPr>
                <w:rFonts w:hint="eastAsia" w:ascii="宋体" w:hAnsi="宋体" w:eastAsia="宋体" w:cs="宋体"/>
                <w:color w:val="auto"/>
                <w:spacing w:val="6"/>
                <w:sz w:val="24"/>
                <w:szCs w:val="24"/>
                <w:lang w:eastAsia="zh-CN"/>
              </w:rPr>
              <w:t>在领取成交通知书前一次性向采购代理公司</w:t>
            </w:r>
            <w:r>
              <w:rPr>
                <w:rFonts w:hint="eastAsia" w:ascii="宋体" w:hAnsi="宋体" w:eastAsia="宋体" w:cs="宋体"/>
                <w:color w:val="auto"/>
                <w:spacing w:val="6"/>
                <w:sz w:val="24"/>
                <w:szCs w:val="24"/>
              </w:rPr>
              <w:t>支付。</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3</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14B1F06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5FE8448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p>
          <w:p w14:paraId="4F352F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https://download.bqpoint.com/download/downloadlist.html?SoftTypeCode=06进行下载。</w:t>
            </w:r>
          </w:p>
          <w:p w14:paraId="5879273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55F7225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31018DC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38E5B9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4017EEE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504E045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2F411B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w:t>
            </w:r>
          </w:p>
          <w:p w14:paraId="6BDF0EB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4D0690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256DD72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1793E2C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837449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2979198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62218EA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4F528EF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p>
          <w:p w14:paraId="5A81DEB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http://122.112.246.33/BidOpening/bidopeninghallaction/hall/login）,在线准时参加开标活动并进行响应文件解密等。</w:t>
            </w:r>
          </w:p>
          <w:p w14:paraId="383396B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A0B553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EF8D7A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4557585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682AC4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6F891AA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E1F614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响应人应保证在磋商期间电话、电脑、网络能够正常工作，响应人因停电、电脑病毒、网络堵塞等原因，未在规定的解密时间内对响应文件进行解密的，其响应文件不予接收。</w:t>
            </w:r>
          </w:p>
          <w:p w14:paraId="5AD7DE3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65E0E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0CE94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7、如评标委员会对需要回复的响应人连续三次致电未接通的，视为响应人放弃回复，评标委员会将自行对需要回复的内容进行认定。</w:t>
            </w:r>
          </w:p>
          <w:p w14:paraId="7B10D6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53885A5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085D381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D7B148C">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1B2D613">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E9717EA">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29610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一、说明</w:t>
      </w:r>
    </w:p>
    <w:p w14:paraId="3B9CA9F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1.适用范围</w:t>
      </w:r>
    </w:p>
    <w:p w14:paraId="6EF334D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本竞争性磋商文件仅适用于竞争性磋商公告中所叙述项目的相关采购。</w:t>
      </w:r>
    </w:p>
    <w:p w14:paraId="059229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2.定义</w:t>
      </w:r>
    </w:p>
    <w:p w14:paraId="383A61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2.1 “采购人”系指本次采购项目的采购单位。</w:t>
      </w:r>
    </w:p>
    <w:p w14:paraId="179B29F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2.2 “采购代理机构”系指本次采购项目活动组织方。</w:t>
      </w:r>
    </w:p>
    <w:p w14:paraId="1A95D7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2.3 “供应商”系指</w:t>
      </w:r>
      <w:r>
        <w:rPr>
          <w:rFonts w:hint="eastAsia" w:ascii="宋体" w:hAnsi="宋体" w:eastAsia="宋体" w:cs="宋体"/>
          <w:color w:val="auto"/>
          <w:spacing w:val="-3"/>
          <w:kern w:val="0"/>
          <w:sz w:val="24"/>
          <w:szCs w:val="24"/>
          <w:lang w:val="en-US" w:eastAsia="zh-CN"/>
        </w:rPr>
        <w:t>下载</w:t>
      </w:r>
      <w:r>
        <w:rPr>
          <w:rFonts w:hint="eastAsia" w:ascii="宋体" w:hAnsi="宋体" w:eastAsia="宋体" w:cs="宋体"/>
          <w:color w:val="auto"/>
          <w:spacing w:val="-3"/>
          <w:kern w:val="0"/>
          <w:sz w:val="24"/>
          <w:szCs w:val="24"/>
        </w:rPr>
        <w:t>了本次竞争性磋商文件，且已经提交本次响应性文件。</w:t>
      </w:r>
    </w:p>
    <w:p w14:paraId="3A6A473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2.4 “供应商代表”系指代表供应商参加本次磋商活动的磋商供应商的法定代表人或其委托代理人。</w:t>
      </w:r>
    </w:p>
    <w:p w14:paraId="1D85012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2.5“相关服务”系指竞争性磋商文件规定磋商供应商须承担的与本次采购项目相关的服务、协调工作以及其他类似的义务。</w:t>
      </w:r>
    </w:p>
    <w:p w14:paraId="6481C3E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3.磋商预算价</w:t>
      </w:r>
    </w:p>
    <w:p w14:paraId="6ACCBD1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kern w:val="0"/>
          <w:sz w:val="24"/>
          <w:szCs w:val="24"/>
        </w:rPr>
        <w:t>本次磋商预算价为：</w:t>
      </w:r>
      <w:r>
        <w:rPr>
          <w:rFonts w:hint="eastAsia" w:ascii="宋体" w:hAnsi="宋体" w:eastAsia="宋体" w:cs="宋体"/>
          <w:color w:val="auto"/>
          <w:spacing w:val="-3"/>
          <w:kern w:val="0"/>
          <w:sz w:val="24"/>
          <w:szCs w:val="24"/>
          <w:lang w:val="en-US" w:eastAsia="zh-CN"/>
        </w:rPr>
        <w:t>12</w:t>
      </w:r>
      <w:r>
        <w:rPr>
          <w:rFonts w:hint="eastAsia" w:ascii="宋体" w:hAnsi="宋体" w:eastAsia="宋体" w:cs="宋体"/>
          <w:color w:val="auto"/>
          <w:spacing w:val="-3"/>
          <w:kern w:val="0"/>
          <w:sz w:val="24"/>
          <w:szCs w:val="24"/>
        </w:rPr>
        <w:t>00000.00</w:t>
      </w:r>
      <w:r>
        <w:rPr>
          <w:rFonts w:hint="eastAsia" w:ascii="宋体" w:hAnsi="宋体" w:eastAsia="宋体" w:cs="宋体"/>
          <w:color w:val="auto"/>
          <w:sz w:val="24"/>
          <w:szCs w:val="24"/>
        </w:rPr>
        <w:t>元</w:t>
      </w:r>
    </w:p>
    <w:p w14:paraId="697032E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4.供应商应提交的资格证明文件</w:t>
      </w:r>
    </w:p>
    <w:p w14:paraId="26EC220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详见供应商须知</w:t>
      </w:r>
    </w:p>
    <w:p w14:paraId="2B21430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5.联合体参加磋商</w:t>
      </w:r>
    </w:p>
    <w:p w14:paraId="3F405F1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5.1 本项目不接受联合体参加磋商。</w:t>
      </w:r>
    </w:p>
    <w:p w14:paraId="14E519F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.特别说明：</w:t>
      </w:r>
    </w:p>
    <w:p w14:paraId="6A862BD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.1供应商参加磋商所使用的资格、信誉、荣誉、业绩与企业认证必须为本法人所拥有。</w:t>
      </w:r>
    </w:p>
    <w:p w14:paraId="5F8791E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.2供应商代表只能接受一个供应商的委托参加磋商。</w:t>
      </w:r>
    </w:p>
    <w:p w14:paraId="0A83E43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.3 供应商在磋商活动中提供虚假材料或从事其他违法活动的,其响应无效，由相关部门查处。</w:t>
      </w:r>
    </w:p>
    <w:p w14:paraId="0B7E06E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.质疑和投诉</w:t>
      </w:r>
    </w:p>
    <w:p w14:paraId="2892961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32452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D0E32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8</w:t>
      </w:r>
      <w:r>
        <w:rPr>
          <w:rFonts w:hint="eastAsia" w:ascii="宋体" w:hAnsi="宋体" w:eastAsia="宋体" w:cs="宋体"/>
          <w:color w:val="auto"/>
          <w:spacing w:val="-3"/>
          <w:kern w:val="0"/>
          <w:sz w:val="24"/>
          <w:szCs w:val="24"/>
        </w:rPr>
        <w:t>.供应商的风险</w:t>
      </w:r>
    </w:p>
    <w:p w14:paraId="7B61C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供应商没有按照竞争性磋商文件要求提供全部资料，或者供应商没有对响应性文件在各方面都做出实质性响应是供应商的风险，可能导致其响应被拒绝。</w:t>
      </w:r>
    </w:p>
    <w:p w14:paraId="101490A1">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3"/>
          <w:kern w:val="0"/>
          <w:sz w:val="24"/>
          <w:szCs w:val="24"/>
        </w:rPr>
      </w:pPr>
      <w:bookmarkStart w:id="8" w:name="_Toc145065052"/>
      <w:bookmarkStart w:id="9" w:name="_Toc109675034"/>
      <w:bookmarkStart w:id="10" w:name="_Toc518571704"/>
      <w:bookmarkStart w:id="11" w:name="_Toc145065219"/>
      <w:r>
        <w:rPr>
          <w:rFonts w:hint="eastAsia" w:ascii="宋体" w:hAnsi="宋体" w:eastAsia="宋体" w:cs="宋体"/>
          <w:color w:val="auto"/>
          <w:spacing w:val="-3"/>
          <w:kern w:val="0"/>
          <w:sz w:val="24"/>
          <w:szCs w:val="24"/>
        </w:rPr>
        <w:t>二、竞争性磋商文件</w:t>
      </w:r>
      <w:bookmarkEnd w:id="8"/>
      <w:bookmarkEnd w:id="9"/>
      <w:bookmarkEnd w:id="10"/>
      <w:bookmarkEnd w:id="11"/>
    </w:p>
    <w:p w14:paraId="7E239E4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10.竞争性磋商文件的构成。本竞争性磋商文件由以下部分组成：</w:t>
      </w:r>
    </w:p>
    <w:p w14:paraId="69B0C25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10.1 竞争性磋商公告</w:t>
      </w:r>
    </w:p>
    <w:p w14:paraId="33DF18FE">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10.2供应商须知</w:t>
      </w:r>
    </w:p>
    <w:p w14:paraId="11A0D16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10.3 技术要求以及相关服务内容</w:t>
      </w:r>
    </w:p>
    <w:p w14:paraId="0FBA991C">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10.4 合同条款及合同文件格式</w:t>
      </w:r>
    </w:p>
    <w:p w14:paraId="64FA63A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10.5 评审标准</w:t>
      </w:r>
    </w:p>
    <w:p w14:paraId="5402AD6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10.6磋商文件格式</w:t>
      </w:r>
    </w:p>
    <w:p w14:paraId="2ADEA97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11.竞争性磋商文件的澄清与修改</w:t>
      </w:r>
    </w:p>
    <w:p w14:paraId="19C1E9DB">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11.1 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ascii="宋体" w:hAnsi="宋体" w:eastAsia="宋体" w:cs="宋体"/>
          <w:color w:val="auto"/>
          <w:spacing w:val="-3"/>
          <w:kern w:val="0"/>
          <w:sz w:val="24"/>
          <w:szCs w:val="24"/>
          <w:lang w:eastAsia="zh-CN"/>
        </w:rPr>
        <w:t>中国</w:t>
      </w:r>
      <w:r>
        <w:rPr>
          <w:rFonts w:hint="eastAsia" w:ascii="宋体" w:hAnsi="宋体" w:eastAsia="宋体" w:cs="宋体"/>
          <w:color w:val="auto"/>
          <w:spacing w:val="-3"/>
          <w:kern w:val="0"/>
          <w:sz w:val="24"/>
          <w:szCs w:val="24"/>
        </w:rPr>
        <w:t>招标投标公共服务平台》和《三门峡市公共资源交易中心网》等相关媒体上发布更正公告。竞争性磋商文件公示期间对竞争性磋商文件进行的澄清、修改或补充不受上述限制。</w:t>
      </w:r>
    </w:p>
    <w:p w14:paraId="72CB16B9">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11.2 竞争性磋商文件澄清、修改或补充的内容为竞争性磋商文件的组成部分。</w:t>
      </w:r>
    </w:p>
    <w:p w14:paraId="648F60B6">
      <w:pPr>
        <w:keepNext w:val="0"/>
        <w:keepLines w:val="0"/>
        <w:pageBreakBefore w:val="0"/>
        <w:widowControl w:val="0"/>
        <w:kinsoku/>
        <w:wordWrap/>
        <w:overflowPunct/>
        <w:topLinePunct w:val="0"/>
        <w:autoSpaceDE w:val="0"/>
        <w:autoSpaceDN w:val="0"/>
        <w:bidi w:val="0"/>
        <w:adjustRightInd w:val="0"/>
        <w:snapToGrid/>
        <w:spacing w:line="460" w:lineRule="exact"/>
        <w:ind w:right="-58" w:firstLine="468"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3"/>
          <w:kern w:val="0"/>
          <w:sz w:val="24"/>
          <w:szCs w:val="24"/>
        </w:rPr>
        <w:t>11.3采购代理机构可以视采购具体情况，延长递交响应性文件截止时间和</w:t>
      </w:r>
      <w:r>
        <w:rPr>
          <w:rFonts w:hint="eastAsia" w:ascii="宋体" w:hAnsi="宋体" w:eastAsia="宋体" w:cs="宋体"/>
          <w:color w:val="auto"/>
          <w:spacing w:val="-4"/>
          <w:kern w:val="0"/>
          <w:sz w:val="24"/>
          <w:szCs w:val="24"/>
        </w:rPr>
        <w:t>开始磋商时间，但至少应当在竞争性磋商文件要求提交响应性文件的截止时间5日前，将在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中国</w:t>
      </w:r>
      <w:r>
        <w:rPr>
          <w:rFonts w:hint="eastAsia" w:ascii="宋体" w:hAnsi="宋体" w:eastAsia="宋体" w:cs="宋体"/>
          <w:color w:val="auto"/>
          <w:sz w:val="24"/>
          <w:szCs w:val="24"/>
        </w:rPr>
        <w:t>招标投标公共服务平台》和《三门峡市公共资源交易中心网》</w:t>
      </w:r>
      <w:r>
        <w:rPr>
          <w:rFonts w:hint="eastAsia" w:ascii="宋体" w:hAnsi="宋体" w:eastAsia="宋体" w:cs="宋体"/>
          <w:color w:val="auto"/>
          <w:spacing w:val="-4"/>
          <w:kern w:val="0"/>
          <w:sz w:val="24"/>
          <w:szCs w:val="24"/>
        </w:rPr>
        <w:t>等相关媒体上发布更正公告。</w:t>
      </w:r>
    </w:p>
    <w:p w14:paraId="2AE6F5B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bookmarkStart w:id="12" w:name="_Toc145065220"/>
      <w:bookmarkStart w:id="13" w:name="_Toc145065053"/>
      <w:bookmarkStart w:id="14" w:name="_Toc518571705"/>
      <w:bookmarkStart w:id="15" w:name="_Toc109675035"/>
      <w:r>
        <w:rPr>
          <w:rFonts w:hint="eastAsia" w:ascii="宋体" w:hAnsi="宋体" w:eastAsia="宋体" w:cs="宋体"/>
          <w:color w:val="auto"/>
          <w:spacing w:val="-3"/>
          <w:kern w:val="0"/>
          <w:sz w:val="24"/>
          <w:szCs w:val="24"/>
        </w:rPr>
        <w:t>三、响应性文件的编制</w:t>
      </w:r>
      <w:bookmarkEnd w:id="12"/>
      <w:bookmarkEnd w:id="13"/>
      <w:bookmarkEnd w:id="14"/>
      <w:bookmarkEnd w:id="15"/>
    </w:p>
    <w:p w14:paraId="222767A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12.要求</w:t>
      </w:r>
    </w:p>
    <w:p w14:paraId="6AD93A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61FF2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13.响应性文件的语言和计量单位</w:t>
      </w:r>
    </w:p>
    <w:p w14:paraId="0083069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13.1 响应性文件以及供应商与采购、代理机构就有关磋商事宜的所有来往函电均应使用简体中文书写。</w:t>
      </w:r>
    </w:p>
    <w:p w14:paraId="375C4EF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13.2 关于计量单位，竞争性磋商文件已有明确规定的，使用竞争性磋商文件规定的计量单位；竞争性磋商文件没有规定的，应采用中华人民共和国法定计量单位。</w:t>
      </w:r>
    </w:p>
    <w:p w14:paraId="5E87C0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14.响应性文件的组成。响应性文件应包括下列部分：</w:t>
      </w:r>
    </w:p>
    <w:p w14:paraId="27C3CB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14.1、磋 商 函</w:t>
      </w:r>
    </w:p>
    <w:p w14:paraId="7EF988D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14.2、磋商函附表</w:t>
      </w:r>
    </w:p>
    <w:p w14:paraId="25ABD33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14.3、法定代表人身份证明书</w:t>
      </w:r>
    </w:p>
    <w:p w14:paraId="23404F9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14.3、授权委托书</w:t>
      </w:r>
    </w:p>
    <w:p w14:paraId="0521551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14.4、投标人业绩信誉资料</w:t>
      </w:r>
    </w:p>
    <w:p w14:paraId="4722C28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14.5、资格证明资料</w:t>
      </w:r>
    </w:p>
    <w:p w14:paraId="28E8BD5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14.6、针对本项目的方案</w:t>
      </w:r>
    </w:p>
    <w:p w14:paraId="1F88DD6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14.7、服务承诺书</w:t>
      </w:r>
    </w:p>
    <w:p w14:paraId="7BFD535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14.8、项目管理机构配备情况</w:t>
      </w:r>
    </w:p>
    <w:p w14:paraId="7721D92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14.9、投标承诺函</w:t>
      </w:r>
    </w:p>
    <w:p w14:paraId="2B67A48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14.10、投标供应商资格声明函</w:t>
      </w:r>
    </w:p>
    <w:p w14:paraId="0A9059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14.11、投标人认为需要提供的其他材料</w:t>
      </w:r>
    </w:p>
    <w:p w14:paraId="5F22EA4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15.1 响应性文件从所规定的递交响应性文件截止期之后开始生效，有效期不足将导致其响应性文件被拒绝。成交供应商的响应性文件有效期至合同完全履行止。</w:t>
      </w:r>
    </w:p>
    <w:p w14:paraId="201D9FB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8EE33F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16.磋商报价</w:t>
      </w:r>
    </w:p>
    <w:p w14:paraId="6E691B9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16.1 所有磋商报价均以人民币元为计算单位。供应商的报价为项目实施所需的人工费、服务费、税费及完成项目所需其他一切费用。</w:t>
      </w:r>
    </w:p>
    <w:p w14:paraId="7607EF5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16.2供应商要按磋商函附表的内容填写。</w:t>
      </w:r>
    </w:p>
    <w:p w14:paraId="06A732F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16.3 本次磋商应以人民币报价，分两次进行报价。</w:t>
      </w:r>
    </w:p>
    <w:p w14:paraId="5FC60B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17、磋商保证金</w:t>
      </w:r>
    </w:p>
    <w:p w14:paraId="4A776913">
      <w:pPr>
        <w:keepNext w:val="0"/>
        <w:keepLines w:val="0"/>
        <w:pageBreakBefore w:val="0"/>
        <w:widowControl w:val="0"/>
        <w:kinsoku/>
        <w:wordWrap/>
        <w:overflowPunct/>
        <w:topLinePunct w:val="0"/>
        <w:bidi w:val="0"/>
        <w:snapToGrid/>
        <w:spacing w:line="46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rPr>
        <w:t>17.1</w:t>
      </w:r>
      <w:r>
        <w:rPr>
          <w:rFonts w:hint="eastAsia" w:ascii="宋体" w:hAnsi="宋体" w:eastAsia="宋体" w:cs="宋体"/>
          <w:color w:val="auto"/>
          <w:sz w:val="24"/>
          <w:szCs w:val="24"/>
        </w:rPr>
        <w:t>根据《河南省财政厅关于优化政府采购营商环境有关问题的通知》（豫财购【2019】4号）第6条的规定，保证金不再收取。</w:t>
      </w:r>
    </w:p>
    <w:p w14:paraId="73F727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 响应性文件的签署</w:t>
      </w:r>
    </w:p>
    <w:p w14:paraId="0B9A78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C077EF0">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16" w:name="_Toc109675036"/>
      <w:bookmarkStart w:id="17" w:name="_Toc518571706"/>
      <w:bookmarkStart w:id="18" w:name="_Toc145065054"/>
      <w:bookmarkStart w:id="19" w:name="_Toc145065221"/>
      <w:r>
        <w:rPr>
          <w:rFonts w:hint="eastAsia" w:ascii="宋体" w:hAnsi="宋体" w:eastAsia="宋体" w:cs="宋体"/>
          <w:color w:val="auto"/>
          <w:spacing w:val="-4"/>
          <w:kern w:val="0"/>
          <w:sz w:val="24"/>
          <w:szCs w:val="24"/>
        </w:rPr>
        <w:t>四、响应性文件的递交</w:t>
      </w:r>
      <w:bookmarkEnd w:id="16"/>
      <w:bookmarkEnd w:id="17"/>
      <w:bookmarkEnd w:id="18"/>
      <w:bookmarkEnd w:id="19"/>
    </w:p>
    <w:p w14:paraId="61F296E5">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19.响应性文件的递交</w:t>
      </w:r>
    </w:p>
    <w:p w14:paraId="233191FB">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在响应文件截止时间前上传至三门峡市公共资源交易中心系统平台。</w:t>
      </w:r>
    </w:p>
    <w:p w14:paraId="4325BB5F">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20.响应性文件的修改和撤回</w:t>
      </w:r>
    </w:p>
    <w:p w14:paraId="22700959">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20.1 供应商在递交竞争性磋商文件截止时间前，可以对所提交的响应性文件进行补充、修改或者撤回。</w:t>
      </w:r>
    </w:p>
    <w:p w14:paraId="2F7E33B8">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21.采购人或采购代理机构将拒绝接受其响应性文件：</w:t>
      </w:r>
    </w:p>
    <w:p w14:paraId="7E348B33">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 1 在竞争性磋商文件规定的递交竞争性磋商文件截止时间之后上传竞争性磋商文件的。</w:t>
      </w:r>
    </w:p>
    <w:p w14:paraId="4D12341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0" w:name="_Toc145065055"/>
      <w:bookmarkStart w:id="21" w:name="_Toc145065222"/>
      <w:bookmarkStart w:id="22" w:name="_Toc109675037"/>
      <w:bookmarkStart w:id="23" w:name="_Toc518571707"/>
      <w:r>
        <w:rPr>
          <w:rFonts w:hint="eastAsia" w:ascii="宋体" w:hAnsi="宋体" w:eastAsia="宋体" w:cs="宋体"/>
          <w:color w:val="auto"/>
          <w:spacing w:val="-4"/>
          <w:kern w:val="0"/>
          <w:sz w:val="24"/>
          <w:szCs w:val="24"/>
        </w:rPr>
        <w:t>五、磋商</w:t>
      </w:r>
      <w:bookmarkEnd w:id="20"/>
      <w:bookmarkEnd w:id="21"/>
      <w:bookmarkEnd w:id="22"/>
      <w:bookmarkEnd w:id="23"/>
    </w:p>
    <w:p w14:paraId="519C391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22、磋商仪式</w:t>
      </w:r>
    </w:p>
    <w:p w14:paraId="674CDE6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22.1采购人按本须知前附表所规定的时间和地点开标，开标会议由采购代理机构主持，在有关部门监督下进行。</w:t>
      </w:r>
    </w:p>
    <w:p w14:paraId="129CF2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22.2投标供应商无需到开标现场参加开标会议，投标供应商应当在投标截止时间前，登陆不见面开标大厅选择登陆三门峡市公共资源电子招投标系统进行登陆</w:t>
      </w:r>
    </w:p>
    <w:p w14:paraId="695DFBD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（网址为</w:t>
      </w:r>
    </w:p>
    <w:p w14:paraId="39D0000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http://120.194.249.36:10094/BidOpening/bidopeninghallaction/hall/login）,在线准时参加开标活动并进行投标文件解密等。</w:t>
      </w:r>
    </w:p>
    <w:p w14:paraId="7E1BD8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23、磋商小组</w:t>
      </w:r>
    </w:p>
    <w:p w14:paraId="58A302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采购代理机构根据采购项目的特点依法组建磋商小组。磋商小组由采购人代表1人及有关经济、技术等方面的专家2人共3人组成；</w:t>
      </w:r>
    </w:p>
    <w:p w14:paraId="0B0558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专家确定方式：由采购人依法从相关专家库随机抽取。</w:t>
      </w:r>
    </w:p>
    <w:p w14:paraId="534090D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24、磋商工作纪律及保密</w:t>
      </w:r>
    </w:p>
    <w:p w14:paraId="49EF964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评审专家应当遵守评审工作纪律，不得泄露评审情况和评审中获悉的商业秘密。</w:t>
      </w:r>
    </w:p>
    <w:p w14:paraId="0C5C5C4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25、磋商小组工作原则</w:t>
      </w:r>
    </w:p>
    <w:p w14:paraId="731C5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7D65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26、响应文件审查</w:t>
      </w:r>
    </w:p>
    <w:p w14:paraId="30BDD01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0EE1EF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27、供应商澄清</w:t>
      </w:r>
    </w:p>
    <w:p w14:paraId="78F807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磋商小组要求供应商澄清、说明或者更正响应文件将在电子系统作出。</w:t>
      </w:r>
    </w:p>
    <w:p w14:paraId="3EDB354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28、磋商程序、最后报价、综合评分</w:t>
      </w:r>
    </w:p>
    <w:p w14:paraId="6DF5759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磋商小组所有成员应当集中与单一供应商分别进行磋商，并给予所有参加磋商的供应商平等的磋商机会。</w:t>
      </w:r>
    </w:p>
    <w:p w14:paraId="1EAB4FA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4C343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磋商文件能够详细列明采购的的技术、服务要求的，磋商结束后，磋商小组将要求所有实质性响应的供应商提交最后报价。最后报价是供应商响应文件的有效组成部分。</w:t>
      </w:r>
    </w:p>
    <w:p w14:paraId="5879F76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已提交响应文件的供应商，在提交最后报价之前，可以根据情况退出磋商。</w:t>
      </w:r>
    </w:p>
    <w:p w14:paraId="18A21E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A24E20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评审时，磋商小组各成员独立对每个有效响应的文件进行评价、打分，然后汇总每个供应商每项评分因素的得分。</w:t>
      </w:r>
    </w:p>
    <w:p w14:paraId="3C16FC10">
      <w:pPr>
        <w:keepNext w:val="0"/>
        <w:keepLines w:val="0"/>
        <w:pageBreakBefore w:val="0"/>
        <w:widowControl w:val="0"/>
        <w:kinsoku/>
        <w:wordWrap/>
        <w:overflowPunct/>
        <w:topLinePunct w:val="0"/>
        <w:autoSpaceDE w:val="0"/>
        <w:autoSpaceDN w:val="0"/>
        <w:bidi w:val="0"/>
        <w:adjustRightInd w:val="0"/>
        <w:snapToGrid/>
        <w:spacing w:before="32" w:line="460" w:lineRule="exact"/>
        <w:ind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5B6C94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出现下列情形之一的，将终止竞争性磋商采购活动，发布项目终止公告并说明原因，重新开展采购活动：</w:t>
      </w:r>
    </w:p>
    <w:p w14:paraId="623C014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1、不符合法律、法规和竞争性磋商文件中规定的其他实质性要求的</w:t>
      </w:r>
    </w:p>
    <w:p w14:paraId="21A9F59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2、其他法律、法规及本竞争性磋商文件规定的属响应无效的情形。终止竞争性磋商采购活动的条款</w:t>
      </w:r>
    </w:p>
    <w:p w14:paraId="719D6FB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3、因情况变化，不再符合规定的竞争性磋商采购方式适用情形的；出现影响采购公正的违法、违规行为的；</w:t>
      </w:r>
    </w:p>
    <w:p w14:paraId="3B618E8B">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4" w:name="_Toc518571708"/>
      <w:bookmarkStart w:id="25" w:name="_Toc145065223"/>
      <w:bookmarkStart w:id="26" w:name="_Toc145065056"/>
      <w:bookmarkStart w:id="27" w:name="_Toc109675038"/>
      <w:r>
        <w:rPr>
          <w:rFonts w:hint="eastAsia" w:ascii="宋体" w:hAnsi="宋体" w:eastAsia="宋体" w:cs="宋体"/>
          <w:color w:val="auto"/>
          <w:spacing w:val="-4"/>
          <w:kern w:val="0"/>
          <w:sz w:val="24"/>
          <w:szCs w:val="24"/>
        </w:rPr>
        <w:t>六、确定成交</w:t>
      </w:r>
      <w:bookmarkEnd w:id="24"/>
      <w:bookmarkEnd w:id="25"/>
      <w:bookmarkEnd w:id="26"/>
      <w:bookmarkEnd w:id="27"/>
    </w:p>
    <w:p w14:paraId="0CEAD0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采购人在收到评审报告后2个工作日内，从评审报告提出的成交候选供应商中，按照排序由高到低的原则确定成交供应商。</w:t>
      </w:r>
    </w:p>
    <w:p w14:paraId="5694DAC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highlight w:val="none"/>
        </w:rPr>
      </w:pPr>
      <w:bookmarkStart w:id="28" w:name="_Toc109675039"/>
      <w:bookmarkStart w:id="29" w:name="_Toc145065224"/>
      <w:bookmarkStart w:id="30" w:name="_Toc145065057"/>
      <w:bookmarkStart w:id="31" w:name="_Toc518571709"/>
      <w:r>
        <w:rPr>
          <w:rFonts w:hint="eastAsia" w:ascii="宋体" w:hAnsi="宋体" w:eastAsia="宋体" w:cs="宋体"/>
          <w:color w:val="auto"/>
          <w:spacing w:val="-4"/>
          <w:kern w:val="0"/>
          <w:sz w:val="24"/>
          <w:szCs w:val="24"/>
          <w:highlight w:val="none"/>
        </w:rPr>
        <w:t>七、授予合同</w:t>
      </w:r>
      <w:bookmarkEnd w:id="28"/>
      <w:bookmarkEnd w:id="29"/>
      <w:bookmarkEnd w:id="30"/>
      <w:bookmarkEnd w:id="31"/>
    </w:p>
    <w:p w14:paraId="3EAC15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6"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b/>
          <w:bCs/>
          <w:color w:val="auto"/>
          <w:spacing w:val="-4"/>
          <w:kern w:val="0"/>
          <w:sz w:val="24"/>
          <w:szCs w:val="24"/>
          <w:highlight w:val="none"/>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eastAsia="宋体" w:cs="宋体"/>
          <w:color w:val="auto"/>
          <w:spacing w:val="-4"/>
          <w:kern w:val="0"/>
          <w:sz w:val="24"/>
          <w:szCs w:val="24"/>
          <w:highlight w:val="none"/>
        </w:rPr>
        <w:t>双方所签</w:t>
      </w:r>
      <w:r>
        <w:rPr>
          <w:rFonts w:hint="eastAsia" w:ascii="宋体" w:hAnsi="宋体" w:eastAsia="宋体" w:cs="宋体"/>
          <w:color w:val="auto"/>
          <w:spacing w:val="-4"/>
          <w:kern w:val="0"/>
          <w:sz w:val="24"/>
          <w:szCs w:val="24"/>
        </w:rPr>
        <w:t>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38DCE31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89B5E9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E2FEDF">
      <w:pPr>
        <w:pStyle w:val="12"/>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Cs/>
          <w:color w:val="auto"/>
          <w:sz w:val="24"/>
          <w:szCs w:val="24"/>
        </w:rPr>
      </w:pPr>
    </w:p>
    <w:p w14:paraId="117C419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2" w:name="_Toc109675040"/>
      <w:bookmarkStart w:id="33" w:name="_Toc2034"/>
      <w:bookmarkStart w:id="34" w:name="_Toc145065058"/>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bookmarkEnd w:id="32"/>
      <w:bookmarkEnd w:id="33"/>
      <w:bookmarkEnd w:id="34"/>
      <w:bookmarkStart w:id="35" w:name="_Toc522547233"/>
    </w:p>
    <w:p w14:paraId="0CD8C73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eastAsia="zh-CN"/>
        </w:rPr>
      </w:pPr>
      <w:r>
        <w:rPr>
          <w:rFonts w:hint="eastAsia" w:ascii="宋体" w:hAnsi="宋体" w:eastAsia="宋体" w:cs="宋体"/>
          <w:color w:val="auto"/>
          <w:spacing w:val="-4"/>
          <w:kern w:val="0"/>
          <w:sz w:val="24"/>
          <w:szCs w:val="24"/>
          <w:lang w:val="en-US" w:eastAsia="zh-CN"/>
        </w:rPr>
        <w:t>1、</w:t>
      </w:r>
      <w:r>
        <w:rPr>
          <w:rFonts w:hint="eastAsia" w:ascii="宋体" w:hAnsi="宋体" w:eastAsia="宋体" w:cs="宋体"/>
          <w:color w:val="auto"/>
          <w:spacing w:val="-4"/>
          <w:kern w:val="0"/>
          <w:sz w:val="24"/>
          <w:szCs w:val="24"/>
        </w:rPr>
        <w:t>项目名称：</w:t>
      </w:r>
      <w:r>
        <w:rPr>
          <w:rFonts w:hint="eastAsia" w:ascii="宋体" w:hAnsi="宋体" w:eastAsia="宋体" w:cs="宋体"/>
          <w:color w:val="auto"/>
          <w:spacing w:val="-4"/>
          <w:kern w:val="0"/>
          <w:sz w:val="24"/>
          <w:szCs w:val="24"/>
          <w:lang w:eastAsia="zh-CN"/>
        </w:rPr>
        <w:t>三门峡市城乡一体化示范区阳店镇小河村、西水头村、下南村、下北村、下村村、南宋村、崤底村、南卿村村庄实用性规划编制项目；</w:t>
      </w:r>
    </w:p>
    <w:p w14:paraId="1B98FB1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eastAsia="zh-CN"/>
        </w:rPr>
      </w:pPr>
      <w:r>
        <w:rPr>
          <w:rFonts w:hint="eastAsia" w:ascii="宋体" w:hAnsi="宋体" w:eastAsia="宋体" w:cs="宋体"/>
          <w:color w:val="auto"/>
          <w:spacing w:val="-4"/>
          <w:kern w:val="0"/>
          <w:sz w:val="24"/>
          <w:szCs w:val="24"/>
          <w:lang w:val="en-US" w:eastAsia="zh-CN"/>
        </w:rPr>
        <w:t>2、</w:t>
      </w:r>
      <w:r>
        <w:rPr>
          <w:rFonts w:hint="eastAsia" w:ascii="宋体" w:hAnsi="宋体" w:eastAsia="宋体" w:cs="宋体"/>
          <w:color w:val="auto"/>
          <w:spacing w:val="-4"/>
          <w:kern w:val="0"/>
          <w:sz w:val="24"/>
          <w:szCs w:val="24"/>
        </w:rPr>
        <w:t>预算金额：</w:t>
      </w:r>
      <w:r>
        <w:rPr>
          <w:rFonts w:hint="eastAsia" w:ascii="宋体" w:hAnsi="宋体" w:eastAsia="宋体" w:cs="宋体"/>
          <w:color w:val="auto"/>
          <w:spacing w:val="-4"/>
          <w:kern w:val="0"/>
          <w:sz w:val="24"/>
          <w:szCs w:val="24"/>
          <w:lang w:val="en-US" w:eastAsia="zh-CN"/>
        </w:rPr>
        <w:t>12</w:t>
      </w:r>
      <w:r>
        <w:rPr>
          <w:rFonts w:hint="eastAsia" w:ascii="宋体" w:hAnsi="宋体" w:eastAsia="宋体" w:cs="宋体"/>
          <w:color w:val="auto"/>
          <w:spacing w:val="-4"/>
          <w:kern w:val="0"/>
          <w:sz w:val="24"/>
          <w:szCs w:val="24"/>
        </w:rPr>
        <w:t>00000.00元</w:t>
      </w:r>
      <w:r>
        <w:rPr>
          <w:rFonts w:hint="eastAsia" w:ascii="宋体" w:hAnsi="宋体" w:eastAsia="宋体" w:cs="宋体"/>
          <w:color w:val="auto"/>
          <w:spacing w:val="-4"/>
          <w:kern w:val="0"/>
          <w:sz w:val="24"/>
          <w:szCs w:val="24"/>
          <w:lang w:eastAsia="zh-CN"/>
        </w:rPr>
        <w:t>；</w:t>
      </w:r>
    </w:p>
    <w:p w14:paraId="24B36E4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lang w:val="en-US" w:eastAsia="zh-CN"/>
        </w:rPr>
        <w:t>3</w:t>
      </w:r>
      <w:r>
        <w:rPr>
          <w:rFonts w:hint="eastAsia" w:ascii="宋体" w:hAnsi="宋体" w:eastAsia="宋体" w:cs="宋体"/>
          <w:color w:val="auto"/>
          <w:spacing w:val="-4"/>
          <w:kern w:val="0"/>
          <w:sz w:val="24"/>
          <w:szCs w:val="24"/>
        </w:rPr>
        <w:t>、服务期限：</w:t>
      </w:r>
      <w:r>
        <w:rPr>
          <w:rFonts w:hint="eastAsia" w:ascii="宋体" w:hAnsi="宋体" w:eastAsia="宋体" w:cs="宋体"/>
          <w:color w:val="auto"/>
          <w:spacing w:val="-4"/>
          <w:kern w:val="0"/>
          <w:sz w:val="24"/>
          <w:szCs w:val="24"/>
          <w:lang w:val="en-US" w:eastAsia="zh-CN"/>
        </w:rPr>
        <w:t>合同签订之日起180天内完成；</w:t>
      </w:r>
    </w:p>
    <w:p w14:paraId="5B7409F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lang w:val="en-US" w:eastAsia="zh-CN"/>
        </w:rPr>
        <w:t>4</w:t>
      </w:r>
      <w:r>
        <w:rPr>
          <w:rFonts w:hint="eastAsia" w:ascii="宋体" w:hAnsi="宋体" w:eastAsia="宋体" w:cs="宋体"/>
          <w:color w:val="auto"/>
          <w:spacing w:val="-4"/>
          <w:kern w:val="0"/>
          <w:sz w:val="24"/>
          <w:szCs w:val="24"/>
        </w:rPr>
        <w:t>、服务内容：</w:t>
      </w:r>
      <w:r>
        <w:rPr>
          <w:rFonts w:hint="eastAsia" w:ascii="宋体" w:hAnsi="宋体" w:eastAsia="宋体" w:cs="宋体"/>
          <w:color w:val="auto"/>
          <w:sz w:val="24"/>
          <w:szCs w:val="24"/>
          <w:lang w:val="en-US" w:eastAsia="zh-CN"/>
        </w:rPr>
        <w:t>三门峡市城乡一体化示范区阳店镇小河村、西水头村、下南村、下北村、下村村、南宋村、崤底村、南卿村村庄实用性规划编制项目的全部内容，并按要求提交成果文件，协助采购人完成成果文件的备案、评审和审批等工作</w:t>
      </w:r>
      <w:r>
        <w:rPr>
          <w:rFonts w:hint="eastAsia" w:ascii="宋体" w:hAnsi="宋体" w:eastAsia="宋体" w:cs="宋体"/>
          <w:color w:val="auto"/>
          <w:sz w:val="24"/>
          <w:szCs w:val="24"/>
        </w:rPr>
        <w:t>。</w:t>
      </w:r>
    </w:p>
    <w:p w14:paraId="6A1AF7A6">
      <w:pPr>
        <w:keepNext w:val="0"/>
        <w:keepLines w:val="0"/>
        <w:pageBreakBefore w:val="0"/>
        <w:widowControl w:val="0"/>
        <w:kinsoku/>
        <w:wordWrap/>
        <w:overflowPunct/>
        <w:topLinePunct w:val="0"/>
        <w:bidi w:val="0"/>
        <w:snapToGrid/>
        <w:spacing w:line="360" w:lineRule="auto"/>
        <w:ind w:firstLine="484" w:firstLineChars="202"/>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w:t>
      </w: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p w14:paraId="43E1DFDF">
      <w:pPr>
        <w:keepNext w:val="0"/>
        <w:keepLines w:val="0"/>
        <w:pageBreakBefore w:val="0"/>
        <w:widowControl w:val="0"/>
        <w:kinsoku/>
        <w:wordWrap/>
        <w:overflowPunct/>
        <w:topLinePunct w:val="0"/>
        <w:bidi w:val="0"/>
        <w:snapToGrid/>
        <w:spacing w:line="360" w:lineRule="auto"/>
        <w:ind w:firstLine="484" w:firstLineChars="202"/>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6、工作目标：完成村庄规划编制项目的全部内容，并按要求提交成果文件，协助采购人完成成果文件的备案、评审和审批等工作。</w:t>
      </w:r>
    </w:p>
    <w:p w14:paraId="59F5A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绩效目标：</w:t>
      </w:r>
    </w:p>
    <w:p w14:paraId="0A655739">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（1）确定村庄建设用地整治类型、范围、面积和新增耕地面积等。</w:t>
      </w:r>
    </w:p>
    <w:p w14:paraId="6EDB0ED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80" w:firstLineChars="200"/>
        <w:textAlignment w:val="auto"/>
        <w:outlineLvl w:val="9"/>
        <w:rPr>
          <w:rFonts w:cs="Times New Roman" w:asciiTheme="minorEastAsia" w:hAnsiTheme="minorEastAsia"/>
          <w:b/>
          <w:color w:val="auto"/>
          <w:sz w:val="36"/>
          <w:szCs w:val="36"/>
        </w:rPr>
        <w:sectPr>
          <w:pgSz w:w="11910" w:h="16850"/>
          <w:pgMar w:top="1417" w:right="1304" w:bottom="1417" w:left="1304" w:header="706" w:footer="691" w:gutter="0"/>
          <w:cols w:space="720" w:num="1"/>
        </w:sectPr>
      </w:pPr>
      <w:r>
        <w:rPr>
          <w:rFonts w:hint="eastAsia" w:ascii="宋体" w:hAnsi="宋体" w:eastAsia="宋体" w:cs="宋体"/>
          <w:color w:val="auto"/>
          <w:sz w:val="24"/>
          <w:szCs w:val="24"/>
        </w:rPr>
        <w:t>（2）落实乡村振兴战略，引领乡村建设行动，优化村庄布局，保障乡村产业发展用地，推动乡村地区高质量发展。</w:t>
      </w:r>
      <w:r>
        <w:rPr>
          <w:rFonts w:hint="eastAsia" w:ascii="宋体" w:hAnsi="宋体"/>
          <w:color w:val="auto"/>
          <w:sz w:val="28"/>
          <w:szCs w:val="28"/>
        </w:rPr>
        <w:br w:type="page"/>
      </w:r>
    </w:p>
    <w:p w14:paraId="20111CB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6" w:name="_Toc20385"/>
      <w:r>
        <w:rPr>
          <w:rFonts w:hint="eastAsia" w:ascii="宋体" w:hAnsi="宋体" w:eastAsia="宋体" w:cs="宋体"/>
          <w:color w:val="auto"/>
          <w:sz w:val="28"/>
          <w:szCs w:val="28"/>
        </w:rPr>
        <w:t>第四章</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bookmarkEnd w:id="35"/>
      <w:bookmarkEnd w:id="36"/>
    </w:p>
    <w:p w14:paraId="71064E2B">
      <w:pPr>
        <w:keepNext w:val="0"/>
        <w:keepLines w:val="0"/>
        <w:pageBreakBefore w:val="0"/>
        <w:widowControl w:val="0"/>
        <w:kinsoku/>
        <w:wordWrap/>
        <w:overflowPunct/>
        <w:topLinePunct w:val="0"/>
        <w:autoSpaceDE w:val="0"/>
        <w:autoSpaceDN w:val="0"/>
        <w:bidi w:val="0"/>
        <w:adjustRightInd/>
        <w:snapToGrid/>
        <w:spacing w:line="510" w:lineRule="exact"/>
        <w:ind w:firstLine="560"/>
        <w:jc w:val="center"/>
        <w:textAlignment w:val="auto"/>
        <w:outlineLvl w:val="9"/>
        <w:rPr>
          <w:rFonts w:hint="eastAsia" w:ascii="宋体" w:hAnsi="宋体" w:eastAsia="宋体" w:cs="宋体"/>
          <w:color w:val="auto"/>
          <w:kern w:val="0"/>
          <w:sz w:val="28"/>
          <w:szCs w:val="28"/>
          <w:lang w:val="zh-CN"/>
        </w:rPr>
      </w:pPr>
    </w:p>
    <w:p w14:paraId="0BAE6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47"/>
          <w:rFonts w:hint="eastAsia" w:ascii="宋体" w:hAnsi="宋体" w:eastAsia="宋体" w:cs="宋体"/>
          <w:color w:val="auto"/>
          <w:sz w:val="24"/>
          <w:szCs w:val="24"/>
        </w:rPr>
      </w:pPr>
      <w:r>
        <w:rPr>
          <w:rFonts w:hint="eastAsia" w:ascii="宋体" w:hAnsi="宋体" w:eastAsia="宋体" w:cs="宋体"/>
          <w:b/>
          <w:color w:val="auto"/>
          <w:sz w:val="24"/>
          <w:szCs w:val="24"/>
        </w:rPr>
        <w:t>合同签订特别说明：按《三门峡市财政局关于市本级政府采购合同备案管理工作的通知》（三财购[2021]9号）文要求，集中采购目录以外政府采购项目，原则上自中标通知书发出之日起2个工作日内与中标（成交）投标人按照采购文件确定的事项与投标人签订政府采购合同。</w:t>
      </w:r>
    </w:p>
    <w:p w14:paraId="50D25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40A0D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（仅供参考，最终以发包人与承包人协商一致签订合同为准）</w:t>
      </w:r>
    </w:p>
    <w:p w14:paraId="1E29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4DC73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D314F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3C4C83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005EA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规划编制合同</w:t>
      </w:r>
    </w:p>
    <w:p w14:paraId="3B528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2790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20490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8C8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5220FC">
      <w:pPr>
        <w:pStyle w:val="2"/>
        <w:rPr>
          <w:rFonts w:hint="eastAsia" w:ascii="宋体" w:hAnsi="宋体" w:eastAsia="宋体" w:cs="宋体"/>
          <w:color w:val="auto"/>
          <w:sz w:val="24"/>
          <w:szCs w:val="24"/>
        </w:rPr>
      </w:pPr>
    </w:p>
    <w:p w14:paraId="273544CA">
      <w:pPr>
        <w:pStyle w:val="6"/>
        <w:rPr>
          <w:rFonts w:hint="eastAsia" w:ascii="宋体" w:hAnsi="宋体" w:eastAsia="宋体" w:cs="宋体"/>
          <w:color w:val="auto"/>
          <w:sz w:val="24"/>
          <w:szCs w:val="24"/>
        </w:rPr>
      </w:pPr>
    </w:p>
    <w:p w14:paraId="24D544AB">
      <w:pPr>
        <w:rPr>
          <w:rFonts w:hint="eastAsia" w:ascii="宋体" w:hAnsi="宋体" w:eastAsia="宋体" w:cs="宋体"/>
          <w:color w:val="auto"/>
          <w:sz w:val="24"/>
          <w:szCs w:val="24"/>
        </w:rPr>
      </w:pPr>
    </w:p>
    <w:p w14:paraId="1BBA1627">
      <w:pPr>
        <w:pStyle w:val="2"/>
        <w:rPr>
          <w:rFonts w:hint="eastAsia"/>
          <w:color w:val="auto"/>
        </w:rPr>
      </w:pPr>
    </w:p>
    <w:p w14:paraId="2EE6B0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890607F">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7C9CDDB">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3E8951DC">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0F66F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79CE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甲方（全称）：</w:t>
      </w:r>
    </w:p>
    <w:p w14:paraId="6ABB6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乙方（全称）：</w:t>
      </w:r>
    </w:p>
    <w:p w14:paraId="090FB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根据《中华人民共和国民法典》及有关法律规定，遵循平等、自愿、公平和诚实信用的原则，双方就</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及有关事项协商一致，共同达成如下协议：</w:t>
      </w:r>
    </w:p>
    <w:p w14:paraId="7F423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本合同签订依据</w:t>
      </w:r>
    </w:p>
    <w:p w14:paraId="1B5D8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1.1《中华人民共和国民法典》、《中华人民共和国城乡规划法》、《城市规划编制办法实施细则》等。</w:t>
      </w:r>
    </w:p>
    <w:p w14:paraId="50A62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国家及地方有关城市规划编制、管理、审批的法规和规章。</w:t>
      </w:r>
    </w:p>
    <w:p w14:paraId="20B82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本合同规划编制项目的基本内容</w:t>
      </w:r>
    </w:p>
    <w:p w14:paraId="1A97D6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2.1项目名称：</w:t>
      </w:r>
      <w:r>
        <w:rPr>
          <w:rFonts w:hint="eastAsia" w:ascii="宋体" w:hAnsi="宋体" w:eastAsia="宋体" w:cs="宋体"/>
          <w:color w:val="auto"/>
          <w:sz w:val="24"/>
          <w:szCs w:val="24"/>
          <w:u w:val="single"/>
        </w:rPr>
        <w:t xml:space="preserve">                  </w:t>
      </w:r>
    </w:p>
    <w:p w14:paraId="46F2EC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2.2服务内容：</w:t>
      </w:r>
      <w:r>
        <w:rPr>
          <w:rFonts w:hint="eastAsia" w:ascii="宋体" w:hAnsi="宋体" w:eastAsia="宋体" w:cs="宋体"/>
          <w:color w:val="auto"/>
          <w:sz w:val="24"/>
          <w:szCs w:val="24"/>
          <w:u w:val="single"/>
        </w:rPr>
        <w:t xml:space="preserve">                  </w:t>
      </w:r>
    </w:p>
    <w:p w14:paraId="3165B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规划设计内容及深度</w:t>
      </w:r>
    </w:p>
    <w:p w14:paraId="6FC85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上述范围内的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规划，符合《城市规划编制办法》对规划的深度要求。</w:t>
      </w:r>
    </w:p>
    <w:p w14:paraId="7F2EB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甲方应向乙方提交以下基础资料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138"/>
        <w:gridCol w:w="1704"/>
        <w:gridCol w:w="1705"/>
        <w:gridCol w:w="1705"/>
      </w:tblGrid>
      <w:tr w14:paraId="7C32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F279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38" w:type="dxa"/>
            <w:vAlign w:val="top"/>
          </w:tcPr>
          <w:p w14:paraId="1A5FA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基础资料名称</w:t>
            </w:r>
          </w:p>
        </w:tc>
        <w:tc>
          <w:tcPr>
            <w:tcW w:w="1704" w:type="dxa"/>
            <w:vAlign w:val="top"/>
          </w:tcPr>
          <w:p w14:paraId="360B3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份数</w:t>
            </w:r>
          </w:p>
        </w:tc>
        <w:tc>
          <w:tcPr>
            <w:tcW w:w="1705" w:type="dxa"/>
            <w:vAlign w:val="top"/>
          </w:tcPr>
          <w:p w14:paraId="70F9DB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1705" w:type="dxa"/>
            <w:vAlign w:val="top"/>
          </w:tcPr>
          <w:p w14:paraId="1B73A8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有关事宜</w:t>
            </w:r>
          </w:p>
        </w:tc>
      </w:tr>
      <w:tr w14:paraId="624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9188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336B6B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3C9BDF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052E80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641ABE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7B0B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67ACD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0ECC03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343C51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37877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5B7D94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18D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71478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0C97C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2F964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77EF9E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587FA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225D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3000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24704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454216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34FAFD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1A4EB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bl>
    <w:p w14:paraId="5F8AA1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乙方应向甲方交付的规划设计图纸文件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68"/>
        <w:gridCol w:w="1911"/>
        <w:gridCol w:w="1553"/>
        <w:gridCol w:w="1467"/>
      </w:tblGrid>
      <w:tr w14:paraId="5E7B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10A75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68" w:type="dxa"/>
            <w:vAlign w:val="top"/>
          </w:tcPr>
          <w:p w14:paraId="7B16A4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规划文件和图纸名称</w:t>
            </w:r>
          </w:p>
        </w:tc>
        <w:tc>
          <w:tcPr>
            <w:tcW w:w="1911" w:type="dxa"/>
            <w:vAlign w:val="top"/>
          </w:tcPr>
          <w:p w14:paraId="7366F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正式成果份数</w:t>
            </w:r>
          </w:p>
        </w:tc>
        <w:tc>
          <w:tcPr>
            <w:tcW w:w="1553" w:type="dxa"/>
            <w:vAlign w:val="top"/>
          </w:tcPr>
          <w:p w14:paraId="40FDE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1467" w:type="dxa"/>
            <w:vAlign w:val="top"/>
          </w:tcPr>
          <w:p w14:paraId="3FA676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有关事宜</w:t>
            </w:r>
          </w:p>
        </w:tc>
      </w:tr>
      <w:tr w14:paraId="282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7FD5D6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3CFF1C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3AAFB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4927D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12A43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44A9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6FD60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24256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15BAA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4B571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0EFDB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57E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534F5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4FB62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073A2D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74B08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7B0F3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3E15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3B7766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6B93B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7A7B6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275B48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59F24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bl>
    <w:p w14:paraId="21532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第六条 项目进度</w:t>
      </w:r>
    </w:p>
    <w:p w14:paraId="6B7CD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6.1初步设计阶段：乙方踏勘现场，对基础资料进行收集、整理方案，提交甲方组织相关人员进行讨论，确定一个概念性规划设计方案并提出书面修改意见进行规划工作。本阶段工作时间为为____个工作日。</w:t>
      </w:r>
    </w:p>
    <w:p w14:paraId="316FB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6.2方案深化调整阶段：乙方根据甲方确定的概念性规划方案进行规划的深化设计，甲方对本阶段设计方案进行确认并提出书面修改意见完成规划设计成果供专家评审。本阶段工作时间自甲方提出书面确认意见后为 ____个工作日。</w:t>
      </w:r>
    </w:p>
    <w:p w14:paraId="42441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6.3提交规划成果阶段 :乙方根据甲方提供评审鉴定意见和书面修改意见对规划进行修改完善后，提交甲方正式规划成果。本阶段工作时间自收到甲方书面修改意见后为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个工作日。</w:t>
      </w:r>
    </w:p>
    <w:p w14:paraId="45758B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设计取费及付款方式</w:t>
      </w:r>
    </w:p>
    <w:p w14:paraId="703189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7.1取费标准及费用总额</w:t>
      </w:r>
    </w:p>
    <w:p w14:paraId="43350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依据国内同类规划取费的平均水平，确定本项目设计取费为____万元， 总计费用大写_____万元整。</w:t>
      </w:r>
    </w:p>
    <w:p w14:paraId="003F0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7.2付款方式：</w:t>
      </w:r>
      <w:r>
        <w:rPr>
          <w:rFonts w:hint="eastAsia" w:ascii="宋体" w:hAnsi="宋体" w:eastAsia="宋体" w:cs="宋体"/>
          <w:color w:val="auto"/>
          <w:sz w:val="24"/>
          <w:szCs w:val="24"/>
          <w:u w:val="single"/>
        </w:rPr>
        <w:t xml:space="preserve">                         </w:t>
      </w:r>
    </w:p>
    <w:p w14:paraId="632B14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双方责任</w:t>
      </w:r>
    </w:p>
    <w:p w14:paraId="7064E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甲方责任</w:t>
      </w:r>
    </w:p>
    <w:p w14:paraId="316959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8.1.1 甲方按本合同第四条规定的内容，在规定的时间内向乙方提交有关基础资料，并对其完整性、正确性及时限负责，甲方不得要求乙方违反国家有关标准进行规划编制。</w:t>
      </w:r>
    </w:p>
    <w:p w14:paraId="78AA2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8.1.2 甲方提交有关基础资料超过规定期限15天以内，乙方按合同第五条规定交付设计文件时间顺延；超过规定期限 15天以上时，乙方有权重新确定提交设计文件的时间。</w:t>
      </w:r>
    </w:p>
    <w:p w14:paraId="76D91D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8.1.3 甲方变更委托设计项目、规模、条件或因提交的基础资料错误，或所提交资料作较大修改，以致造成乙方设计需返工时，双方除需另行协商签订补充协议 (或另订合同 )、重新明确有关条款外，甲方应按乙方所耗工作量向乙方增付规划编制费。</w:t>
      </w:r>
    </w:p>
    <w:p w14:paraId="359DB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8.1.4 甲方应为派赴现场从事现场勘察、收集基础资料、汇报方案等处理有关规划编制问题的乙方人员，提供必要的工作生活及交通等方便条件。</w:t>
      </w:r>
    </w:p>
    <w:p w14:paraId="158F5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8.1.5甲方负责组织初步方案论证、评审、技术审查和论证、评审意见的汇总，并及时将与本项目有关的信息反馈乙方。</w:t>
      </w:r>
    </w:p>
    <w:p w14:paraId="5C68B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8.2乙方责任</w:t>
      </w:r>
    </w:p>
    <w:p w14:paraId="4BBFD6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8.2.1乙方配合甲方做好基础资料收集工作。</w:t>
      </w:r>
    </w:p>
    <w:p w14:paraId="512F34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8.2.2乙方应按国家技术规范、标准、规程及甲方提出的规划设计编制要求，进行规划设计编制，按合同规定的进度要求提交质量合格的设计成果，并对其负责。</w:t>
      </w:r>
    </w:p>
    <w:p w14:paraId="0AEFE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8.2.3乙方按本合同第二条和第五条规定的内容、进度及份数向甲方交付资料及文件。</w:t>
      </w:r>
    </w:p>
    <w:p w14:paraId="56AA8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8.2.4乙方配合甲方做好各规划设计编制阶段的汇报工作。</w:t>
      </w:r>
    </w:p>
    <w:p w14:paraId="2D3F5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违约责任</w:t>
      </w:r>
    </w:p>
    <w:p w14:paraId="50C738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在合同履行期间，甲方要求终止或解除合同，乙方已开始设计工作的，甲方应根据乙方已进行的实际工作量，按实支付设计费。</w:t>
      </w:r>
    </w:p>
    <w:p w14:paraId="16FEC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甲方应按本合同第七条规定的金额和时间向乙方支付设计费，每逾期支付一天，应承担支付金额千分之二的逾期违约金。逾期超过 30天以上时，乙方有权暂停履行下阶段工作，并书面通知甲方。</w:t>
      </w:r>
    </w:p>
    <w:p w14:paraId="7CE12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9.3乙方对文件 及图纸出现的遗漏或错误负责修改或补充。</w:t>
      </w:r>
    </w:p>
    <w:p w14:paraId="666822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9.4由于乙方的错误，给甲方造成经济损失时，乙方应及时采取措施予以补救，并视损失大小，减收或免损失部分的设计费，直至付给甲方与直接受损失部分设计费相等的赔偿金。</w:t>
      </w:r>
    </w:p>
    <w:p w14:paraId="59C4C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 由于乙方自身原因，延误了按本合同第六条规定的规划文件及图纸的交付时间，每延误一天，应减收该项目应收设计费的千分之二，合同生效后，乙方要求终止或解除合同，乙方应双倍返还定金。</w:t>
      </w:r>
    </w:p>
    <w:p w14:paraId="472BA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其他</w:t>
      </w:r>
    </w:p>
    <w:p w14:paraId="67B45F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10.1甲方委托乙方承担本合同内容之外的工作服务，另行支付费用。</w:t>
      </w:r>
    </w:p>
    <w:p w14:paraId="041E7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10.2由于不可抗力因素致使合同无法履行时，双方应及时协商解决。</w:t>
      </w:r>
    </w:p>
    <w:p w14:paraId="2DAB69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本合同发生争议，双方当事人应及时协商解决。也可由上级规划行政主管部门调解，调解不成时，双方当事人同意由项目所在地仲裁委员会仲裁。双方当事人未在合同中约定仲裁机构，事后又未达成仲裁书面协议的，可向项目当地人民法院起诉。</w:t>
      </w:r>
    </w:p>
    <w:p w14:paraId="02CCAA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10.4本合同一式 ____ 份，甲方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08336C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 本合同生效后，双方认为必要时，到项目所在地工商行政管理部门申请鉴证。</w:t>
      </w:r>
    </w:p>
    <w:p w14:paraId="287F13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10.6双方履行完合同规定的义务后，本合同即行终止。</w:t>
      </w:r>
    </w:p>
    <w:p w14:paraId="3A8F3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10.7本合同未尽事宜，双方可签订补充协议，有关协议及双方认可的来往电报、传真、会议纪要等，均为本合同组成部分，与本合同具有同等法律效力。</w:t>
      </w:r>
    </w:p>
    <w:p w14:paraId="5C9942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5A46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                           乙 方：</w:t>
      </w:r>
    </w:p>
    <w:p w14:paraId="4BCEC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名称：（盖章）                   名称 ：（盖章）</w:t>
      </w:r>
    </w:p>
    <w:p w14:paraId="04FE82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14:paraId="78EA7A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             法定代表人（签字）：</w:t>
      </w:r>
    </w:p>
    <w:p w14:paraId="7886B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授权代表（签字）：               授权代表（签字）：</w:t>
      </w:r>
    </w:p>
    <w:p w14:paraId="131596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14:paraId="23CA6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银行帐号：                       银行帐号：</w:t>
      </w:r>
    </w:p>
    <w:p w14:paraId="393C7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30297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6505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EA6C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注：本合同仅作为参考，具体合同条款由甲乙双方协商约定。</w:t>
      </w:r>
    </w:p>
    <w:p w14:paraId="6BE8F28F">
      <w:pPr>
        <w:spacing w:line="600" w:lineRule="exact"/>
        <w:jc w:val="center"/>
        <w:rPr>
          <w:rFonts w:hint="eastAsia" w:ascii="宋体" w:hAnsi="宋体"/>
          <w:color w:val="auto"/>
          <w:sz w:val="28"/>
          <w:szCs w:val="28"/>
        </w:rPr>
      </w:pPr>
    </w:p>
    <w:p w14:paraId="6FE0C2A7">
      <w:pPr>
        <w:pStyle w:val="2"/>
        <w:rPr>
          <w:rFonts w:hint="eastAsia" w:ascii="宋体" w:hAnsi="宋体"/>
          <w:color w:val="auto"/>
          <w:sz w:val="28"/>
          <w:szCs w:val="28"/>
        </w:rPr>
      </w:pPr>
    </w:p>
    <w:p w14:paraId="18F396D5">
      <w:pPr>
        <w:pStyle w:val="6"/>
        <w:rPr>
          <w:rFonts w:hint="eastAsia" w:ascii="宋体" w:hAnsi="宋体"/>
          <w:color w:val="auto"/>
          <w:sz w:val="28"/>
          <w:szCs w:val="28"/>
        </w:rPr>
      </w:pPr>
    </w:p>
    <w:p w14:paraId="23A94C53">
      <w:pPr>
        <w:rPr>
          <w:rFonts w:hint="eastAsia" w:ascii="宋体" w:hAnsi="宋体"/>
          <w:color w:val="auto"/>
          <w:sz w:val="28"/>
          <w:szCs w:val="28"/>
        </w:rPr>
      </w:pPr>
    </w:p>
    <w:p w14:paraId="5AFC5089">
      <w:pPr>
        <w:pStyle w:val="2"/>
        <w:rPr>
          <w:rFonts w:hint="eastAsia" w:ascii="宋体" w:hAnsi="宋体"/>
          <w:color w:val="auto"/>
          <w:sz w:val="28"/>
          <w:szCs w:val="28"/>
        </w:rPr>
      </w:pPr>
    </w:p>
    <w:p w14:paraId="4E8DE878">
      <w:pPr>
        <w:pStyle w:val="6"/>
        <w:rPr>
          <w:rFonts w:hint="eastAsia" w:ascii="宋体" w:hAnsi="宋体"/>
          <w:color w:val="auto"/>
          <w:sz w:val="28"/>
          <w:szCs w:val="28"/>
        </w:rPr>
      </w:pPr>
    </w:p>
    <w:p w14:paraId="19A245D9">
      <w:pPr>
        <w:rPr>
          <w:rFonts w:hint="eastAsia" w:ascii="宋体" w:hAnsi="宋体"/>
          <w:color w:val="auto"/>
          <w:sz w:val="28"/>
          <w:szCs w:val="28"/>
        </w:rPr>
      </w:pPr>
    </w:p>
    <w:p w14:paraId="41A52D1A">
      <w:pPr>
        <w:pStyle w:val="2"/>
        <w:rPr>
          <w:rFonts w:hint="eastAsia" w:ascii="宋体" w:hAnsi="宋体"/>
          <w:color w:val="auto"/>
          <w:sz w:val="28"/>
          <w:szCs w:val="28"/>
        </w:rPr>
      </w:pPr>
    </w:p>
    <w:p w14:paraId="5ABA542B">
      <w:pPr>
        <w:pStyle w:val="6"/>
        <w:rPr>
          <w:rFonts w:hint="eastAsia"/>
          <w:color w:val="auto"/>
        </w:rPr>
      </w:pPr>
    </w:p>
    <w:p w14:paraId="7E2D81E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7" w:name="_Toc30880"/>
      <w:r>
        <w:rPr>
          <w:rFonts w:hint="eastAsia" w:ascii="宋体" w:hAnsi="宋体" w:eastAsia="宋体" w:cs="宋体"/>
          <w:color w:val="auto"/>
          <w:sz w:val="28"/>
          <w:szCs w:val="28"/>
        </w:rPr>
        <w:t>第五章</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评审标准</w:t>
      </w:r>
      <w:bookmarkEnd w:id="37"/>
    </w:p>
    <w:tbl>
      <w:tblPr>
        <w:tblStyle w:val="2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00"/>
        <w:gridCol w:w="2466"/>
        <w:gridCol w:w="6092"/>
      </w:tblGrid>
      <w:tr w14:paraId="785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09D8750">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466" w:type="dxa"/>
            <w:tcBorders>
              <w:top w:val="single" w:color="auto" w:sz="4" w:space="0"/>
              <w:left w:val="single" w:color="auto" w:sz="4" w:space="0"/>
              <w:bottom w:val="single" w:color="auto" w:sz="4" w:space="0"/>
              <w:right w:val="single" w:color="auto" w:sz="4" w:space="0"/>
            </w:tcBorders>
            <w:vAlign w:val="center"/>
          </w:tcPr>
          <w:p w14:paraId="7DD66731">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92" w:type="dxa"/>
            <w:tcBorders>
              <w:top w:val="single" w:color="auto" w:sz="4" w:space="0"/>
              <w:left w:val="single" w:color="auto" w:sz="4" w:space="0"/>
              <w:bottom w:val="single" w:color="auto" w:sz="4" w:space="0"/>
              <w:right w:val="single" w:color="auto" w:sz="4" w:space="0"/>
            </w:tcBorders>
            <w:vAlign w:val="center"/>
          </w:tcPr>
          <w:p w14:paraId="664C955F">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C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 w:type="dxa"/>
            <w:vMerge w:val="restart"/>
            <w:tcBorders>
              <w:top w:val="single" w:color="auto" w:sz="4" w:space="0"/>
              <w:left w:val="single" w:color="auto" w:sz="4" w:space="0"/>
              <w:right w:val="single" w:color="auto" w:sz="4" w:space="0"/>
            </w:tcBorders>
            <w:vAlign w:val="center"/>
          </w:tcPr>
          <w:p w14:paraId="1BDDCB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2.1.1</w:t>
            </w:r>
          </w:p>
        </w:tc>
        <w:tc>
          <w:tcPr>
            <w:tcW w:w="1000" w:type="dxa"/>
            <w:vMerge w:val="restart"/>
            <w:tcBorders>
              <w:top w:val="single" w:color="auto" w:sz="4" w:space="0"/>
              <w:left w:val="single" w:color="auto" w:sz="4" w:space="0"/>
              <w:right w:val="single" w:color="auto" w:sz="4" w:space="0"/>
            </w:tcBorders>
            <w:vAlign w:val="center"/>
          </w:tcPr>
          <w:p w14:paraId="3015E43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p w14:paraId="0E86A64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bottom w:val="single" w:color="auto" w:sz="4" w:space="0"/>
              <w:right w:val="single" w:color="auto" w:sz="4" w:space="0"/>
            </w:tcBorders>
            <w:vAlign w:val="center"/>
          </w:tcPr>
          <w:p w14:paraId="31CBA3A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092" w:type="dxa"/>
            <w:tcBorders>
              <w:top w:val="single" w:color="auto" w:sz="4" w:space="0"/>
              <w:left w:val="single" w:color="auto" w:sz="4" w:space="0"/>
              <w:bottom w:val="single" w:color="auto" w:sz="4" w:space="0"/>
              <w:right w:val="single" w:color="auto" w:sz="4" w:space="0"/>
            </w:tcBorders>
            <w:vAlign w:val="center"/>
          </w:tcPr>
          <w:p w14:paraId="21241C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14:paraId="0AE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right w:val="single" w:color="auto" w:sz="4" w:space="0"/>
            </w:tcBorders>
            <w:vAlign w:val="center"/>
          </w:tcPr>
          <w:p w14:paraId="1962ED6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right w:val="single" w:color="auto" w:sz="4" w:space="0"/>
            </w:tcBorders>
            <w:vAlign w:val="center"/>
          </w:tcPr>
          <w:p w14:paraId="5D02BDF3">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6AE66F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6092" w:type="dxa"/>
            <w:tcBorders>
              <w:top w:val="single" w:color="auto" w:sz="4" w:space="0"/>
              <w:left w:val="single" w:color="auto" w:sz="4" w:space="0"/>
              <w:bottom w:val="single" w:color="auto" w:sz="4" w:space="0"/>
              <w:right w:val="single" w:color="auto" w:sz="4" w:space="0"/>
            </w:tcBorders>
            <w:vAlign w:val="center"/>
          </w:tcPr>
          <w:p w14:paraId="5B6D7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w:t>
            </w:r>
          </w:p>
        </w:tc>
      </w:tr>
      <w:tr w14:paraId="248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bottom w:val="single" w:color="auto" w:sz="4" w:space="0"/>
              <w:right w:val="single" w:color="auto" w:sz="4" w:space="0"/>
            </w:tcBorders>
            <w:vAlign w:val="center"/>
          </w:tcPr>
          <w:p w14:paraId="3105289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bottom w:val="single" w:color="auto" w:sz="4" w:space="0"/>
              <w:right w:val="single" w:color="auto" w:sz="4" w:space="0"/>
            </w:tcBorders>
            <w:vAlign w:val="center"/>
          </w:tcPr>
          <w:p w14:paraId="0A7BD615">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2DB1BF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92" w:type="dxa"/>
            <w:tcBorders>
              <w:top w:val="single" w:color="auto" w:sz="4" w:space="0"/>
              <w:left w:val="single" w:color="auto" w:sz="4" w:space="0"/>
              <w:bottom w:val="single" w:color="auto" w:sz="4" w:space="0"/>
              <w:right w:val="single" w:color="auto" w:sz="4" w:space="0"/>
            </w:tcBorders>
            <w:vAlign w:val="center"/>
          </w:tcPr>
          <w:p w14:paraId="3C1FFE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只能有一个有效报价且不超出采购预算</w:t>
            </w:r>
          </w:p>
        </w:tc>
      </w:tr>
      <w:tr w14:paraId="06E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restart"/>
            <w:tcBorders>
              <w:top w:val="single" w:color="auto" w:sz="4" w:space="0"/>
              <w:left w:val="single" w:color="auto" w:sz="4" w:space="0"/>
              <w:right w:val="single" w:color="auto" w:sz="4" w:space="0"/>
            </w:tcBorders>
            <w:vAlign w:val="center"/>
          </w:tcPr>
          <w:p w14:paraId="1E7895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1000" w:type="dxa"/>
            <w:vMerge w:val="restart"/>
            <w:tcBorders>
              <w:top w:val="single" w:color="auto" w:sz="4" w:space="0"/>
              <w:left w:val="single" w:color="auto" w:sz="4" w:space="0"/>
              <w:right w:val="single" w:color="auto" w:sz="4" w:space="0"/>
            </w:tcBorders>
            <w:vAlign w:val="center"/>
          </w:tcPr>
          <w:p w14:paraId="2870CFD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资格性</w:t>
            </w:r>
          </w:p>
          <w:p w14:paraId="3DC991E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604D3D6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19F71B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6092" w:type="dxa"/>
            <w:tcBorders>
              <w:top w:val="single" w:color="auto" w:sz="4" w:space="0"/>
              <w:left w:val="single" w:color="auto" w:sz="4" w:space="0"/>
              <w:right w:val="single" w:color="auto" w:sz="4" w:space="0"/>
            </w:tcBorders>
            <w:vAlign w:val="center"/>
          </w:tcPr>
          <w:p w14:paraId="0ECE1BD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1、具有良好的商业信誉和健全的财务会计制度；</w:t>
            </w:r>
          </w:p>
          <w:p w14:paraId="332BBD47">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2、有依法缴纳税收和社会保障资金的良好记录；</w:t>
            </w:r>
          </w:p>
          <w:p w14:paraId="29134AAC">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w:t>
            </w:r>
          </w:p>
          <w:p w14:paraId="32984355">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4、参加本次政府采购活动近三年内，在经营活动中没有重大违法记录（成立不足三年的新企业从成立时间开始）</w:t>
            </w:r>
          </w:p>
          <w:p w14:paraId="726B8C94">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注：提供相关证明材料或承诺函。</w:t>
            </w:r>
          </w:p>
        </w:tc>
      </w:tr>
      <w:tr w14:paraId="41C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056285C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5197C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40A6513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092" w:type="dxa"/>
            <w:tcBorders>
              <w:top w:val="single" w:color="auto" w:sz="4" w:space="0"/>
              <w:left w:val="single" w:color="auto" w:sz="4" w:space="0"/>
              <w:right w:val="single" w:color="auto" w:sz="4" w:space="0"/>
            </w:tcBorders>
            <w:vAlign w:val="center"/>
          </w:tcPr>
          <w:p w14:paraId="0D8F115F">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供应商具有独立承担民事责任的能力（具有有效的营业执照或事业单位法人证书）</w:t>
            </w:r>
          </w:p>
        </w:tc>
      </w:tr>
      <w:tr w14:paraId="2C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2" w:type="dxa"/>
            <w:vMerge w:val="continue"/>
            <w:tcBorders>
              <w:left w:val="single" w:color="auto" w:sz="4" w:space="0"/>
              <w:right w:val="single" w:color="auto" w:sz="4" w:space="0"/>
            </w:tcBorders>
            <w:vAlign w:val="center"/>
          </w:tcPr>
          <w:p w14:paraId="0F9F4F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7AC096D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38E9B6C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企业资质</w:t>
            </w:r>
          </w:p>
        </w:tc>
        <w:tc>
          <w:tcPr>
            <w:tcW w:w="6092" w:type="dxa"/>
            <w:tcBorders>
              <w:top w:val="single" w:color="auto" w:sz="4" w:space="0"/>
              <w:left w:val="single" w:color="auto" w:sz="4" w:space="0"/>
              <w:right w:val="single" w:color="auto" w:sz="4" w:space="0"/>
            </w:tcBorders>
            <w:vAlign w:val="center"/>
          </w:tcPr>
          <w:p w14:paraId="5BDCCB09">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供应商须具有</w:t>
            </w:r>
            <w:r>
              <w:rPr>
                <w:rFonts w:hint="eastAsia" w:ascii="宋体" w:hAnsi="宋体" w:eastAsia="宋体" w:cs="宋体"/>
                <w:color w:val="auto"/>
                <w:sz w:val="24"/>
                <w:szCs w:val="24"/>
                <w:highlight w:val="none"/>
                <w:lang w:eastAsia="zh-Hans"/>
              </w:rPr>
              <w:t>相关主管部门核发的城乡规划编制乙级及以上资质或土地规划乙级及以上资质</w:t>
            </w:r>
          </w:p>
        </w:tc>
      </w:tr>
      <w:tr w14:paraId="01D0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33E6310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4E950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096797B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092" w:type="dxa"/>
            <w:tcBorders>
              <w:top w:val="single" w:color="auto" w:sz="4" w:space="0"/>
              <w:left w:val="single" w:color="auto" w:sz="4" w:space="0"/>
              <w:right w:val="single" w:color="auto" w:sz="4" w:space="0"/>
            </w:tcBorders>
            <w:vAlign w:val="center"/>
          </w:tcPr>
          <w:p w14:paraId="10242CAD">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Hans"/>
              </w:rPr>
              <w:t>拟派项目负责人须具有相关专业（</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lang w:eastAsia="zh-Hans"/>
              </w:rPr>
              <w:t>规划、</w:t>
            </w:r>
            <w:r>
              <w:rPr>
                <w:rFonts w:hint="eastAsia" w:ascii="宋体" w:hAnsi="宋体" w:eastAsia="宋体" w:cs="宋体"/>
                <w:color w:val="auto"/>
                <w:sz w:val="24"/>
                <w:szCs w:val="24"/>
                <w:lang w:eastAsia="zh-CN"/>
              </w:rPr>
              <w:t>城市规划、</w:t>
            </w:r>
            <w:r>
              <w:rPr>
                <w:rFonts w:hint="eastAsia" w:ascii="宋体" w:hAnsi="宋体" w:eastAsia="宋体" w:cs="宋体"/>
                <w:color w:val="auto"/>
                <w:sz w:val="24"/>
                <w:szCs w:val="24"/>
                <w:lang w:eastAsia="zh-Hans"/>
              </w:rPr>
              <w:t>土地</w:t>
            </w:r>
            <w:r>
              <w:rPr>
                <w:rFonts w:hint="eastAsia" w:ascii="宋体" w:hAnsi="宋体" w:eastAsia="宋体" w:cs="宋体"/>
                <w:color w:val="auto"/>
                <w:sz w:val="24"/>
                <w:szCs w:val="24"/>
                <w:lang w:eastAsia="zh-CN"/>
              </w:rPr>
              <w:t>规划</w:t>
            </w:r>
            <w:r>
              <w:rPr>
                <w:rFonts w:hint="eastAsia" w:ascii="宋体" w:hAnsi="宋体" w:eastAsia="宋体" w:cs="宋体"/>
                <w:color w:val="auto"/>
                <w:sz w:val="24"/>
                <w:szCs w:val="24"/>
                <w:lang w:eastAsia="zh-Hans"/>
              </w:rPr>
              <w:t>）中级及以上职称或注册城乡规划师执业资格,且为本单位正式员工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近三个月中任意一个月在职社保缴纳材料（若为刚入职新进人员，提供情况说明）</w:t>
            </w:r>
          </w:p>
        </w:tc>
      </w:tr>
      <w:tr w14:paraId="1169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72" w:type="dxa"/>
            <w:vMerge w:val="continue"/>
            <w:tcBorders>
              <w:left w:val="single" w:color="auto" w:sz="4" w:space="0"/>
              <w:right w:val="single" w:color="auto" w:sz="4" w:space="0"/>
            </w:tcBorders>
            <w:vAlign w:val="center"/>
          </w:tcPr>
          <w:p w14:paraId="5E922B9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32F6CB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9105A0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p>
        </w:tc>
        <w:tc>
          <w:tcPr>
            <w:tcW w:w="6092" w:type="dxa"/>
            <w:tcBorders>
              <w:top w:val="single" w:color="auto" w:sz="4" w:space="0"/>
              <w:left w:val="single" w:color="auto" w:sz="4" w:space="0"/>
              <w:right w:val="single" w:color="auto" w:sz="4" w:space="0"/>
            </w:tcBorders>
            <w:vAlign w:val="center"/>
          </w:tcPr>
          <w:p w14:paraId="361D1EF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tc>
      </w:tr>
      <w:tr w14:paraId="232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27DC062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506DA7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39DB0A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6092" w:type="dxa"/>
            <w:tcBorders>
              <w:top w:val="single" w:color="auto" w:sz="4" w:space="0"/>
              <w:left w:val="single" w:color="auto" w:sz="4" w:space="0"/>
              <w:right w:val="single" w:color="auto" w:sz="4" w:space="0"/>
            </w:tcBorders>
            <w:vAlign w:val="center"/>
          </w:tcPr>
          <w:p w14:paraId="5AEF7714">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tc>
      </w:tr>
      <w:tr w14:paraId="3B2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006902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04A119F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51DC8C7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6092" w:type="dxa"/>
            <w:tcBorders>
              <w:top w:val="single" w:color="auto" w:sz="4" w:space="0"/>
              <w:left w:val="single" w:color="auto" w:sz="4" w:space="0"/>
              <w:right w:val="single" w:color="auto" w:sz="4" w:space="0"/>
            </w:tcBorders>
            <w:vAlign w:val="center"/>
          </w:tcPr>
          <w:p w14:paraId="55333FCC">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本项目不接受联合体投标，提供非联合体承诺，格式自拟。</w:t>
            </w:r>
          </w:p>
        </w:tc>
      </w:tr>
      <w:tr w14:paraId="38F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430" w:type="dxa"/>
            <w:gridSpan w:val="4"/>
            <w:tcBorders>
              <w:left w:val="single" w:color="auto" w:sz="4" w:space="0"/>
              <w:right w:val="single" w:color="auto" w:sz="4" w:space="0"/>
            </w:tcBorders>
            <w:vAlign w:val="center"/>
          </w:tcPr>
          <w:p w14:paraId="3B29156F">
            <w:pPr>
              <w:keepNext w:val="0"/>
              <w:keepLines w:val="0"/>
              <w:pageBreakBefore w:val="0"/>
              <w:tabs>
                <w:tab w:val="left" w:pos="1868"/>
              </w:tabs>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资格评审以响应文件为准，其上传资料真实性由投标人自行承担，同时，投标人要完善主体库。</w:t>
            </w:r>
          </w:p>
        </w:tc>
      </w:tr>
      <w:tr w14:paraId="59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2" w:type="dxa"/>
            <w:vMerge w:val="restart"/>
            <w:tcBorders>
              <w:top w:val="single" w:color="auto" w:sz="4" w:space="0"/>
              <w:left w:val="single" w:color="auto" w:sz="4" w:space="0"/>
              <w:right w:val="single" w:color="auto" w:sz="4" w:space="0"/>
            </w:tcBorders>
            <w:vAlign w:val="center"/>
          </w:tcPr>
          <w:p w14:paraId="1007F5C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000" w:type="dxa"/>
            <w:vMerge w:val="restart"/>
            <w:tcBorders>
              <w:top w:val="single" w:color="auto" w:sz="4" w:space="0"/>
              <w:left w:val="single" w:color="auto" w:sz="4" w:space="0"/>
              <w:right w:val="single" w:color="auto" w:sz="4" w:space="0"/>
            </w:tcBorders>
            <w:vAlign w:val="center"/>
          </w:tcPr>
          <w:p w14:paraId="68142B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响应性</w:t>
            </w:r>
          </w:p>
          <w:p w14:paraId="43BB89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p w14:paraId="6FC9E8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0BAA868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092" w:type="dxa"/>
            <w:tcBorders>
              <w:top w:val="single" w:color="auto" w:sz="4" w:space="0"/>
              <w:left w:val="single" w:color="auto" w:sz="4" w:space="0"/>
              <w:right w:val="single" w:color="auto" w:sz="4" w:space="0"/>
            </w:tcBorders>
            <w:vAlign w:val="center"/>
          </w:tcPr>
          <w:p w14:paraId="331235B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合同签订之日起180天内完成</w:t>
            </w:r>
            <w:r>
              <w:rPr>
                <w:rFonts w:hint="eastAsia" w:ascii="宋体" w:hAnsi="宋体" w:eastAsia="宋体" w:cs="宋体"/>
                <w:color w:val="auto"/>
                <w:sz w:val="24"/>
                <w:szCs w:val="24"/>
              </w:rPr>
              <w:t>。</w:t>
            </w:r>
          </w:p>
        </w:tc>
      </w:tr>
      <w:tr w14:paraId="354E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2" w:type="dxa"/>
            <w:vMerge w:val="continue"/>
            <w:tcBorders>
              <w:top w:val="single" w:color="auto" w:sz="4" w:space="0"/>
              <w:left w:val="single" w:color="auto" w:sz="4" w:space="0"/>
              <w:right w:val="single" w:color="auto" w:sz="4" w:space="0"/>
            </w:tcBorders>
            <w:vAlign w:val="center"/>
          </w:tcPr>
          <w:p w14:paraId="5FA7EA7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1000" w:type="dxa"/>
            <w:vMerge w:val="continue"/>
            <w:tcBorders>
              <w:top w:val="single" w:color="auto" w:sz="4" w:space="0"/>
              <w:left w:val="single" w:color="auto" w:sz="4" w:space="0"/>
              <w:right w:val="single" w:color="auto" w:sz="4" w:space="0"/>
            </w:tcBorders>
            <w:vAlign w:val="center"/>
          </w:tcPr>
          <w:p w14:paraId="0C9C527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2466" w:type="dxa"/>
            <w:tcBorders>
              <w:top w:val="single" w:color="auto" w:sz="4" w:space="0"/>
              <w:left w:val="single" w:color="auto" w:sz="4" w:space="0"/>
              <w:right w:val="single" w:color="auto" w:sz="4" w:space="0"/>
            </w:tcBorders>
            <w:vAlign w:val="center"/>
          </w:tcPr>
          <w:p w14:paraId="497D93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092" w:type="dxa"/>
            <w:tcBorders>
              <w:top w:val="single" w:color="auto" w:sz="4" w:space="0"/>
              <w:left w:val="single" w:color="auto" w:sz="4" w:space="0"/>
              <w:right w:val="single" w:color="auto" w:sz="4" w:space="0"/>
            </w:tcBorders>
            <w:vAlign w:val="center"/>
          </w:tcPr>
          <w:p w14:paraId="3908ED0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tc>
      </w:tr>
      <w:tr w14:paraId="0E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6D934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3CAFDA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7CDED35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6092" w:type="dxa"/>
            <w:tcBorders>
              <w:top w:val="single" w:color="auto" w:sz="4" w:space="0"/>
              <w:left w:val="single" w:color="auto" w:sz="4" w:space="0"/>
              <w:bottom w:val="single" w:color="auto" w:sz="4" w:space="0"/>
              <w:right w:val="single" w:color="auto" w:sz="4" w:space="0"/>
            </w:tcBorders>
            <w:vAlign w:val="center"/>
          </w:tcPr>
          <w:p w14:paraId="5811026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w:t>
            </w:r>
          </w:p>
        </w:tc>
      </w:tr>
      <w:tr w14:paraId="41F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2E88658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73F3DDD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13FEC6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2" w:type="dxa"/>
            <w:tcBorders>
              <w:top w:val="single" w:color="auto" w:sz="4" w:space="0"/>
              <w:left w:val="single" w:color="auto" w:sz="4" w:space="0"/>
              <w:bottom w:val="single" w:color="auto" w:sz="4" w:space="0"/>
              <w:right w:val="single" w:color="auto" w:sz="4" w:space="0"/>
            </w:tcBorders>
            <w:vAlign w:val="center"/>
          </w:tcPr>
          <w:p w14:paraId="1F9D489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投标截止之日起60日历天</w:t>
            </w:r>
          </w:p>
        </w:tc>
      </w:tr>
    </w:tbl>
    <w:p w14:paraId="1A838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 磋商文件的评审、比较和否决</w:t>
      </w:r>
    </w:p>
    <w:p w14:paraId="5D45DF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磋商小组将按照竞争性磋商文件的规定，仅对在实质上响应竞争性磋商文件要求的响应文件进行评估和比较。</w:t>
      </w:r>
    </w:p>
    <w:p w14:paraId="570FAA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根据相关法律法规及有关磋商文件规定，结合本项目具体情况，制定本次采购磋商办法。并按照“公平、公正、科学、择优”的原则进行磋商。采用百分制综合评估法进行评比。</w:t>
      </w:r>
    </w:p>
    <w:p w14:paraId="58079C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rPr>
        <w:t>凡遇到响应文件中无界定或界定不清、前后不一致使评委会成员</w:t>
      </w:r>
      <w:r>
        <w:rPr>
          <w:rFonts w:hint="eastAsia" w:ascii="宋体" w:hAnsi="宋体" w:eastAsia="宋体" w:cs="宋体"/>
          <w:color w:val="auto"/>
          <w:sz w:val="24"/>
          <w:szCs w:val="24"/>
        </w:rPr>
        <w:t>意见</w:t>
      </w:r>
      <w:r>
        <w:rPr>
          <w:rFonts w:hint="eastAsia" w:ascii="宋体" w:hAnsi="宋体" w:eastAsia="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eastAsia="宋体" w:cs="宋体"/>
          <w:color w:val="auto"/>
          <w:sz w:val="24"/>
          <w:szCs w:val="24"/>
        </w:rPr>
        <w:t>。</w:t>
      </w:r>
    </w:p>
    <w:p w14:paraId="1C49A9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磋商时，磋商报价是磋商的重要依据，但不是唯一依据，采购人不承诺将合同授予报价最低或最高的磋商供应商。</w:t>
      </w:r>
    </w:p>
    <w:p w14:paraId="722A2A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FFCC8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 磋商程序</w:t>
      </w:r>
    </w:p>
    <w:p w14:paraId="3FB05E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资格审查</w:t>
      </w:r>
    </w:p>
    <w:p w14:paraId="617BBC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w:t>
      </w:r>
    </w:p>
    <w:p w14:paraId="64CBB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磋商小组按照竞争性磋商文件供应商资格要求，对磋商供应商的响应文件进行符合性、资格性和响应性审查，有一项不符合的，按废标处理，符合的进入下一磋商程序。</w:t>
      </w:r>
    </w:p>
    <w:p w14:paraId="014DE9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3.磋商具体方法和标准</w:t>
      </w:r>
    </w:p>
    <w:p w14:paraId="782B15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t>磋商小组根据磋商原则和办法对所有响应文件进行集中审核，分别评价。</w:t>
      </w:r>
    </w:p>
    <w:tbl>
      <w:tblPr>
        <w:tblStyle w:val="22"/>
        <w:tblpPr w:leftFromText="180" w:rightFromText="180" w:vertAnchor="text" w:horzAnchor="margin" w:tblpXSpec="center" w:tblpY="172"/>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01"/>
        <w:gridCol w:w="300"/>
        <w:gridCol w:w="6873"/>
      </w:tblGrid>
      <w:tr w14:paraId="3CB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3094A4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p w14:paraId="18D5D67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因素</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3138B4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p w14:paraId="23C478F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分值</w:t>
            </w:r>
          </w:p>
        </w:tc>
        <w:tc>
          <w:tcPr>
            <w:tcW w:w="6873" w:type="dxa"/>
            <w:tcBorders>
              <w:top w:val="single" w:color="auto" w:sz="4" w:space="0"/>
              <w:left w:val="single" w:color="auto" w:sz="4" w:space="0"/>
              <w:bottom w:val="single" w:color="auto" w:sz="4" w:space="0"/>
              <w:right w:val="single" w:color="auto" w:sz="4" w:space="0"/>
            </w:tcBorders>
            <w:vAlign w:val="center"/>
          </w:tcPr>
          <w:p w14:paraId="5A8707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1BE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vAlign w:val="center"/>
          </w:tcPr>
          <w:p w14:paraId="717436AA">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p w14:paraId="109C891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商务</w:t>
            </w:r>
          </w:p>
          <w:p w14:paraId="02B893B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p w14:paraId="552FC46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E0E8DB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p w14:paraId="03B57960">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873" w:type="dxa"/>
            <w:tcBorders>
              <w:top w:val="single" w:color="auto" w:sz="4" w:space="0"/>
              <w:left w:val="single" w:color="auto" w:sz="4" w:space="0"/>
              <w:bottom w:val="single" w:color="auto" w:sz="4" w:space="0"/>
              <w:right w:val="single" w:color="auto" w:sz="4" w:space="0"/>
            </w:tcBorders>
            <w:vAlign w:val="center"/>
          </w:tcPr>
          <w:p w14:paraId="3DC9281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1、本次竞争性磋商分为两轮报价，响应性文件中的报价作为第一次报价，不得高于磋商控制价且不公开；第二轮报价不得高于第一轮报价, 以最终报价参与评标报价。</w:t>
            </w:r>
          </w:p>
          <w:p w14:paraId="36CA625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2、价格分采用低价优先法计算，即满足竞争性磋商文件要求且最后报价最低的供应商的价格为磋商基准价，其价格分为满分，其他供应商的价格分统一按照下列公式计算：</w:t>
            </w:r>
          </w:p>
          <w:p w14:paraId="4A5F7D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价格分=（磋商基准价/最后磋商报价）×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p w14:paraId="4367E26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B942AE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3、价格扣除： </w:t>
            </w:r>
          </w:p>
          <w:p w14:paraId="568A5F3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133A717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所投小微企业产品报价=所投小微企业产品报价×（1-20%）</w:t>
            </w:r>
          </w:p>
          <w:p w14:paraId="2D37526B">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（2）根据财政部司法部《关于政府采购支持监狱企业发展有关问题的通知》（财库〔2014〕68号）规定，对于监狱企业视同为小型、微型企业，价格给予20%的扣除。</w:t>
            </w:r>
          </w:p>
          <w:p w14:paraId="5879D4A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所投监狱企业产品报价=所投监狱企业产品报价×（1-20%）</w:t>
            </w:r>
          </w:p>
          <w:p w14:paraId="497F0C7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（3）根据财政部民政部中国残疾人联合会《关于促进残疾人就业政府采购政策的通知》（财库〔2017〕141号）规定，对于残疾人福利性单位视同为小型、微型企业，价格给予20%的扣除。</w:t>
            </w:r>
          </w:p>
          <w:p w14:paraId="57A4EE7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所投残疾人福利性单位企业产品报价=所投残疾人福利性单位企业产品报价×（1-20%）</w:t>
            </w:r>
          </w:p>
          <w:p w14:paraId="5983B7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同一供应商，中小微企业产品、监狱企业产品、残疾人福利性单位产品的价格扣除优惠只享受一次，不得重复享受。</w:t>
            </w:r>
          </w:p>
        </w:tc>
      </w:tr>
      <w:tr w14:paraId="27A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134" w:type="dxa"/>
            <w:vMerge w:val="restart"/>
            <w:tcBorders>
              <w:top w:val="single" w:color="auto" w:sz="4" w:space="0"/>
              <w:left w:val="single" w:color="auto" w:sz="4" w:space="0"/>
              <w:right w:val="single" w:color="auto" w:sz="4" w:space="0"/>
            </w:tcBorders>
            <w:vAlign w:val="center"/>
          </w:tcPr>
          <w:p w14:paraId="58D7D01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7EB83775">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CF3453F">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EFD414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针对项目的理解与解读（0-10分）</w:t>
            </w:r>
          </w:p>
        </w:tc>
        <w:tc>
          <w:tcPr>
            <w:tcW w:w="6873" w:type="dxa"/>
            <w:tcBorders>
              <w:top w:val="single" w:color="auto" w:sz="4" w:space="0"/>
              <w:left w:val="single" w:color="auto" w:sz="4" w:space="0"/>
              <w:bottom w:val="single" w:color="auto" w:sz="4" w:space="0"/>
              <w:right w:val="single" w:color="auto" w:sz="4" w:space="0"/>
            </w:tcBorders>
            <w:vAlign w:val="center"/>
          </w:tcPr>
          <w:p w14:paraId="12494AA2">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项目发展背景和对政策进行深入解读，准确理解本次规划的意义，解读充分，项目理解把握程度和整体思路符合招标要求，理念先进、编制思路清晰、重点突出的得10分；对本项目的整体理解把握程度和整体思路符合招标要求，理念及编制思路合理、有重点的得的得6分；对本项目理解把握程度和整体思路基本符合招标要求，理念及编制思路可行的得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缺项或不合理的，本项不得分。</w:t>
            </w:r>
          </w:p>
        </w:tc>
      </w:tr>
      <w:tr w14:paraId="66D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1134" w:type="dxa"/>
            <w:vMerge w:val="continue"/>
            <w:tcBorders>
              <w:left w:val="single" w:color="auto" w:sz="4" w:space="0"/>
              <w:right w:val="single" w:color="auto" w:sz="4" w:space="0"/>
            </w:tcBorders>
            <w:vAlign w:val="center"/>
          </w:tcPr>
          <w:p w14:paraId="24A7F2B7">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189E9AD">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针对项目编制的工作方案（0-10分）</w:t>
            </w:r>
          </w:p>
        </w:tc>
        <w:tc>
          <w:tcPr>
            <w:tcW w:w="6873" w:type="dxa"/>
            <w:tcBorders>
              <w:top w:val="single" w:color="auto" w:sz="4" w:space="0"/>
              <w:left w:val="single" w:color="auto" w:sz="4" w:space="0"/>
              <w:bottom w:val="single" w:color="auto" w:sz="4" w:space="0"/>
              <w:right w:val="single" w:color="auto" w:sz="4" w:space="0"/>
            </w:tcBorders>
            <w:vAlign w:val="center"/>
          </w:tcPr>
          <w:p w14:paraId="798CE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供应商针对本项目所提出的工作方案，对本项目各环节具体步骤清楚、工作目标明确；供应商对本项目的组织机构分配及主要人员岗位职责分工等内容。</w:t>
            </w:r>
          </w:p>
          <w:p w14:paraId="43EE5AC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规划编制的工作方案全面合理、针对性强，得10分；规划编制的工作方案比较全面、有一定的针对性，得6分；规划编制的工作方案有一定偏差，规划编制方案一般，针对性一般得3分；无方案不得分。</w:t>
            </w:r>
          </w:p>
        </w:tc>
      </w:tr>
      <w:tr w14:paraId="140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1134" w:type="dxa"/>
            <w:vMerge w:val="continue"/>
            <w:tcBorders>
              <w:left w:val="single" w:color="auto" w:sz="4" w:space="0"/>
              <w:right w:val="single" w:color="auto" w:sz="4" w:space="0"/>
            </w:tcBorders>
            <w:vAlign w:val="center"/>
          </w:tcPr>
          <w:p w14:paraId="28D99851">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366595C">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针对本项目重难点、关键问题的把握（0-10分）</w:t>
            </w:r>
          </w:p>
        </w:tc>
        <w:tc>
          <w:tcPr>
            <w:tcW w:w="6873" w:type="dxa"/>
            <w:tcBorders>
              <w:top w:val="single" w:color="auto" w:sz="4" w:space="0"/>
              <w:left w:val="single" w:color="auto" w:sz="4" w:space="0"/>
              <w:bottom w:val="single" w:color="auto" w:sz="4" w:space="0"/>
              <w:right w:val="single" w:color="auto" w:sz="4" w:space="0"/>
            </w:tcBorders>
            <w:vAlign w:val="center"/>
          </w:tcPr>
          <w:p w14:paraId="5464AAD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1、对规划的重点、难点问题把握明确的，针对性强、合理可行，对项目实施具有较强的指导作用得5分；对规划的重点、难点问题把握不清晰，合理性、可行性较差，对项目实施指导作用一般得3分；</w:t>
            </w:r>
          </w:p>
          <w:p w14:paraId="03F9B3E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2、重点节点的选择是否科学、合理、具有代表性得5分，重点节点的选择一般，重要节点设计一般得3分，缺项不得分。</w:t>
            </w:r>
          </w:p>
          <w:p w14:paraId="0BFC64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本项最多10分，缺项不得分。</w:t>
            </w:r>
          </w:p>
        </w:tc>
      </w:tr>
      <w:tr w14:paraId="258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4407160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B3E6CA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规划编制的工作进度计划与保证措施（0-10分）</w:t>
            </w:r>
          </w:p>
        </w:tc>
        <w:tc>
          <w:tcPr>
            <w:tcW w:w="6873" w:type="dxa"/>
            <w:tcBorders>
              <w:top w:val="single" w:color="auto" w:sz="4" w:space="0"/>
              <w:left w:val="single" w:color="auto" w:sz="4" w:space="0"/>
              <w:bottom w:val="single" w:color="auto" w:sz="4" w:space="0"/>
              <w:right w:val="single" w:color="auto" w:sz="4" w:space="0"/>
            </w:tcBorders>
            <w:vAlign w:val="center"/>
          </w:tcPr>
          <w:p w14:paraId="4139E44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供应商针对本项目提出的规划编制工作进度安排，安排合理工作进度，时间节点安排事项，编制工作能够按时完成所提出的计划和保证措施。</w:t>
            </w:r>
          </w:p>
          <w:p w14:paraId="53D948B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项目进度计划及措施内容优化，合理性强，科学性强的完成规划任务的， 得10分；项目进度计划及措施内容较为合理，科学性较强的完成规划任务的，得6 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项目进度计划及措施内容一般，基本满足要求的，得3分；缺项不得分。</w:t>
            </w:r>
          </w:p>
        </w:tc>
      </w:tr>
      <w:tr w14:paraId="6AB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134" w:type="dxa"/>
            <w:vMerge w:val="continue"/>
            <w:tcBorders>
              <w:left w:val="single" w:color="auto" w:sz="4" w:space="0"/>
              <w:right w:val="single" w:color="auto" w:sz="4" w:space="0"/>
            </w:tcBorders>
            <w:vAlign w:val="center"/>
          </w:tcPr>
          <w:p w14:paraId="203A6DC4">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right w:val="single" w:color="auto" w:sz="4" w:space="0"/>
            </w:tcBorders>
            <w:vAlign w:val="center"/>
          </w:tcPr>
          <w:p w14:paraId="53267DA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规划编制的质量管理体系与保证措施（0-10分）</w:t>
            </w:r>
          </w:p>
        </w:tc>
        <w:tc>
          <w:tcPr>
            <w:tcW w:w="6873" w:type="dxa"/>
            <w:tcBorders>
              <w:top w:val="single" w:color="auto" w:sz="4" w:space="0"/>
              <w:left w:val="single" w:color="auto" w:sz="4" w:space="0"/>
              <w:right w:val="single" w:color="auto" w:sz="4" w:space="0"/>
            </w:tcBorders>
            <w:vAlign w:val="center"/>
          </w:tcPr>
          <w:p w14:paraId="34D2D06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供应商针对本项目提出的对于规划编制质量工作，保证规划编制工作的高质量的完成，制定质量保证措施，和相关的技术保障。</w:t>
            </w:r>
          </w:p>
          <w:p w14:paraId="14D7C1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质量管理体系与措施符合要求，质量保证体系周全、完善，得10分；规划质量管理体系与措施符合要求，技术方案的质量保证体系比较周全、完善，得6分；规划质量及保证措施基本符合要求，得3分；缺项不得分。</w:t>
            </w:r>
          </w:p>
        </w:tc>
      </w:tr>
      <w:tr w14:paraId="111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134" w:type="dxa"/>
            <w:vMerge w:val="continue"/>
            <w:tcBorders>
              <w:left w:val="single" w:color="auto" w:sz="4" w:space="0"/>
              <w:right w:val="single" w:color="auto" w:sz="4" w:space="0"/>
            </w:tcBorders>
            <w:vAlign w:val="center"/>
          </w:tcPr>
          <w:p w14:paraId="54E57132">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right w:val="single" w:color="auto" w:sz="4" w:space="0"/>
            </w:tcBorders>
            <w:vAlign w:val="center"/>
          </w:tcPr>
          <w:p w14:paraId="3744EFD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规划编制的资源配备计划措施（0-</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xml:space="preserve"> 分）</w:t>
            </w:r>
          </w:p>
        </w:tc>
        <w:tc>
          <w:tcPr>
            <w:tcW w:w="6873" w:type="dxa"/>
            <w:tcBorders>
              <w:top w:val="single" w:color="auto" w:sz="4" w:space="0"/>
              <w:left w:val="single" w:color="auto" w:sz="4" w:space="0"/>
              <w:right w:val="single" w:color="auto" w:sz="4" w:space="0"/>
            </w:tcBorders>
            <w:vAlign w:val="center"/>
          </w:tcPr>
          <w:p w14:paraId="3C50175D">
            <w:pPr>
              <w:spacing w:line="360" w:lineRule="auto"/>
              <w:ind w:left="34"/>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根据规划编制项目的需要，供应商拟投入的设备及配备计划的措施。</w:t>
            </w:r>
          </w:p>
          <w:p w14:paraId="2D9A699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投入设备可操作性强，配备齐全配备计划措施科学性强得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分；投入设备可操作性一般，配备计划措施科学性一般得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分；缺项不得分。</w:t>
            </w:r>
          </w:p>
        </w:tc>
      </w:tr>
      <w:tr w14:paraId="675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34" w:type="dxa"/>
            <w:vMerge w:val="continue"/>
            <w:tcBorders>
              <w:left w:val="single" w:color="auto" w:sz="4" w:space="0"/>
              <w:right w:val="single" w:color="auto" w:sz="4" w:space="0"/>
            </w:tcBorders>
            <w:vAlign w:val="center"/>
          </w:tcPr>
          <w:p w14:paraId="70873866">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gridSpan w:val="2"/>
            <w:tcBorders>
              <w:top w:val="single" w:color="auto" w:sz="4" w:space="0"/>
              <w:left w:val="single" w:color="auto" w:sz="4" w:space="0"/>
              <w:right w:val="single" w:color="auto" w:sz="4" w:space="0"/>
            </w:tcBorders>
            <w:vAlign w:val="center"/>
          </w:tcPr>
          <w:p w14:paraId="7B38C73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根据提出的村庄规划合理化建议（0-5分）</w:t>
            </w:r>
          </w:p>
        </w:tc>
        <w:tc>
          <w:tcPr>
            <w:tcW w:w="6873" w:type="dxa"/>
            <w:tcBorders>
              <w:top w:val="single" w:color="auto" w:sz="4" w:space="0"/>
              <w:left w:val="single" w:color="auto" w:sz="4" w:space="0"/>
              <w:right w:val="single" w:color="auto" w:sz="4" w:space="0"/>
            </w:tcBorders>
            <w:vAlign w:val="center"/>
          </w:tcPr>
          <w:p w14:paraId="642AD714">
            <w:pPr>
              <w:spacing w:line="360" w:lineRule="auto"/>
              <w:ind w:left="34"/>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根据提出的村庄规划合理化建议。</w:t>
            </w:r>
          </w:p>
          <w:p w14:paraId="7095FF7D">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建议合理、科学，具有针对性，可行性强得5分；建议基本合理，针对性和可行性一般得2分，缺项不得分。</w:t>
            </w:r>
          </w:p>
        </w:tc>
      </w:tr>
      <w:tr w14:paraId="29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A3790FE">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综合</w:t>
            </w:r>
          </w:p>
          <w:p w14:paraId="2014A54D">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tc>
        <w:tc>
          <w:tcPr>
            <w:tcW w:w="1401" w:type="dxa"/>
            <w:tcBorders>
              <w:top w:val="single" w:color="auto" w:sz="4" w:space="0"/>
              <w:left w:val="single" w:color="auto" w:sz="4" w:space="0"/>
              <w:right w:val="single" w:color="auto" w:sz="4" w:space="0"/>
            </w:tcBorders>
            <w:vAlign w:val="center"/>
          </w:tcPr>
          <w:p w14:paraId="339AB6B7">
            <w:pPr>
              <w:pStyle w:val="11"/>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企业实力</w:t>
            </w:r>
          </w:p>
          <w:p w14:paraId="464DAD03">
            <w:pPr>
              <w:pStyle w:val="11"/>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eastAsia="宋体" w:cs="宋体"/>
                <w:color w:val="auto"/>
                <w:kern w:val="2"/>
                <w:sz w:val="24"/>
                <w:szCs w:val="24"/>
                <w:lang w:val="en-US" w:eastAsia="zh-CN"/>
              </w:rPr>
              <w:t>6</w:t>
            </w:r>
            <w:r>
              <w:rPr>
                <w:rFonts w:hint="eastAsia" w:ascii="宋体" w:hAnsi="宋体" w:eastAsia="宋体" w:cs="宋体"/>
                <w:color w:val="auto"/>
                <w:kern w:val="2"/>
                <w:sz w:val="24"/>
                <w:szCs w:val="24"/>
              </w:rPr>
              <w:t>分）</w:t>
            </w:r>
          </w:p>
        </w:tc>
        <w:tc>
          <w:tcPr>
            <w:tcW w:w="7173" w:type="dxa"/>
            <w:gridSpan w:val="2"/>
            <w:tcBorders>
              <w:top w:val="single" w:color="auto" w:sz="4" w:space="0"/>
              <w:left w:val="single" w:color="auto" w:sz="4" w:space="0"/>
              <w:right w:val="single" w:color="auto" w:sz="4" w:space="0"/>
            </w:tcBorders>
            <w:vAlign w:val="center"/>
          </w:tcPr>
          <w:p w14:paraId="5A9B0EAF">
            <w:pPr>
              <w:pStyle w:val="11"/>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投标人具有质量管理体系、职业健康安全管理体系、环境管理体系认证证书的，每项得2分，最高得6分。（投标文件中需附认证证书扫描件）</w:t>
            </w:r>
          </w:p>
        </w:tc>
      </w:tr>
      <w:tr w14:paraId="735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34" w:type="dxa"/>
            <w:vMerge w:val="continue"/>
            <w:tcBorders>
              <w:left w:val="single" w:color="auto" w:sz="4" w:space="0"/>
              <w:right w:val="single" w:color="auto" w:sz="4" w:space="0"/>
            </w:tcBorders>
            <w:vAlign w:val="center"/>
          </w:tcPr>
          <w:p w14:paraId="4A4D7DCC">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401" w:type="dxa"/>
            <w:tcBorders>
              <w:top w:val="single" w:color="auto" w:sz="4" w:space="0"/>
              <w:left w:val="single" w:color="auto" w:sz="4" w:space="0"/>
              <w:right w:val="single" w:color="auto" w:sz="4" w:space="0"/>
            </w:tcBorders>
            <w:vAlign w:val="center"/>
          </w:tcPr>
          <w:p w14:paraId="4405BA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5AC80FA2">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7173" w:type="dxa"/>
            <w:gridSpan w:val="2"/>
            <w:tcBorders>
              <w:top w:val="single" w:color="auto" w:sz="4" w:space="0"/>
              <w:left w:val="single" w:color="auto" w:sz="4" w:space="0"/>
              <w:right w:val="single" w:color="auto" w:sz="4" w:space="0"/>
            </w:tcBorders>
            <w:vAlign w:val="center"/>
          </w:tcPr>
          <w:p w14:paraId="0C9CA099">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投标人202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年1月1日以来（以合同签订时间为准）</w:t>
            </w:r>
            <w:r>
              <w:rPr>
                <w:rFonts w:hint="eastAsia" w:ascii="宋体" w:hAnsi="宋体" w:eastAsia="宋体" w:cs="宋体"/>
                <w:color w:val="auto"/>
                <w:sz w:val="24"/>
                <w:szCs w:val="24"/>
              </w:rPr>
              <w:t>承担过的类似规划项目业绩（城乡规划、国土空间规划、生态规划、乡村规划等规划业绩）每项得3分，最多得9分（以合同协议书为准，</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文件中附合同原件</w:t>
            </w:r>
            <w:r>
              <w:rPr>
                <w:rFonts w:hint="eastAsia" w:ascii="宋体" w:hAnsi="宋体" w:eastAsia="宋体" w:cs="宋体"/>
                <w:color w:val="auto"/>
                <w:sz w:val="24"/>
                <w:szCs w:val="24"/>
                <w:lang w:val="en-US" w:eastAsia="zh-CN"/>
              </w:rPr>
              <w:t>扫描件</w:t>
            </w:r>
            <w:r>
              <w:rPr>
                <w:rFonts w:hint="eastAsia" w:ascii="宋体" w:hAnsi="宋体" w:eastAsia="宋体" w:cs="宋体"/>
                <w:color w:val="auto"/>
                <w:sz w:val="24"/>
                <w:szCs w:val="24"/>
              </w:rPr>
              <w:t>，否则不得分）。</w:t>
            </w:r>
          </w:p>
        </w:tc>
      </w:tr>
      <w:tr w14:paraId="687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134" w:type="dxa"/>
            <w:vMerge w:val="continue"/>
            <w:tcBorders>
              <w:left w:val="single" w:color="auto" w:sz="4" w:space="0"/>
              <w:right w:val="single" w:color="auto" w:sz="4" w:space="0"/>
            </w:tcBorders>
            <w:vAlign w:val="center"/>
          </w:tcPr>
          <w:p w14:paraId="6E63857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401" w:type="dxa"/>
            <w:tcBorders>
              <w:left w:val="single" w:color="auto" w:sz="4" w:space="0"/>
              <w:right w:val="single" w:color="auto" w:sz="4" w:space="0"/>
            </w:tcBorders>
            <w:vAlign w:val="center"/>
          </w:tcPr>
          <w:p w14:paraId="759FB62B">
            <w:pPr>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项目管理机构</w:t>
            </w:r>
          </w:p>
          <w:p w14:paraId="3CFD9366">
            <w:pPr>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c>
          <w:tcPr>
            <w:tcW w:w="7173" w:type="dxa"/>
            <w:gridSpan w:val="2"/>
            <w:tcBorders>
              <w:top w:val="single" w:color="auto" w:sz="4" w:space="0"/>
              <w:left w:val="single" w:color="auto" w:sz="4" w:space="0"/>
              <w:right w:val="single" w:color="auto" w:sz="4" w:space="0"/>
            </w:tcBorders>
            <w:shd w:val="clear" w:color="auto" w:fill="auto"/>
            <w:vAlign w:val="center"/>
          </w:tcPr>
          <w:p w14:paraId="68C9D2F2">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项目组（除项目负责人外）其他人员具有注册城市（城乡）规划师资格或一级注册建筑师资格或城乡规划、</w:t>
            </w:r>
            <w:r>
              <w:rPr>
                <w:rFonts w:hint="eastAsia" w:ascii="宋体" w:hAnsi="宋体" w:eastAsia="宋体" w:cs="宋体"/>
                <w:color w:val="auto"/>
                <w:sz w:val="24"/>
                <w:szCs w:val="24"/>
                <w:lang w:eastAsia="zh-CN"/>
              </w:rPr>
              <w:t>土地规划</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风景园林、市政工程、地理信息系统专业、测绘专业、</w:t>
            </w:r>
            <w:r>
              <w:rPr>
                <w:rFonts w:hint="eastAsia" w:ascii="宋体" w:hAnsi="宋体" w:eastAsia="宋体" w:cs="宋体"/>
                <w:color w:val="auto"/>
                <w:sz w:val="24"/>
                <w:szCs w:val="24"/>
              </w:rPr>
              <w:t>建筑专业中级及以上技术职称的，每具备1名得1分；本项最高得分为 7分</w:t>
            </w:r>
            <w:r>
              <w:rPr>
                <w:rFonts w:hint="eastAsia" w:ascii="宋体" w:hAnsi="宋体" w:eastAsia="宋体" w:cs="宋体"/>
                <w:color w:val="FF0000"/>
                <w:sz w:val="24"/>
                <w:szCs w:val="24"/>
                <w:lang w:eastAsia="zh-CN"/>
              </w:rPr>
              <w:t>（</w:t>
            </w:r>
            <w:r>
              <w:rPr>
                <w:rFonts w:hint="eastAsia" w:ascii="宋体" w:hAnsi="宋体" w:eastAsia="宋体" w:cs="宋体"/>
                <w:color w:val="auto"/>
                <w:sz w:val="24"/>
                <w:szCs w:val="24"/>
              </w:rPr>
              <w:t>每人只能计算一个专业，不得重复计分</w:t>
            </w:r>
            <w:r>
              <w:rPr>
                <w:rFonts w:hint="eastAsia" w:ascii="宋体" w:hAnsi="宋体" w:eastAsia="宋体" w:cs="宋体"/>
                <w:color w:val="auto"/>
                <w:sz w:val="24"/>
                <w:szCs w:val="24"/>
                <w:lang w:eastAsia="zh-CN"/>
              </w:rPr>
              <w:t>）。</w:t>
            </w:r>
          </w:p>
        </w:tc>
      </w:tr>
      <w:tr w14:paraId="035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1134" w:type="dxa"/>
            <w:vMerge w:val="continue"/>
            <w:tcBorders>
              <w:left w:val="single" w:color="auto" w:sz="4" w:space="0"/>
              <w:right w:val="single" w:color="auto" w:sz="4" w:space="0"/>
            </w:tcBorders>
          </w:tcPr>
          <w:p w14:paraId="604FC0CF">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401" w:type="dxa"/>
            <w:vAlign w:val="center"/>
          </w:tcPr>
          <w:p w14:paraId="482C283E">
            <w:pPr>
              <w:pStyle w:val="11"/>
              <w:spacing w:line="360"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服务承诺</w:t>
            </w:r>
          </w:p>
          <w:p w14:paraId="34CDF8F7">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rPr>
              <w:t>（8分）</w:t>
            </w:r>
          </w:p>
        </w:tc>
        <w:tc>
          <w:tcPr>
            <w:tcW w:w="7173" w:type="dxa"/>
            <w:gridSpan w:val="2"/>
            <w:shd w:val="clear" w:color="auto" w:fill="auto"/>
            <w:vAlign w:val="center"/>
          </w:tcPr>
          <w:p w14:paraId="37907179">
            <w:pPr>
              <w:pStyle w:val="11"/>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1、承诺能够严格执行各种专业规范，积极配合方案及相关编制审批时各项修改（3分）；</w:t>
            </w:r>
          </w:p>
          <w:p w14:paraId="58195DA1">
            <w:pPr>
              <w:pStyle w:val="11"/>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2、承诺后期的技术交底和相关配合，协助业主解决各种与编制有关的问题的承诺（3分）；</w:t>
            </w:r>
          </w:p>
          <w:p w14:paraId="40501CF0">
            <w:pPr>
              <w:pStyle w:val="11"/>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4、有利于招标人的其他承诺（2分）；</w:t>
            </w:r>
          </w:p>
          <w:p w14:paraId="621901D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sz w:val="24"/>
                <w:szCs w:val="24"/>
                <w:lang w:val="en-US" w:eastAsia="zh-CN"/>
              </w:rPr>
              <w:t>本项最多8分，缺项不得分。</w:t>
            </w:r>
          </w:p>
        </w:tc>
      </w:tr>
    </w:tbl>
    <w:p w14:paraId="43B16DFA">
      <w:pPr>
        <w:keepNext w:val="0"/>
        <w:keepLines w:val="0"/>
        <w:pageBreakBefore w:val="0"/>
        <w:kinsoku/>
        <w:wordWrap/>
        <w:overflowPunct/>
        <w:topLinePunct w:val="0"/>
        <w:autoSpaceDE/>
        <w:autoSpaceDN/>
        <w:bidi w:val="0"/>
        <w:spacing w:line="360" w:lineRule="auto"/>
        <w:ind w:firstLine="643"/>
        <w:jc w:val="center"/>
        <w:outlineLvl w:val="9"/>
        <w:rPr>
          <w:rFonts w:hint="eastAsia" w:ascii="宋体" w:hAnsi="宋体" w:eastAsia="宋体" w:cs="宋体"/>
          <w:b/>
          <w:color w:val="auto"/>
          <w:sz w:val="24"/>
          <w:szCs w:val="24"/>
        </w:rPr>
      </w:pPr>
    </w:p>
    <w:p w14:paraId="2F2098D4">
      <w:pPr>
        <w:pStyle w:val="13"/>
        <w:keepNext w:val="0"/>
        <w:keepLines w:val="0"/>
        <w:pageBreakBefore w:val="0"/>
        <w:kinsoku/>
        <w:wordWrap/>
        <w:overflowPunct/>
        <w:topLinePunct w:val="0"/>
        <w:autoSpaceDE/>
        <w:autoSpaceDN/>
        <w:bidi w:val="0"/>
        <w:spacing w:line="360" w:lineRule="auto"/>
        <w:ind w:firstLine="400"/>
        <w:outlineLvl w:val="9"/>
        <w:rPr>
          <w:rFonts w:hint="eastAsia" w:ascii="宋体" w:hAnsi="宋体" w:eastAsia="宋体" w:cs="宋体"/>
          <w:color w:val="auto"/>
          <w:sz w:val="24"/>
          <w:szCs w:val="24"/>
        </w:rPr>
      </w:pPr>
    </w:p>
    <w:p w14:paraId="38217FB2">
      <w:pPr>
        <w:spacing w:line="360" w:lineRule="auto"/>
        <w:ind w:firstLine="643"/>
        <w:jc w:val="center"/>
        <w:rPr>
          <w:rFonts w:cs="Times New Roman" w:asciiTheme="minorEastAsia" w:hAnsiTheme="minorEastAsia"/>
          <w:b/>
          <w:color w:val="auto"/>
          <w:sz w:val="32"/>
          <w:szCs w:val="32"/>
        </w:rPr>
      </w:pPr>
    </w:p>
    <w:p w14:paraId="06AE0A67">
      <w:pPr>
        <w:spacing w:line="360" w:lineRule="auto"/>
        <w:ind w:firstLine="643"/>
        <w:rPr>
          <w:rFonts w:cs="Times New Roman" w:asciiTheme="minorEastAsia" w:hAnsiTheme="minorEastAsia"/>
          <w:b/>
          <w:color w:val="auto"/>
          <w:sz w:val="32"/>
          <w:szCs w:val="32"/>
        </w:rPr>
        <w:sectPr>
          <w:pgSz w:w="11906" w:h="16838"/>
          <w:pgMar w:top="1440" w:right="1800" w:bottom="1440" w:left="1800" w:header="851" w:footer="992" w:gutter="0"/>
          <w:cols w:space="425" w:num="1"/>
          <w:docGrid w:type="lines" w:linePitch="312" w:charSpace="0"/>
        </w:sectPr>
      </w:pPr>
    </w:p>
    <w:p w14:paraId="7585D152">
      <w:pPr>
        <w:pStyle w:val="21"/>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color w:val="auto"/>
          <w:sz w:val="28"/>
          <w:szCs w:val="28"/>
        </w:rPr>
      </w:pPr>
      <w:bookmarkStart w:id="38" w:name="_Toc27694"/>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磋商文件格式</w:t>
      </w:r>
      <w:bookmarkEnd w:id="38"/>
    </w:p>
    <w:p w14:paraId="74A04485">
      <w:pPr>
        <w:kinsoku/>
        <w:overflowPunct/>
        <w:topLinePunct w:val="0"/>
        <w:bidi w:val="0"/>
        <w:spacing w:line="360" w:lineRule="auto"/>
        <w:ind w:firstLine="643"/>
        <w:textAlignment w:val="auto"/>
        <w:outlineLvl w:val="9"/>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封面</w:t>
      </w:r>
    </w:p>
    <w:p w14:paraId="722AE821">
      <w:pPr>
        <w:widowControl/>
        <w:kinsoku/>
        <w:overflowPunct/>
        <w:topLinePunct w:val="0"/>
        <w:bidi w:val="0"/>
        <w:jc w:val="both"/>
        <w:textAlignment w:val="auto"/>
        <w:outlineLvl w:val="9"/>
        <w:rPr>
          <w:rFonts w:hint="eastAsia" w:cs="Times New Roman" w:asciiTheme="minorEastAsia" w:hAnsiTheme="minorEastAsia"/>
          <w:b/>
          <w:bCs/>
          <w:color w:val="auto"/>
          <w:kern w:val="0"/>
          <w:sz w:val="48"/>
          <w:szCs w:val="48"/>
        </w:rPr>
      </w:pPr>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9" w:name="_Toc223432387"/>
      <w:bookmarkEnd w:id="39"/>
      <w:bookmarkStart w:id="40" w:name="_Toc169921407"/>
      <w:bookmarkEnd w:id="40"/>
      <w:bookmarkStart w:id="41" w:name="_Toc171073042"/>
      <w:bookmarkEnd w:id="41"/>
      <w:bookmarkStart w:id="42" w:name="_Toc171073207"/>
      <w:bookmarkEnd w:id="42"/>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13"/>
        <w:kinsoku/>
        <w:overflowPunct/>
        <w:topLinePunct w:val="0"/>
        <w:bidi w:val="0"/>
        <w:ind w:firstLine="400"/>
        <w:textAlignment w:val="auto"/>
        <w:outlineLvl w:val="9"/>
        <w:rPr>
          <w:color w:val="auto"/>
        </w:rPr>
      </w:pPr>
    </w:p>
    <w:p w14:paraId="57DEC959">
      <w:pPr>
        <w:pStyle w:val="13"/>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en-US" w:eastAsia="zh-CN"/>
        </w:rPr>
        <w:t xml:space="preserve"> 磋商</w:t>
      </w: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rPr>
        <w:t>（盖章）</w:t>
      </w:r>
    </w:p>
    <w:p w14:paraId="23C3076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rPr>
        <w:t>（签字或盖章）</w:t>
      </w:r>
    </w:p>
    <w:p w14:paraId="5FE14FC0">
      <w:pPr>
        <w:keepNext w:val="0"/>
        <w:keepLines w:val="0"/>
        <w:pageBreakBefore w:val="0"/>
        <w:kinsoku/>
        <w:wordWrap/>
        <w:overflowPunct/>
        <w:topLinePunct w:val="0"/>
        <w:autoSpaceDE/>
        <w:autoSpaceDN/>
        <w:bidi w:val="0"/>
        <w:adjustRightInd/>
        <w:snapToGrid/>
        <w:spacing w:line="360" w:lineRule="auto"/>
        <w:ind w:firstLine="2520" w:firstLineChars="900"/>
        <w:jc w:val="both"/>
        <w:textAlignment w:val="auto"/>
        <w:outlineLvl w:val="9"/>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p>
    <w:p w14:paraId="3D970EA3">
      <w:pPr>
        <w:kinsoku/>
        <w:overflowPunct/>
        <w:topLinePunct w:val="0"/>
        <w:bidi w:val="0"/>
        <w:ind w:firstLine="560"/>
        <w:jc w:val="center"/>
        <w:textAlignment w:val="auto"/>
        <w:outlineLvl w:val="9"/>
        <w:rPr>
          <w:rFonts w:cs="Times New Roman" w:asciiTheme="minorEastAsia" w:hAnsiTheme="minorEastAsia"/>
          <w:color w:val="auto"/>
        </w:rPr>
        <w:sectPr>
          <w:pgSz w:w="11906" w:h="16838"/>
          <w:pgMar w:top="1440" w:right="1800" w:bottom="1440" w:left="1800" w:header="851" w:footer="992" w:gutter="0"/>
          <w:cols w:space="425" w:num="1"/>
          <w:docGrid w:type="lines" w:linePitch="312" w:charSpace="0"/>
        </w:sectPr>
      </w:pP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一、磋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cs="Times New Roman" w:asciiTheme="minorEastAsia" w:hAnsiTheme="minorEastAsia"/>
          <w:color w:val="auto"/>
          <w:kern w:val="0"/>
          <w:sz w:val="24"/>
          <w:szCs w:val="24"/>
        </w:rPr>
      </w:pPr>
      <w:bookmarkStart w:id="43" w:name="OLE_LINK11"/>
      <w:bookmarkEnd w:id="43"/>
      <w:bookmarkStart w:id="44" w:name="OLE_LINK7"/>
      <w:r>
        <w:rPr>
          <w:rFonts w:hint="eastAsia" w:cs="Times New Roman" w:asciiTheme="minorEastAsia" w:hAnsiTheme="minorEastAsia"/>
          <w:color w:val="auto"/>
          <w:spacing w:val="46"/>
          <w:kern w:val="0"/>
          <w:sz w:val="24"/>
          <w:szCs w:val="24"/>
        </w:rPr>
        <w:t>致</w:t>
      </w:r>
      <w:bookmarkEnd w:id="44"/>
      <w:r>
        <w:rPr>
          <w:rFonts w:hint="eastAsia" w:cs="Times New Roman" w:asciiTheme="minorEastAsia" w:hAnsiTheme="minorEastAsia"/>
          <w:color w:val="auto"/>
          <w:spacing w:val="46"/>
          <w:kern w:val="0"/>
          <w:sz w:val="24"/>
          <w:szCs w:val="24"/>
          <w:u w:val="single"/>
        </w:rPr>
        <w:t xml:space="preserve"> （采购人） </w:t>
      </w:r>
      <w:r>
        <w:rPr>
          <w:rFonts w:hint="eastAsia" w:cs="Times New Roman" w:asciiTheme="minorEastAsia" w:hAnsiTheme="minorEastAsia"/>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元）的投标总报价，服务期限：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2552E19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1、我方已详细审核并确认全部</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文件，包括修改文件（如有时）及有关附件。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4540BE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3、我方同意所提交的投标文件在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文件规定的投标有效期内有效，在此期间内如果中标，我方将受此约束。</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600" w:lineRule="exact"/>
        <w:jc w:val="left"/>
        <w:rPr>
          <w:rFonts w:hint="eastAsia" w:ascii="宋体" w:hAnsi="宋体"/>
          <w:color w:val="auto"/>
          <w:kern w:val="0"/>
          <w:sz w:val="24"/>
          <w:szCs w:val="24"/>
        </w:rPr>
      </w:pP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5D71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磋商供应商：（盖章） </w:t>
      </w:r>
    </w:p>
    <w:p w14:paraId="43C936A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p w14:paraId="46B9D72B">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年 月 日 </w:t>
      </w:r>
    </w:p>
    <w:p w14:paraId="065EE1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cs="Times New Roman" w:asciiTheme="minorEastAsia" w:hAnsiTheme="minorEastAsia"/>
          <w:bCs/>
          <w:color w:val="auto"/>
          <w:szCs w:val="21"/>
        </w:rPr>
        <w:br w:type="page"/>
      </w:r>
      <w:bookmarkStart w:id="45" w:name="_Toc109675042"/>
      <w:bookmarkStart w:id="46" w:name="_Toc145065229"/>
      <w:bookmarkStart w:id="47" w:name="_Toc145065059"/>
      <w:r>
        <w:rPr>
          <w:rFonts w:hint="eastAsia" w:cs="Times New Roman" w:asciiTheme="minorEastAsia" w:hAnsiTheme="minorEastAsia"/>
          <w:b/>
          <w:bCs/>
          <w:color w:val="auto"/>
          <w:kern w:val="0"/>
          <w:sz w:val="28"/>
          <w:szCs w:val="28"/>
        </w:rPr>
        <w:t>二、磋商函附表</w:t>
      </w:r>
      <w:bookmarkEnd w:id="45"/>
      <w:bookmarkEnd w:id="46"/>
      <w:bookmarkEnd w:id="47"/>
    </w:p>
    <w:tbl>
      <w:tblPr>
        <w:tblStyle w:val="22"/>
        <w:tblpPr w:leftFromText="180" w:rightFromText="180" w:vertAnchor="text" w:horzAnchor="page" w:tblpXSpec="center" w:tblpY="294"/>
        <w:tblOverlap w:val="never"/>
        <w:tblW w:w="9042"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572"/>
        <w:gridCol w:w="1936"/>
        <w:gridCol w:w="1623"/>
        <w:gridCol w:w="1869"/>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投标供应商</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投标总报价</w:t>
            </w:r>
          </w:p>
        </w:tc>
        <w:tc>
          <w:tcPr>
            <w:tcW w:w="7000"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投标有效期</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572" w:type="dxa"/>
            <w:tcBorders>
              <w:top w:val="single" w:color="auto" w:sz="6" w:space="0"/>
              <w:left w:val="single" w:color="auto" w:sz="6" w:space="0"/>
              <w:bottom w:val="single" w:color="auto" w:sz="6" w:space="0"/>
              <w:right w:val="single" w:color="auto" w:sz="6" w:space="0"/>
            </w:tcBorders>
            <w:vAlign w:val="center"/>
          </w:tcPr>
          <w:p w14:paraId="4E38C2C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936" w:type="dxa"/>
            <w:tcBorders>
              <w:top w:val="single" w:color="auto" w:sz="6" w:space="0"/>
              <w:left w:val="single" w:color="auto" w:sz="6" w:space="0"/>
              <w:bottom w:val="single" w:color="auto" w:sz="6" w:space="0"/>
              <w:right w:val="single" w:color="auto" w:sz="6" w:space="0"/>
            </w:tcBorders>
            <w:vAlign w:val="center"/>
          </w:tcPr>
          <w:p w14:paraId="33677CDB">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c>
          <w:tcPr>
            <w:tcW w:w="1623" w:type="dxa"/>
            <w:tcBorders>
              <w:top w:val="single" w:color="auto" w:sz="6" w:space="0"/>
              <w:left w:val="single" w:color="auto" w:sz="6" w:space="0"/>
              <w:bottom w:val="single" w:color="auto" w:sz="6" w:space="0"/>
              <w:right w:val="single" w:color="auto" w:sz="6" w:space="0"/>
            </w:tcBorders>
            <w:vAlign w:val="center"/>
          </w:tcPr>
          <w:p w14:paraId="4831B664">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sz w:val="24"/>
                <w:szCs w:val="24"/>
                <w:lang w:eastAsia="zh-CN"/>
              </w:rPr>
              <w:t>证书编号</w:t>
            </w:r>
          </w:p>
        </w:tc>
        <w:tc>
          <w:tcPr>
            <w:tcW w:w="1869" w:type="dxa"/>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614C7A69">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7191335">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0812645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48" w:name="_Toc145065060"/>
      <w:bookmarkStart w:id="49" w:name="_Toc145065230"/>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法定代表人</w:t>
      </w:r>
      <w:r>
        <w:rPr>
          <w:rFonts w:hint="eastAsia" w:cs="宋体" w:asciiTheme="minorEastAsia" w:hAnsiTheme="minorEastAsia"/>
          <w:color w:val="auto"/>
          <w:sz w:val="24"/>
          <w:szCs w:val="24"/>
        </w:rPr>
        <w:t>（</w:t>
      </w:r>
      <w:r>
        <w:rPr>
          <w:rFonts w:cs="宋体" w:asciiTheme="minorEastAsia" w:hAnsiTheme="minorEastAsia"/>
          <w:color w:val="auto"/>
          <w:sz w:val="24"/>
          <w:szCs w:val="24"/>
        </w:rPr>
        <w:t>签字或</w:t>
      </w:r>
      <w:r>
        <w:rPr>
          <w:rFonts w:hint="eastAsia" w:cs="宋体" w:asciiTheme="minorEastAsia" w:hAnsiTheme="minorEastAsia"/>
          <w:color w:val="auto"/>
          <w:sz w:val="24"/>
          <w:szCs w:val="24"/>
        </w:rPr>
        <w:t>盖章）</w:t>
      </w:r>
      <w:r>
        <w:rPr>
          <w:rFonts w:cs="宋体" w:asciiTheme="minorEastAsia" w:hAnsiTheme="minorEastAsia"/>
          <w:color w:val="auto"/>
          <w:sz w:val="24"/>
          <w:szCs w:val="24"/>
        </w:rPr>
        <w:t>：</w:t>
      </w:r>
      <w:bookmarkEnd w:id="48"/>
      <w:bookmarkEnd w:id="49"/>
    </w:p>
    <w:p w14:paraId="3991A53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50" w:name="_Toc145065231"/>
      <w:bookmarkStart w:id="51" w:name="_Toc145065061"/>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磋商供应商：（盖章）</w:t>
      </w:r>
      <w:bookmarkEnd w:id="50"/>
      <w:bookmarkEnd w:id="51"/>
    </w:p>
    <w:p w14:paraId="7916341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kern w:val="0"/>
          <w:sz w:val="24"/>
          <w:szCs w:val="24"/>
        </w:rPr>
        <w:t>日 期： 年 月 日</w:t>
      </w:r>
    </w:p>
    <w:p w14:paraId="31B45BBC">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cols w:space="425" w:num="1"/>
          <w:docGrid w:type="lines" w:linePitch="312" w:charSpace="0"/>
        </w:sect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5B9F13A0">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52" w:name="_Toc145065233"/>
      <w:bookmarkStart w:id="53" w:name="_Toc145065063"/>
      <w:bookmarkStart w:id="54" w:name="_Toc109675041"/>
      <w:r>
        <w:rPr>
          <w:rFonts w:hint="eastAsia" w:cs="宋体" w:asciiTheme="minorEastAsia" w:hAnsiTheme="minorEastAsia"/>
          <w:color w:val="auto"/>
          <w:sz w:val="24"/>
          <w:szCs w:val="24"/>
        </w:rPr>
        <w:t>后附法定代表人身份证正反面原件扫描件</w:t>
      </w:r>
      <w:bookmarkEnd w:id="52"/>
      <w:bookmarkEnd w:id="53"/>
      <w:bookmarkEnd w:id="54"/>
    </w:p>
    <w:p w14:paraId="5444D2D1">
      <w:pPr>
        <w:pStyle w:val="13"/>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13"/>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10AB1BE2">
      <w:pPr>
        <w:pStyle w:val="13"/>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磋商供应商：(盖章)</w:t>
      </w:r>
    </w:p>
    <w:p w14:paraId="032FC6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日  期：   年</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日</w:t>
      </w:r>
    </w:p>
    <w:p w14:paraId="431B69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rPr>
        <w:t>四、授权委托书</w:t>
      </w:r>
    </w:p>
    <w:p w14:paraId="5D7FC994">
      <w:pPr>
        <w:pStyle w:val="37"/>
        <w:keepNext w:val="0"/>
        <w:keepLines w:val="0"/>
        <w:pageBreakBefore w:val="0"/>
        <w:kinsoku/>
        <w:wordWrap/>
        <w:overflowPunct/>
        <w:topLinePunct w:val="0"/>
        <w:autoSpaceDE/>
        <w:autoSpaceDN/>
        <w:bidi w:val="0"/>
        <w:adjustRightInd/>
        <w:snapToGrid/>
        <w:spacing w:line="360" w:lineRule="auto"/>
        <w:ind w:firstLine="532" w:firstLineChars="222"/>
        <w:textAlignment w:val="auto"/>
        <w:outlineLvl w:val="9"/>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本授权委托书声明：本人</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（姓名）系</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（供应商名称）的法定代表人，现授权委托本单位在职员工</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（姓名，职务）（身份证号码：</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 xml:space="preserve">）作为供应商代表以我方的名义参加贵单位组织的 </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项目（项目名称）的采购活动，并代表我方全权处理一切与之有关的具体事务和签署相关文件，我均予以承认。</w:t>
      </w:r>
    </w:p>
    <w:p w14:paraId="54CDE1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代理人无转委托权，特此委托。</w:t>
      </w:r>
    </w:p>
    <w:p w14:paraId="6B440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附：法人和被授权人身份证复印件</w:t>
      </w:r>
    </w:p>
    <w:p w14:paraId="111C939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42E3AC8A">
      <w:pPr>
        <w:pStyle w:val="13"/>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6306D11E">
      <w:pPr>
        <w:pStyle w:val="13"/>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F0D1A85">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none"/>
        </w:rPr>
      </w:pPr>
      <w:r>
        <w:rPr>
          <w:rFonts w:hint="eastAsia" w:cs="Times New Roman" w:asciiTheme="minorEastAsia" w:hAnsiTheme="minorEastAsia"/>
          <w:color w:val="auto"/>
          <w:kern w:val="0"/>
          <w:sz w:val="24"/>
          <w:szCs w:val="24"/>
        </w:rPr>
        <w:t>磋商供应商</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u w:val="none"/>
        </w:rPr>
        <w:t>（盖章）</w:t>
      </w:r>
    </w:p>
    <w:p w14:paraId="0B91716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32E313F">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法定代表人：</w:t>
      </w:r>
      <w:r>
        <w:rPr>
          <w:rFonts w:hint="eastAsia" w:cs="Times New Roman" w:asciiTheme="minorEastAsia" w:hAnsiTheme="minorEastAsia"/>
          <w:color w:val="auto"/>
          <w:kern w:val="0"/>
          <w:sz w:val="24"/>
          <w:szCs w:val="24"/>
          <w:u w:val="none"/>
        </w:rPr>
        <w:t>（签字或盖章）</w:t>
      </w:r>
    </w:p>
    <w:p w14:paraId="39969C8D">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9F01146">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授权委托日期：年  月  日</w:t>
      </w:r>
    </w:p>
    <w:p w14:paraId="5B36A840">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bookmarkStart w:id="55" w:name="_Toc223432391"/>
      <w:bookmarkEnd w:id="55"/>
      <w:bookmarkStart w:id="56" w:name="_Toc171073211"/>
      <w:bookmarkEnd w:id="56"/>
      <w:bookmarkStart w:id="57" w:name="_Toc171073046"/>
      <w:bookmarkEnd w:id="57"/>
      <w:bookmarkStart w:id="58" w:name="_Toc169921411"/>
      <w:bookmarkEnd w:id="58"/>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74B26A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cols w:space="425" w:num="1"/>
          <w:docGrid w:type="lines" w:linePitch="312" w:charSpace="0"/>
        </w:sectPr>
      </w:pPr>
      <w:bookmarkStart w:id="59" w:name="_Toc438305223"/>
    </w:p>
    <w:bookmarkEnd w:id="59"/>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rPr>
        <w:t>五、</w:t>
      </w:r>
      <w:r>
        <w:rPr>
          <w:rFonts w:hint="eastAsia" w:cs="Times New Roman" w:asciiTheme="minorEastAsia" w:hAnsiTheme="minorEastAsia"/>
          <w:b/>
          <w:bCs/>
          <w:color w:val="auto"/>
          <w:kern w:val="0"/>
          <w:sz w:val="28"/>
          <w:szCs w:val="28"/>
        </w:rPr>
        <w:t>投标人业绩信誉资料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（1）投标人基本情况表</w:t>
      </w:r>
    </w:p>
    <w:tbl>
      <w:tblPr>
        <w:tblStyle w:val="22"/>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26E7D21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914"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914"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528"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450"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27"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430A9C68">
        <w:tblPrEx>
          <w:tblCellMar>
            <w:top w:w="0" w:type="dxa"/>
            <w:left w:w="0" w:type="dxa"/>
            <w:bottom w:w="0" w:type="dxa"/>
            <w:right w:w="0" w:type="dxa"/>
          </w:tblCellMar>
        </w:tblPrEx>
        <w:trPr>
          <w:trHeight w:val="2564"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5AC4FC8">
            <w:pPr>
              <w:keepNext w:val="0"/>
              <w:keepLines w:val="0"/>
              <w:pageBreakBefore w:val="0"/>
              <w:kinsoku/>
              <w:wordWrap/>
              <w:overflowPunct/>
              <w:topLinePunct w:val="0"/>
              <w:autoSpaceDE w:val="0"/>
              <w:autoSpaceDN w:val="0"/>
              <w:bidi w:val="0"/>
              <w:adjustRightInd w:val="0"/>
              <w:snapToGrid/>
              <w:spacing w:before="48" w:line="360" w:lineRule="auto"/>
              <w:ind w:right="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联</w:t>
            </w:r>
            <w:r>
              <w:rPr>
                <w:rFonts w:hint="eastAsia" w:ascii="宋体" w:hAnsi="宋体" w:eastAsia="宋体" w:cs="宋体"/>
                <w:color w:val="auto"/>
                <w:kern w:val="0"/>
                <w:sz w:val="24"/>
                <w:szCs w:val="24"/>
              </w:rPr>
              <w:t>企</w:t>
            </w:r>
            <w:r>
              <w:rPr>
                <w:rFonts w:hint="eastAsia" w:ascii="宋体" w:hAnsi="宋体" w:eastAsia="宋体" w:cs="宋体"/>
                <w:color w:val="auto"/>
                <w:spacing w:val="-2"/>
                <w:kern w:val="0"/>
                <w:sz w:val="24"/>
                <w:szCs w:val="24"/>
              </w:rPr>
              <w:t>业</w:t>
            </w:r>
            <w:r>
              <w:rPr>
                <w:rFonts w:hint="eastAsia" w:ascii="宋体" w:hAnsi="宋体" w:eastAsia="宋体" w:cs="宋体"/>
                <w:color w:val="auto"/>
                <w:kern w:val="0"/>
                <w:sz w:val="24"/>
                <w:szCs w:val="24"/>
              </w:rPr>
              <w:t>情</w:t>
            </w:r>
            <w:r>
              <w:rPr>
                <w:rFonts w:hint="eastAsia" w:ascii="宋体" w:hAnsi="宋体" w:eastAsia="宋体" w:cs="宋体"/>
                <w:color w:val="auto"/>
                <w:spacing w:val="-60"/>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包</w:t>
            </w:r>
            <w:r>
              <w:rPr>
                <w:rFonts w:hint="eastAsia" w:ascii="宋体" w:hAnsi="宋体" w:eastAsia="宋体" w:cs="宋体"/>
                <w:color w:val="auto"/>
                <w:kern w:val="0"/>
                <w:sz w:val="24"/>
                <w:szCs w:val="24"/>
              </w:rPr>
              <w:t>括</w:t>
            </w:r>
            <w:r>
              <w:rPr>
                <w:rFonts w:hint="eastAsia" w:ascii="宋体" w:hAnsi="宋体" w:eastAsia="宋体" w:cs="宋体"/>
                <w:color w:val="auto"/>
                <w:spacing w:val="-2"/>
                <w:kern w:val="0"/>
                <w:sz w:val="24"/>
                <w:szCs w:val="24"/>
              </w:rPr>
              <w:t>但</w:t>
            </w:r>
            <w:r>
              <w:rPr>
                <w:rFonts w:hint="eastAsia" w:ascii="宋体" w:hAnsi="宋体" w:eastAsia="宋体" w:cs="宋体"/>
                <w:color w:val="auto"/>
                <w:kern w:val="0"/>
                <w:sz w:val="24"/>
                <w:szCs w:val="24"/>
              </w:rPr>
              <w:t>不</w:t>
            </w:r>
            <w:r>
              <w:rPr>
                <w:rFonts w:hint="eastAsia" w:ascii="宋体" w:hAnsi="宋体" w:eastAsia="宋体" w:cs="宋体"/>
                <w:color w:val="auto"/>
                <w:spacing w:val="-2"/>
                <w:kern w:val="0"/>
                <w:sz w:val="24"/>
                <w:szCs w:val="24"/>
              </w:rPr>
              <w:t>限</w:t>
            </w:r>
            <w:r>
              <w:rPr>
                <w:rFonts w:hint="eastAsia" w:ascii="宋体" w:hAnsi="宋体" w:eastAsia="宋体" w:cs="宋体"/>
                <w:color w:val="auto"/>
                <w:kern w:val="0"/>
                <w:sz w:val="24"/>
                <w:szCs w:val="24"/>
              </w:rPr>
              <w:t>于与投标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代</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人为同</w:t>
            </w:r>
            <w:r>
              <w:rPr>
                <w:rFonts w:hint="eastAsia" w:ascii="宋体" w:hAnsi="宋体" w:eastAsia="宋体" w:cs="宋体"/>
                <w:color w:val="auto"/>
                <w:spacing w:val="-2"/>
                <w:kern w:val="0"/>
                <w:sz w:val="24"/>
                <w:szCs w:val="24"/>
              </w:rPr>
              <w:t>一</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在控股</w:t>
            </w:r>
            <w:r>
              <w:rPr>
                <w:rFonts w:hint="eastAsia" w:ascii="宋体" w:hAnsi="宋体" w:eastAsia="宋体" w:cs="宋体"/>
                <w:color w:val="auto"/>
                <w:spacing w:val="-62"/>
                <w:kern w:val="0"/>
                <w:sz w:val="24"/>
                <w:szCs w:val="24"/>
              </w:rPr>
              <w:t>、</w:t>
            </w:r>
            <w:r>
              <w:rPr>
                <w:rFonts w:hint="eastAsia" w:ascii="宋体" w:hAnsi="宋体" w:eastAsia="宋体" w:cs="宋体"/>
                <w:color w:val="auto"/>
                <w:kern w:val="0"/>
                <w:sz w:val="24"/>
                <w:szCs w:val="24"/>
              </w:rPr>
              <w:t>管</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系</w:t>
            </w:r>
            <w:r>
              <w:rPr>
                <w:rFonts w:hint="eastAsia" w:ascii="宋体" w:hAnsi="宋体" w:eastAsia="宋体" w:cs="宋体"/>
                <w:color w:val="auto"/>
                <w:kern w:val="0"/>
                <w:sz w:val="24"/>
                <w:szCs w:val="24"/>
              </w:rPr>
              <w:t>的不同单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tc>
        <w:tc>
          <w:tcPr>
            <w:tcW w:w="6885" w:type="dxa"/>
            <w:gridSpan w:val="8"/>
            <w:tcBorders>
              <w:top w:val="single" w:color="000000" w:sz="4" w:space="0"/>
              <w:left w:val="nil"/>
              <w:bottom w:val="single" w:color="000000" w:sz="4" w:space="0"/>
              <w:right w:val="single" w:color="000000" w:sz="4" w:space="0"/>
            </w:tcBorders>
          </w:tcPr>
          <w:p w14:paraId="42FA268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265E20F1">
      <w:pPr>
        <w:keepNext w:val="0"/>
        <w:keepLines w:val="0"/>
        <w:pageBreakBefore w:val="0"/>
        <w:kinsoku/>
        <w:wordWrap/>
        <w:overflowPunct/>
        <w:topLinePunct w:val="0"/>
        <w:bidi w:val="0"/>
        <w:snapToGrid/>
        <w:spacing w:line="360" w:lineRule="auto"/>
        <w:ind w:left="780"/>
        <w:textAlignment w:val="auto"/>
        <w:outlineLvl w:val="9"/>
        <w:rPr>
          <w:rFonts w:hint="eastAsia" w:ascii="宋体" w:hAnsi="宋体" w:eastAsia="宋体" w:cs="宋体"/>
          <w:color w:val="auto"/>
          <w:sz w:val="24"/>
          <w:szCs w:val="24"/>
        </w:rPr>
      </w:pPr>
    </w:p>
    <w:p w14:paraId="363EDD8E">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498AC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2C990C4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pacing w:val="46"/>
          <w:kern w:val="0"/>
          <w:sz w:val="24"/>
          <w:szCs w:val="24"/>
        </w:rPr>
        <w:t xml:space="preserve">                  日 期： 年 月 日</w:t>
      </w:r>
    </w:p>
    <w:p w14:paraId="1AB59B80">
      <w:pPr>
        <w:keepNext w:val="0"/>
        <w:keepLines w:val="0"/>
        <w:pageBreakBefore w:val="0"/>
        <w:widowControl/>
        <w:shd w:val="clear" w:color="auto" w:fill="FFFFFF"/>
        <w:kinsoku/>
        <w:wordWrap/>
        <w:overflowPunct/>
        <w:topLinePunct w:val="0"/>
        <w:bidi w:val="0"/>
        <w:snapToGrid/>
        <w:spacing w:before="100" w:beforeAutospacing="1" w:after="100" w:afterAutospacing="1" w:line="360" w:lineRule="auto"/>
        <w:jc w:val="center"/>
        <w:textAlignment w:val="auto"/>
        <w:outlineLvl w:val="9"/>
        <w:rPr>
          <w:rFonts w:hint="eastAsia" w:ascii="宋体" w:hAnsi="宋体" w:eastAsia="宋体" w:cs="宋体"/>
          <w:bCs/>
          <w:color w:val="auto"/>
          <w:sz w:val="24"/>
          <w:szCs w:val="24"/>
        </w:rPr>
      </w:pPr>
    </w:p>
    <w:p w14:paraId="67A02FE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（2）类似项目业绩表</w:t>
      </w:r>
    </w:p>
    <w:tbl>
      <w:tblPr>
        <w:tblStyle w:val="22"/>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5DA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A09C13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50E017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57464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78C849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2BF3F4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4C5D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E8A2B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49DAE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271208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0BA7BB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2B479D1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26489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5BACF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EDA2B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0D72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307A8F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055335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1D0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1A1366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6F2C84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87EFB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F244A0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1767036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02453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764A67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2F2F6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DABFA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DBA63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4B657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279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0C19442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6B2A32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04A0F2C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7503880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0BD0AE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3772C94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51F71F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1F6BC1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5356CE3B">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371A7DAF">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cs="Times New Roman" w:asciiTheme="minorEastAsia" w:hAnsiTheme="minorEastAsia"/>
          <w:color w:val="auto"/>
          <w:spacing w:val="46"/>
          <w:kern w:val="0"/>
          <w:sz w:val="24"/>
          <w:szCs w:val="24"/>
        </w:rPr>
      </w:pPr>
    </w:p>
    <w:p w14:paraId="1C096AD6">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708568F">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521C64E2">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308EA585">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762DD9D">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7865D78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71C76B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23D0A26C">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5B2565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（3）资格证明资料</w:t>
      </w:r>
    </w:p>
    <w:p w14:paraId="16946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760CA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2.落实政府采购政策满足的资格要求：本项目非专门面向中小微企业采购项目，执行优先采购节能环保、环境标志性产品，促进中小企业（监狱企业、残疾人福利性企业）发展等政府采购政策；   </w:t>
      </w:r>
    </w:p>
    <w:p w14:paraId="2ABD4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293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3.1、投标供应商具有独立承担民事责任的能力（具有有效的营业执照或事业单位法人证书）；</w:t>
      </w:r>
    </w:p>
    <w:p w14:paraId="30BAB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3.2、供应商须具有</w:t>
      </w:r>
      <w:r>
        <w:rPr>
          <w:rFonts w:hint="eastAsia" w:ascii="宋体" w:hAnsi="宋体" w:eastAsia="宋体" w:cs="宋体"/>
          <w:color w:val="auto"/>
          <w:sz w:val="24"/>
          <w:szCs w:val="24"/>
          <w:lang w:eastAsia="zh-Hans"/>
        </w:rPr>
        <w:t>相关主管部门核发的城乡规划编制乙级及以上资质或土地规划乙级及以上资质</w:t>
      </w:r>
      <w:r>
        <w:rPr>
          <w:rFonts w:hint="eastAsia" w:ascii="宋体" w:hAnsi="宋体" w:eastAsia="宋体" w:cs="宋体"/>
          <w:color w:val="auto"/>
          <w:sz w:val="24"/>
          <w:szCs w:val="24"/>
          <w:lang w:eastAsia="zh-CN"/>
        </w:rPr>
        <w:t>；</w:t>
      </w:r>
    </w:p>
    <w:p w14:paraId="6AACD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Hans"/>
        </w:rPr>
        <w:t>拟派项目负责人须具有相关专业（</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lang w:eastAsia="zh-Hans"/>
        </w:rPr>
        <w:t>规划、</w:t>
      </w:r>
      <w:r>
        <w:rPr>
          <w:rFonts w:hint="eastAsia" w:ascii="宋体" w:hAnsi="宋体" w:eastAsia="宋体" w:cs="宋体"/>
          <w:color w:val="auto"/>
          <w:sz w:val="24"/>
          <w:szCs w:val="24"/>
          <w:lang w:eastAsia="zh-CN"/>
        </w:rPr>
        <w:t>城市规划、</w:t>
      </w:r>
      <w:r>
        <w:rPr>
          <w:rFonts w:hint="eastAsia" w:ascii="宋体" w:hAnsi="宋体" w:eastAsia="宋体" w:cs="宋体"/>
          <w:color w:val="auto"/>
          <w:sz w:val="24"/>
          <w:szCs w:val="24"/>
          <w:lang w:eastAsia="zh-Hans"/>
        </w:rPr>
        <w:t>土地</w:t>
      </w:r>
      <w:r>
        <w:rPr>
          <w:rFonts w:hint="eastAsia" w:ascii="宋体" w:hAnsi="宋体" w:eastAsia="宋体" w:cs="宋体"/>
          <w:color w:val="auto"/>
          <w:sz w:val="24"/>
          <w:szCs w:val="24"/>
          <w:lang w:eastAsia="zh-CN"/>
        </w:rPr>
        <w:t>规划</w:t>
      </w:r>
      <w:r>
        <w:rPr>
          <w:rFonts w:hint="eastAsia" w:ascii="宋体" w:hAnsi="宋体" w:eastAsia="宋体" w:cs="宋体"/>
          <w:color w:val="auto"/>
          <w:sz w:val="24"/>
          <w:szCs w:val="24"/>
          <w:lang w:eastAsia="zh-Hans"/>
        </w:rPr>
        <w:t>）中级及以上职称或注册城乡规划师执业资格,且为本单位正式员工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近三个月中任意一个月在职社保缴纳材料（若为刚入职新进人员，提供情况说明）</w:t>
      </w:r>
      <w:r>
        <w:rPr>
          <w:rFonts w:hint="eastAsia" w:ascii="宋体" w:hAnsi="宋体" w:eastAsia="宋体" w:cs="宋体"/>
          <w:color w:val="auto"/>
          <w:sz w:val="24"/>
          <w:szCs w:val="24"/>
        </w:rPr>
        <w:t>；</w:t>
      </w:r>
    </w:p>
    <w:p w14:paraId="35136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p w14:paraId="0659A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026C2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3.6、本项目不接受联合体投标</w:t>
      </w:r>
      <w:r>
        <w:rPr>
          <w:rFonts w:hint="eastAsia" w:ascii="宋体" w:hAnsi="宋体" w:eastAsia="宋体" w:cs="宋体"/>
          <w:color w:val="auto"/>
          <w:sz w:val="24"/>
          <w:szCs w:val="24"/>
          <w:lang w:eastAsia="zh-CN"/>
        </w:rPr>
        <w:t>；</w:t>
      </w:r>
    </w:p>
    <w:p w14:paraId="62783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rPr>
        <w:t>六、</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rPr>
        <w:t>七、</w:t>
      </w:r>
      <w:r>
        <w:rPr>
          <w:rFonts w:hint="eastAsia" w:cs="Times New Roman" w:asciiTheme="minorEastAsia" w:hAnsiTheme="minorEastAsia"/>
          <w:b/>
          <w:color w:val="auto"/>
          <w:kern w:val="0"/>
          <w:sz w:val="28"/>
          <w:szCs w:val="28"/>
        </w:rPr>
        <w:t>服务承诺书</w:t>
      </w:r>
    </w:p>
    <w:p w14:paraId="2CC967D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投标人自拟格式并阐述。</w:t>
      </w:r>
    </w:p>
    <w:p w14:paraId="43E87F13">
      <w:pPr>
        <w:widowControl/>
        <w:kinsoku/>
        <w:overflowPunct/>
        <w:topLinePunct w:val="0"/>
        <w:bidi w:val="0"/>
        <w:ind w:firstLine="560" w:firstLineChars="200"/>
        <w:jc w:val="center"/>
        <w:textAlignment w:val="auto"/>
        <w:outlineLvl w:val="9"/>
        <w:rPr>
          <w:rFonts w:cs="Times New Roman" w:asciiTheme="minorEastAsia" w:hAnsiTheme="minorEastAsia"/>
          <w:color w:val="auto"/>
          <w:kern w:val="0"/>
          <w:sz w:val="28"/>
          <w:szCs w:val="28"/>
        </w:rPr>
      </w:pPr>
    </w:p>
    <w:p w14:paraId="479B0CDD">
      <w:pPr>
        <w:widowControl/>
        <w:kinsoku/>
        <w:overflowPunct/>
        <w:topLinePunct w:val="0"/>
        <w:bidi w:val="0"/>
        <w:spacing w:line="520" w:lineRule="atLeast"/>
        <w:jc w:val="center"/>
        <w:textAlignment w:val="auto"/>
        <w:outlineLvl w:val="9"/>
        <w:rPr>
          <w:rFonts w:cs="Times New Roman" w:asciiTheme="minorEastAsia" w:hAnsiTheme="minorEastAsia"/>
          <w:color w:val="auto"/>
          <w:kern w:val="0"/>
          <w:sz w:val="28"/>
          <w:szCs w:val="28"/>
        </w:rPr>
      </w:pPr>
    </w:p>
    <w:p w14:paraId="2159F3F9">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4F2748B4">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069685BF">
      <w:pPr>
        <w:pStyle w:val="21"/>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color w:val="auto"/>
          <w:kern w:val="0"/>
          <w:sz w:val="28"/>
          <w:szCs w:val="28"/>
        </w:rPr>
      </w:pPr>
      <w:r>
        <w:rPr>
          <w:color w:val="auto"/>
          <w:kern w:val="0"/>
        </w:rPr>
        <w:br w:type="page"/>
      </w:r>
      <w:bookmarkStart w:id="60" w:name="_Toc145065234"/>
      <w:r>
        <w:rPr>
          <w:rFonts w:hint="eastAsia"/>
          <w:color w:val="auto"/>
          <w:kern w:val="0"/>
          <w:sz w:val="28"/>
          <w:szCs w:val="28"/>
        </w:rPr>
        <w:t>八、项目管理机构配备情况</w:t>
      </w:r>
      <w:bookmarkEnd w:id="60"/>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（1）项目管理机构配备情况表</w:t>
      </w:r>
    </w:p>
    <w:tbl>
      <w:tblPr>
        <w:tblStyle w:val="22"/>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880"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880"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79E0F04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4CF3EF3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 日</w:t>
      </w: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67670FB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1E61FD6">
      <w:pPr>
        <w:pStyle w:val="2"/>
        <w:rPr>
          <w:rFonts w:hint="eastAsia"/>
          <w:color w:val="auto"/>
        </w:rPr>
      </w:pPr>
    </w:p>
    <w:p w14:paraId="3C39F6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cs="Times New Roman" w:asciiTheme="minorEastAsia" w:hAnsiTheme="minorEastAsia"/>
          <w:b/>
          <w:bCs/>
          <w:color w:val="auto"/>
          <w:sz w:val="24"/>
          <w:szCs w:val="24"/>
        </w:rPr>
        <w:t>2</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22"/>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rPr>
        <w:t>九、</w:t>
      </w:r>
      <w:r>
        <w:rPr>
          <w:rFonts w:hint="eastAsia" w:cs="Times New Roman" w:asciiTheme="minorEastAsia" w:hAnsiTheme="minorEastAsia"/>
          <w:b/>
          <w:bCs/>
          <w:color w:val="auto"/>
          <w:kern w:val="0"/>
          <w:sz w:val="28"/>
          <w:szCs w:val="28"/>
        </w:rPr>
        <w:t>承诺函</w:t>
      </w:r>
    </w:p>
    <w:p w14:paraId="0BF1FE7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致：（采购人）</w:t>
      </w:r>
    </w:p>
    <w:p w14:paraId="7E840C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我单位承诺：</w:t>
      </w:r>
    </w:p>
    <w:p w14:paraId="43735C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rPr>
        <w:t>一、我单位按要求</w:t>
      </w:r>
      <w:r>
        <w:rPr>
          <w:rFonts w:hint="eastAsia" w:cs="Times New Roman" w:asciiTheme="minorEastAsia" w:hAnsiTheme="minorEastAsia"/>
          <w:color w:val="auto"/>
          <w:kern w:val="0"/>
          <w:sz w:val="24"/>
          <w:szCs w:val="24"/>
          <w:shd w:val="clear" w:color="auto" w:fill="FFFFFF"/>
        </w:rPr>
        <w:t>在中标通知书规定的时间内签订合同；</w:t>
      </w:r>
    </w:p>
    <w:p w14:paraId="74A1A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shd w:val="clear" w:color="auto" w:fill="FFFFFF"/>
        </w:rPr>
        <w:t>二、在投标（响应）文件中从未提供虚假材料；</w:t>
      </w:r>
    </w:p>
    <w:p w14:paraId="3E2F16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三、按竞争性磋商文件规定按时向采购代理机构交纳中标服务费。</w:t>
      </w:r>
    </w:p>
    <w:p w14:paraId="0C2327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四、供应商与招标人（采购人）、其他投标供应商或者代理机构无恶意串通行为；</w:t>
      </w:r>
    </w:p>
    <w:p w14:paraId="1AE6DF87">
      <w:pPr>
        <w:keepNext w:val="0"/>
        <w:keepLines w:val="0"/>
        <w:pageBreakBefore w:val="0"/>
        <w:widowControl/>
        <w:kinsoku/>
        <w:wordWrap/>
        <w:overflowPunct/>
        <w:topLinePunct w:val="0"/>
        <w:autoSpaceDE/>
        <w:autoSpaceDN/>
        <w:bidi w:val="0"/>
        <w:adjustRightInd/>
        <w:snapToGrid/>
        <w:spacing w:line="360" w:lineRule="auto"/>
        <w:ind w:firstLine="530" w:firstLineChars="221"/>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我单位保证以上承诺的真实和有效性，如有违反或未按要求执行，给采购人造成经济损失的，我单位向采购人缴纳不低于中标价2%的经济补偿，自觉承担违约责任。</w:t>
      </w:r>
    </w:p>
    <w:p w14:paraId="29C4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p>
    <w:p w14:paraId="43914C0A">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cs="Times New Roman" w:asciiTheme="minorEastAsia" w:hAnsiTheme="minorEastAsia"/>
          <w:color w:val="auto"/>
          <w:kern w:val="0"/>
          <w:sz w:val="24"/>
          <w:szCs w:val="24"/>
        </w:rPr>
      </w:pPr>
    </w:p>
    <w:p w14:paraId="2F6F993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 xml:space="preserve">                                 </w:t>
      </w: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 xml:space="preserve"> 磋商供应商：（盖章）</w:t>
      </w:r>
    </w:p>
    <w:p w14:paraId="3B628A56">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r>
        <w:rPr>
          <w:rFonts w:hint="eastAsia" w:cs="Times New Roman" w:asciiTheme="minorEastAsia" w:hAnsiTheme="minorEastAsia"/>
          <w:color w:val="auto"/>
          <w:spacing w:val="46"/>
          <w:kern w:val="0"/>
          <w:sz w:val="24"/>
          <w:szCs w:val="24"/>
        </w:rPr>
        <w:t xml:space="preserve">                   日 期： 年 月 日</w:t>
      </w:r>
    </w:p>
    <w:p w14:paraId="6C4AF4BD">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0D0E459C">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D54C3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B4EF55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43A510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7A1653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F6390D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3B37DDE">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D87756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699BAB4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BE89D8F">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5D54CB6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十、</w:t>
      </w:r>
      <w:r>
        <w:rPr>
          <w:rFonts w:hint="eastAsia" w:cs="Times New Roman" w:asciiTheme="minorEastAsia" w:hAnsiTheme="minorEastAsia"/>
          <w:b/>
          <w:bCs/>
          <w:color w:val="auto"/>
          <w:kern w:val="0"/>
          <w:sz w:val="28"/>
          <w:szCs w:val="28"/>
          <w:lang w:eastAsia="zh-CN"/>
        </w:rPr>
        <w:t>磋商</w:t>
      </w:r>
      <w:r>
        <w:rPr>
          <w:rFonts w:hint="eastAsia" w:cs="Times New Roman" w:asciiTheme="minorEastAsia" w:hAnsiTheme="minorEastAsia"/>
          <w:b/>
          <w:bCs/>
          <w:color w:val="auto"/>
          <w:kern w:val="0"/>
          <w:sz w:val="28"/>
          <w:szCs w:val="28"/>
        </w:rPr>
        <w:t>供应商资格声明函</w:t>
      </w:r>
    </w:p>
    <w:p w14:paraId="1982EEA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pPr>
    </w:p>
    <w:p w14:paraId="385FE58B">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致：（采购人名称）</w:t>
      </w:r>
    </w:p>
    <w:p w14:paraId="7C34B2EB">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我方在此声明，我方具备并满足《中华人民共和国政府采购法》二十二条及实施条例第十七条所规定的投标供应商的条件：</w:t>
      </w:r>
    </w:p>
    <w:p w14:paraId="2045043C">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（1）具有独立承担民事责任的能力；</w:t>
      </w:r>
    </w:p>
    <w:p w14:paraId="02259038">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（2）具有良好的商业信誉和健全的财务会计制度；</w:t>
      </w:r>
    </w:p>
    <w:p w14:paraId="6BD65E90">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（3）具有履行合同所必需的设备和专业技术能力；</w:t>
      </w:r>
    </w:p>
    <w:p w14:paraId="7796E0B8">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（4）有依法缴纳税收和社会保障资金的良好记录；</w:t>
      </w:r>
    </w:p>
    <w:p w14:paraId="2686B1DB">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（5）参加本次政府采购活动前三年内，在经营活动中没有重大违法记录。</w:t>
      </w:r>
    </w:p>
    <w:p w14:paraId="23E4F2F3">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p>
    <w:p w14:paraId="73AA76EE">
      <w:pPr>
        <w:keepNext w:val="0"/>
        <w:keepLines w:val="0"/>
        <w:pageBreakBefore w:val="0"/>
        <w:kinsoku/>
        <w:overflowPunct/>
        <w:topLinePunct w:val="0"/>
        <w:autoSpaceDE/>
        <w:autoSpaceDN/>
        <w:bidi w:val="0"/>
        <w:adjustRightInd/>
        <w:snapToGrid/>
        <w:spacing w:line="360" w:lineRule="auto"/>
        <w:textAlignment w:val="auto"/>
        <w:outlineLvl w:val="9"/>
        <w:rPr>
          <w:rFonts w:cs="Times New Roman" w:asciiTheme="minorEastAsia" w:hAnsiTheme="minorEastAsia"/>
          <w:color w:val="auto"/>
          <w:sz w:val="24"/>
          <w:szCs w:val="24"/>
        </w:rPr>
      </w:pPr>
    </w:p>
    <w:p w14:paraId="759927CC">
      <w:pPr>
        <w:keepNext w:val="0"/>
        <w:keepLines w:val="0"/>
        <w:pageBreakBefore w:val="0"/>
        <w:kinsoku/>
        <w:wordWrap w:val="0"/>
        <w:overflowPunct/>
        <w:topLinePunct w:val="0"/>
        <w:autoSpaceDE/>
        <w:autoSpaceDN/>
        <w:bidi w:val="0"/>
        <w:adjustRightInd/>
        <w:snapToGrid/>
        <w:spacing w:line="360" w:lineRule="auto"/>
        <w:jc w:val="right"/>
        <w:textAlignment w:val="auto"/>
        <w:outlineLvl w:val="9"/>
        <w:rPr>
          <w:rFonts w:hint="eastAsia" w:cs="Times New Roman" w:asciiTheme="minorEastAsia" w:hAnsiTheme="minorEastAsia"/>
          <w:color w:val="auto"/>
          <w:sz w:val="24"/>
          <w:szCs w:val="24"/>
        </w:rPr>
      </w:pPr>
    </w:p>
    <w:p w14:paraId="6D67A549">
      <w:pPr>
        <w:keepNext w:val="0"/>
        <w:keepLines w:val="0"/>
        <w:pageBreakBefore w:val="0"/>
        <w:kinsoku/>
        <w:wordWrap w:val="0"/>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lang w:eastAsia="zh-CN"/>
        </w:rPr>
        <w:t>磋商</w:t>
      </w:r>
      <w:r>
        <w:rPr>
          <w:rFonts w:hint="eastAsia" w:cs="Times New Roman" w:asciiTheme="minorEastAsia" w:hAnsiTheme="minorEastAsia"/>
          <w:color w:val="auto"/>
          <w:sz w:val="24"/>
          <w:szCs w:val="24"/>
        </w:rPr>
        <w:t>供应商：（盖章）</w:t>
      </w:r>
    </w:p>
    <w:p w14:paraId="10A384F9">
      <w:pPr>
        <w:keepNext w:val="0"/>
        <w:keepLines w:val="0"/>
        <w:pageBreakBefore w:val="0"/>
        <w:kinsoku/>
        <w:wordWrap w:val="0"/>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法定代表人：（签字或盖章）</w:t>
      </w:r>
    </w:p>
    <w:p w14:paraId="3F6012F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年  月  日</w:t>
      </w:r>
    </w:p>
    <w:p w14:paraId="708C0B9E">
      <w:pPr>
        <w:kinsoku/>
        <w:overflowPunct/>
        <w:topLinePunct w:val="0"/>
        <w:bidi w:val="0"/>
        <w:textAlignment w:val="auto"/>
        <w:outlineLvl w:val="9"/>
        <w:rPr>
          <w:rFonts w:cs="Times New Roman" w:asciiTheme="minorEastAsia" w:hAnsiTheme="minorEastAsia"/>
          <w:color w:val="auto"/>
          <w:kern w:val="0"/>
          <w:sz w:val="28"/>
          <w:szCs w:val="28"/>
        </w:rPr>
      </w:pPr>
    </w:p>
    <w:p w14:paraId="76C4897C">
      <w:pPr>
        <w:widowControl/>
        <w:kinsoku/>
        <w:overflowPunct/>
        <w:topLinePunct w:val="0"/>
        <w:bidi w:val="0"/>
        <w:ind w:firstLine="3935" w:firstLineChars="1400"/>
        <w:jc w:val="center"/>
        <w:textAlignment w:val="auto"/>
        <w:outlineLvl w:val="9"/>
        <w:rPr>
          <w:rFonts w:cs="宋体" w:asciiTheme="minorEastAsia" w:hAnsiTheme="minorEastAsia"/>
          <w:b/>
          <w:color w:val="auto"/>
          <w:kern w:val="0"/>
          <w:sz w:val="28"/>
          <w:szCs w:val="28"/>
        </w:rPr>
      </w:pPr>
    </w:p>
    <w:p w14:paraId="451B2F60">
      <w:pPr>
        <w:widowControl/>
        <w:kinsoku/>
        <w:overflowPunct/>
        <w:topLinePunct w:val="0"/>
        <w:bidi w:val="0"/>
        <w:ind w:firstLine="3935" w:firstLineChars="1400"/>
        <w:jc w:val="center"/>
        <w:textAlignment w:val="auto"/>
        <w:outlineLvl w:val="9"/>
        <w:rPr>
          <w:rFonts w:cs="宋体" w:asciiTheme="minorEastAsia" w:hAnsiTheme="minorEastAsia"/>
          <w:b/>
          <w:color w:val="auto"/>
          <w:kern w:val="0"/>
          <w:sz w:val="28"/>
          <w:szCs w:val="28"/>
        </w:rPr>
        <w:sectPr>
          <w:pgSz w:w="11906" w:h="16838"/>
          <w:pgMar w:top="1440" w:right="1800" w:bottom="1440" w:left="1800" w:header="851" w:footer="992" w:gutter="0"/>
          <w:cols w:space="425" w:num="1"/>
          <w:docGrid w:type="lines" w:linePitch="312" w:charSpace="0"/>
        </w:sectPr>
      </w:pP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rPr>
        <w:t>十一、</w:t>
      </w:r>
      <w:r>
        <w:rPr>
          <w:rFonts w:hint="eastAsia" w:cs="Times New Roman" w:asciiTheme="minorEastAsia" w:hAnsiTheme="minorEastAsia"/>
          <w:b/>
          <w:bCs/>
          <w:color w:val="auto"/>
          <w:kern w:val="0"/>
          <w:sz w:val="28"/>
          <w:szCs w:val="28"/>
        </w:rPr>
        <w:t>投标人认为需要提供的其他材料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13"/>
        <w:kinsoku/>
        <w:overflowPunct/>
        <w:topLinePunct w:val="0"/>
        <w:bidi w:val="0"/>
        <w:ind w:firstLine="400"/>
        <w:textAlignment w:val="auto"/>
        <w:outlineLvl w:val="9"/>
        <w:rPr>
          <w:rFonts w:asciiTheme="minorEastAsia" w:hAnsiTheme="minorEastAsia" w:eastAsiaTheme="minorEastAsia"/>
          <w:color w:val="auto"/>
        </w:rPr>
      </w:pPr>
    </w:p>
    <w:p w14:paraId="0FAF0886">
      <w:pPr>
        <w:pStyle w:val="13"/>
        <w:kinsoku/>
        <w:overflowPunct/>
        <w:topLinePunct w:val="0"/>
        <w:bidi w:val="0"/>
        <w:ind w:firstLine="400"/>
        <w:textAlignment w:val="auto"/>
        <w:outlineLvl w:val="9"/>
        <w:rPr>
          <w:rFonts w:asciiTheme="minorEastAsia" w:hAnsiTheme="minorEastAsia" w:eastAsiaTheme="minorEastAsia"/>
          <w:color w:val="auto"/>
        </w:rPr>
      </w:pPr>
    </w:p>
    <w:p w14:paraId="565C8627">
      <w:pPr>
        <w:pStyle w:val="13"/>
        <w:kinsoku/>
        <w:overflowPunct/>
        <w:topLinePunct w:val="0"/>
        <w:bidi w:val="0"/>
        <w:ind w:firstLine="400"/>
        <w:textAlignment w:val="auto"/>
        <w:outlineLvl w:val="9"/>
        <w:rPr>
          <w:rFonts w:asciiTheme="minorEastAsia" w:hAnsiTheme="minorEastAsia" w:eastAsiaTheme="minorEastAsia"/>
          <w:color w:val="auto"/>
        </w:rPr>
      </w:pPr>
    </w:p>
    <w:p w14:paraId="6EBF7F1C">
      <w:pPr>
        <w:pStyle w:val="13"/>
        <w:kinsoku/>
        <w:overflowPunct/>
        <w:topLinePunct w:val="0"/>
        <w:bidi w:val="0"/>
        <w:ind w:firstLine="400"/>
        <w:textAlignment w:val="auto"/>
        <w:outlineLvl w:val="9"/>
        <w:rPr>
          <w:rFonts w:asciiTheme="minorEastAsia" w:hAnsiTheme="minorEastAsia" w:eastAsiaTheme="minorEastAsia"/>
          <w:color w:val="auto"/>
        </w:rPr>
      </w:pPr>
    </w:p>
    <w:p w14:paraId="145CD849">
      <w:pPr>
        <w:pStyle w:val="13"/>
        <w:kinsoku/>
        <w:overflowPunct/>
        <w:topLinePunct w:val="0"/>
        <w:bidi w:val="0"/>
        <w:ind w:firstLine="400"/>
        <w:textAlignment w:val="auto"/>
        <w:outlineLvl w:val="9"/>
        <w:rPr>
          <w:rFonts w:asciiTheme="minorEastAsia" w:hAnsiTheme="minorEastAsia" w:eastAsiaTheme="minorEastAsia"/>
          <w:color w:val="auto"/>
        </w:rPr>
      </w:pPr>
    </w:p>
    <w:p w14:paraId="32C47C0B">
      <w:pPr>
        <w:pStyle w:val="13"/>
        <w:kinsoku/>
        <w:overflowPunct/>
        <w:topLinePunct w:val="0"/>
        <w:bidi w:val="0"/>
        <w:ind w:firstLine="400"/>
        <w:textAlignment w:val="auto"/>
        <w:outlineLvl w:val="9"/>
        <w:rPr>
          <w:rFonts w:asciiTheme="minorEastAsia" w:hAnsiTheme="minorEastAsia" w:eastAsiaTheme="minorEastAsia"/>
          <w:color w:val="auto"/>
        </w:rPr>
      </w:pPr>
    </w:p>
    <w:p w14:paraId="57387ADF">
      <w:pPr>
        <w:pStyle w:val="13"/>
        <w:kinsoku/>
        <w:overflowPunct/>
        <w:topLinePunct w:val="0"/>
        <w:bidi w:val="0"/>
        <w:ind w:firstLine="400"/>
        <w:textAlignment w:val="auto"/>
        <w:outlineLvl w:val="9"/>
        <w:rPr>
          <w:rFonts w:asciiTheme="minorEastAsia" w:hAnsiTheme="minorEastAsia" w:eastAsiaTheme="minorEastAsia"/>
          <w:color w:val="auto"/>
        </w:rPr>
      </w:pPr>
    </w:p>
    <w:p w14:paraId="6953C5C2">
      <w:pPr>
        <w:pStyle w:val="13"/>
        <w:kinsoku/>
        <w:overflowPunct/>
        <w:topLinePunct w:val="0"/>
        <w:bidi w:val="0"/>
        <w:ind w:firstLine="400"/>
        <w:textAlignment w:val="auto"/>
        <w:outlineLvl w:val="9"/>
        <w:rPr>
          <w:rFonts w:asciiTheme="minorEastAsia" w:hAnsiTheme="minorEastAsia" w:eastAsiaTheme="minorEastAsia"/>
          <w:color w:val="auto"/>
        </w:rPr>
      </w:pPr>
    </w:p>
    <w:p w14:paraId="4D0A06CB">
      <w:pPr>
        <w:pStyle w:val="13"/>
        <w:kinsoku/>
        <w:overflowPunct/>
        <w:topLinePunct w:val="0"/>
        <w:bidi w:val="0"/>
        <w:ind w:firstLine="400"/>
        <w:textAlignment w:val="auto"/>
        <w:outlineLvl w:val="9"/>
        <w:rPr>
          <w:rFonts w:asciiTheme="minorEastAsia" w:hAnsiTheme="minorEastAsia" w:eastAsiaTheme="minorEastAsia"/>
          <w:color w:val="auto"/>
        </w:rPr>
      </w:pPr>
    </w:p>
    <w:p w14:paraId="5CB0994E">
      <w:pPr>
        <w:pStyle w:val="13"/>
        <w:kinsoku/>
        <w:overflowPunct/>
        <w:topLinePunct w:val="0"/>
        <w:bidi w:val="0"/>
        <w:ind w:firstLine="400"/>
        <w:textAlignment w:val="auto"/>
        <w:outlineLvl w:val="9"/>
        <w:rPr>
          <w:rFonts w:asciiTheme="minorEastAsia" w:hAnsiTheme="minorEastAsia" w:eastAsiaTheme="minorEastAsia"/>
          <w:color w:val="auto"/>
        </w:rPr>
      </w:pPr>
    </w:p>
    <w:p w14:paraId="0550CFCB">
      <w:pPr>
        <w:pStyle w:val="13"/>
        <w:kinsoku/>
        <w:overflowPunct/>
        <w:topLinePunct w:val="0"/>
        <w:bidi w:val="0"/>
        <w:ind w:firstLine="400"/>
        <w:textAlignment w:val="auto"/>
        <w:outlineLvl w:val="9"/>
        <w:rPr>
          <w:rFonts w:asciiTheme="minorEastAsia" w:hAnsiTheme="minorEastAsia" w:eastAsiaTheme="minorEastAsia"/>
          <w:color w:val="auto"/>
        </w:rPr>
      </w:pPr>
    </w:p>
    <w:p w14:paraId="791C7AB2">
      <w:pPr>
        <w:pStyle w:val="13"/>
        <w:kinsoku/>
        <w:overflowPunct/>
        <w:topLinePunct w:val="0"/>
        <w:bidi w:val="0"/>
        <w:ind w:firstLine="400"/>
        <w:textAlignment w:val="auto"/>
        <w:outlineLvl w:val="9"/>
        <w:rPr>
          <w:rFonts w:asciiTheme="minorEastAsia" w:hAnsiTheme="minorEastAsia" w:eastAsiaTheme="minorEastAsia"/>
          <w:color w:val="auto"/>
        </w:rPr>
      </w:pPr>
    </w:p>
    <w:p w14:paraId="58F58B8D">
      <w:pPr>
        <w:pStyle w:val="13"/>
        <w:kinsoku/>
        <w:overflowPunct/>
        <w:topLinePunct w:val="0"/>
        <w:bidi w:val="0"/>
        <w:ind w:firstLine="400"/>
        <w:textAlignment w:val="auto"/>
        <w:outlineLvl w:val="9"/>
        <w:rPr>
          <w:rFonts w:asciiTheme="minorEastAsia" w:hAnsiTheme="minorEastAsia" w:eastAsiaTheme="minorEastAsia"/>
          <w:color w:val="auto"/>
        </w:rPr>
      </w:pPr>
    </w:p>
    <w:p w14:paraId="0AA2C3AD">
      <w:pPr>
        <w:pStyle w:val="13"/>
        <w:kinsoku/>
        <w:overflowPunct/>
        <w:topLinePunct w:val="0"/>
        <w:bidi w:val="0"/>
        <w:ind w:firstLine="400"/>
        <w:textAlignment w:val="auto"/>
        <w:outlineLvl w:val="9"/>
        <w:rPr>
          <w:rFonts w:asciiTheme="minorEastAsia" w:hAnsiTheme="minorEastAsia" w:eastAsiaTheme="minorEastAsia"/>
          <w:color w:val="auto"/>
        </w:rPr>
      </w:pPr>
    </w:p>
    <w:p w14:paraId="4ACD9AEE">
      <w:pPr>
        <w:pStyle w:val="13"/>
        <w:kinsoku/>
        <w:overflowPunct/>
        <w:topLinePunct w:val="0"/>
        <w:bidi w:val="0"/>
        <w:ind w:left="0" w:leftChars="0" w:firstLine="0" w:firstLineChars="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61" w:name="_Toc27377"/>
      <w:r>
        <w:rPr>
          <w:rFonts w:hint="eastAsia" w:ascii="宋体" w:hAnsi="宋体" w:eastAsia="宋体" w:cs="宋体"/>
          <w:b/>
          <w:bCs/>
          <w:color w:val="auto"/>
          <w:kern w:val="0"/>
          <w:sz w:val="24"/>
          <w:szCs w:val="24"/>
        </w:rPr>
        <w:t>中小企业声明函</w:t>
      </w:r>
    </w:p>
    <w:bookmarkEnd w:id="61"/>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62" w:name="_Toc145065235"/>
      <w:bookmarkStart w:id="63" w:name="_Toc145065064"/>
      <w:bookmarkStart w:id="64" w:name="_Toc23336"/>
      <w:bookmarkStart w:id="65" w:name="OLE_LINK14"/>
      <w:bookmarkStart w:id="66" w:name="OLE_LINK13"/>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  人， 营业收入为  万元， 资产总额为  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6829A9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pacing w:val="10"/>
          <w:kern w:val="0"/>
          <w:sz w:val="24"/>
          <w:szCs w:val="24"/>
        </w:rPr>
        <w:t>（注：如果供应商是中小型及微型企业，提供政府部门出具的证明材料，如不是，本声明函可删除）</w:t>
      </w: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62"/>
      <w:bookmarkEnd w:id="63"/>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67" w:name="_Toc145065065"/>
      <w:bookmarkStart w:id="68" w:name="_Toc145065236"/>
      <w:r>
        <w:rPr>
          <w:rFonts w:hint="eastAsia" w:ascii="宋体" w:hAnsi="宋体" w:eastAsia="宋体" w:cs="宋体"/>
          <w:b/>
          <w:color w:val="auto"/>
          <w:kern w:val="0"/>
          <w:sz w:val="24"/>
          <w:szCs w:val="24"/>
        </w:rPr>
        <w:t>残疾人福利性单位声明函</w:t>
      </w:r>
      <w:bookmarkEnd w:id="64"/>
      <w:bookmarkEnd w:id="65"/>
      <w:bookmarkEnd w:id="66"/>
      <w:bookmarkEnd w:id="67"/>
      <w:bookmarkEnd w:id="68"/>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69" w:name="_Toc145065066"/>
      <w:bookmarkStart w:id="70" w:name="_Toc145065237"/>
      <w:bookmarkStart w:id="71"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69"/>
      <w:bookmarkEnd w:id="70"/>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72" w:name="_Toc145065238"/>
      <w:bookmarkStart w:id="73" w:name="_Toc145065067"/>
      <w:r>
        <w:rPr>
          <w:rFonts w:hint="eastAsia" w:ascii="宋体" w:hAnsi="宋体" w:eastAsia="宋体" w:cs="宋体"/>
          <w:b/>
          <w:color w:val="auto"/>
          <w:kern w:val="0"/>
          <w:sz w:val="24"/>
          <w:szCs w:val="24"/>
          <w:lang w:val="en-GB"/>
        </w:rPr>
        <w:t>监狱企业证明材料</w:t>
      </w:r>
      <w:bookmarkEnd w:id="71"/>
      <w:bookmarkEnd w:id="72"/>
      <w:bookmarkEnd w:id="73"/>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说明：如果投标人不是监狱企业，写“非监狱企业”即可。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13"/>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sectPr>
      <w:pgSz w:w="11906" w:h="16838"/>
      <w:pgMar w:top="1134"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9765670"/>
    </w:sdtPr>
    <w:sdtContent>
      <w:p w14:paraId="7C0E9670">
        <w:pPr>
          <w:pStyle w:val="15"/>
          <w:jc w:val="center"/>
        </w:pPr>
        <w:r>
          <w:fldChar w:fldCharType="begin"/>
        </w:r>
        <w:r>
          <w:instrText xml:space="preserve">PAGE   \* MERGEFORMAT</w:instrText>
        </w:r>
        <w:r>
          <w:fldChar w:fldCharType="separate"/>
        </w:r>
        <w:r>
          <w:rPr>
            <w:lang w:val="zh-CN"/>
          </w:rPr>
          <w:t>23</w:t>
        </w:r>
        <w:r>
          <w:rPr>
            <w:lang w:val="zh-CN"/>
          </w:rPr>
          <w:fldChar w:fldCharType="end"/>
        </w:r>
      </w:p>
    </w:sdtContent>
  </w:sdt>
  <w:p w14:paraId="43DC2A3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93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5017C">
                          <w:pPr>
                            <w:pStyle w:val="15"/>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4455017C">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36347"/>
    <w:rsid w:val="3F4F364C"/>
    <w:rsid w:val="500D0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6"/>
    <w:semiHidden/>
    <w:qFormat/>
    <w:uiPriority w:val="0"/>
    <w:pPr>
      <w:spacing w:line="360" w:lineRule="auto"/>
      <w:ind w:firstLine="420"/>
    </w:pPr>
    <w:rPr>
      <w:rFonts w:eastAsia="Arial Unicode MS"/>
      <w:color w:val="000000"/>
      <w:sz w:val="28"/>
      <w:szCs w:val="28"/>
      <w:u w:val="none" w:color="000000"/>
    </w:rPr>
  </w:style>
  <w:style w:type="paragraph" w:styleId="3">
    <w:name w:val="Body Text"/>
    <w:basedOn w:val="1"/>
    <w:next w:val="4"/>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styleId="7">
    <w:name w:val="Body Text Indent"/>
    <w:basedOn w:val="1"/>
    <w:next w:val="8"/>
    <w:qFormat/>
    <w:uiPriority w:val="99"/>
    <w:pPr>
      <w:spacing w:after="120"/>
      <w:ind w:left="420" w:leftChars="200"/>
    </w:p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0">
    <w:name w:val="Normal Indent"/>
    <w:basedOn w:val="1"/>
    <w:qFormat/>
    <w:uiPriority w:val="0"/>
    <w:pPr>
      <w:ind w:firstLine="420" w:firstLineChars="200"/>
    </w:pPr>
    <w:rPr>
      <w:kern w:val="0"/>
      <w:sz w:val="20"/>
    </w:rPr>
  </w:style>
  <w:style w:type="paragraph" w:styleId="11">
    <w:name w:val="Salutation"/>
    <w:basedOn w:val="1"/>
    <w:next w:val="1"/>
    <w:unhideWhenUsed/>
    <w:qFormat/>
    <w:uiPriority w:val="99"/>
    <w:rPr>
      <w:rFonts w:ascii="宋体" w:hAnsi="宋体" w:eastAsia="仿宋_GB2312" w:cs="Times New Roman"/>
      <w:kern w:val="0"/>
      <w:sz w:val="20"/>
      <w:szCs w:val="21"/>
    </w:rPr>
  </w:style>
  <w:style w:type="paragraph" w:styleId="12">
    <w:name w:val="Plain Text"/>
    <w:basedOn w:val="1"/>
    <w:qFormat/>
    <w:uiPriority w:val="99"/>
    <w:rPr>
      <w:rFonts w:ascii="宋体" w:hAnsi="Courier New" w:eastAsia="华文宋体" w:cs="Times New Roman"/>
      <w:kern w:val="0"/>
      <w:sz w:val="28"/>
      <w:szCs w:val="28"/>
    </w:rPr>
  </w:style>
  <w:style w:type="paragraph" w:styleId="13">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Balloon Text"/>
    <w:basedOn w:val="1"/>
    <w:link w:val="39"/>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next w:val="12"/>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9">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24">
    <w:name w:val="Strong"/>
    <w:basedOn w:val="23"/>
    <w:qFormat/>
    <w:uiPriority w:val="0"/>
    <w:rPr>
      <w:b/>
      <w:bCs/>
      <w:shd w:val="clear" w:fill="F6F7FB"/>
    </w:rPr>
  </w:style>
  <w:style w:type="character" w:styleId="25">
    <w:name w:val="FollowedHyperlink"/>
    <w:basedOn w:val="23"/>
    <w:qFormat/>
    <w:uiPriority w:val="0"/>
    <w:rPr>
      <w:color w:val="800080"/>
      <w:u w:val="none"/>
    </w:rPr>
  </w:style>
  <w:style w:type="character" w:styleId="26">
    <w:name w:val="Emphasis"/>
    <w:basedOn w:val="23"/>
    <w:qFormat/>
    <w:uiPriority w:val="0"/>
    <w:rPr>
      <w:b/>
      <w:bCs/>
      <w:bdr w:val="single" w:color="BDBEC1" w:sz="6" w:space="0"/>
      <w:shd w:val="clear" w:fill="FFFFFF"/>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unhideWhenUsed/>
    <w:qFormat/>
    <w:uiPriority w:val="99"/>
    <w:rPr>
      <w:color w:val="0026E5" w:themeColor="hyperlink"/>
      <w:u w:val="single"/>
      <w14:textFill>
        <w14:solidFill>
          <w14:schemeClr w14:val="hlink"/>
        </w14:solidFill>
      </w14:textFill>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TOC 标题1"/>
    <w:basedOn w:val="9"/>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37">
    <w:name w:val="*正文_1_0_0_0_0"/>
    <w:basedOn w:val="1"/>
    <w:next w:val="1"/>
    <w:qFormat/>
    <w:uiPriority w:val="0"/>
    <w:pPr>
      <w:widowControl/>
      <w:ind w:firstLine="482"/>
    </w:pPr>
    <w:rPr>
      <w:rFonts w:ascii="微软雅黑" w:hAnsi="微软雅黑" w:eastAsia="微软雅黑" w:cs="Times New Roman"/>
    </w:rPr>
  </w:style>
  <w:style w:type="character" w:customStyle="1" w:styleId="38">
    <w:name w:val="页眉 Char"/>
    <w:basedOn w:val="23"/>
    <w:link w:val="16"/>
    <w:qFormat/>
    <w:uiPriority w:val="0"/>
    <w:rPr>
      <w:rFonts w:asciiTheme="minorHAnsi" w:hAnsiTheme="minorHAnsi" w:eastAsiaTheme="minorEastAsia" w:cstheme="minorBidi"/>
      <w:kern w:val="2"/>
      <w:sz w:val="18"/>
      <w:szCs w:val="18"/>
    </w:rPr>
  </w:style>
  <w:style w:type="character" w:customStyle="1" w:styleId="39">
    <w:name w:val="批注框文本 Char"/>
    <w:basedOn w:val="23"/>
    <w:link w:val="14"/>
    <w:qFormat/>
    <w:uiPriority w:val="0"/>
    <w:rPr>
      <w:rFonts w:asciiTheme="minorHAnsi" w:hAnsiTheme="minorHAnsi" w:eastAsiaTheme="minorEastAsia" w:cstheme="minorBidi"/>
      <w:kern w:val="2"/>
      <w:sz w:val="18"/>
      <w:szCs w:val="18"/>
    </w:rPr>
  </w:style>
  <w:style w:type="paragraph" w:customStyle="1" w:styleId="40">
    <w:name w:val="无间隔1"/>
    <w:basedOn w:val="1"/>
    <w:qFormat/>
    <w:uiPriority w:val="0"/>
    <w:pPr>
      <w:spacing w:line="400" w:lineRule="exact"/>
    </w:pPr>
    <w:rPr>
      <w:sz w:val="24"/>
    </w:rPr>
  </w:style>
  <w:style w:type="character" w:customStyle="1" w:styleId="41">
    <w:name w:val="hover"/>
    <w:basedOn w:val="23"/>
    <w:qFormat/>
    <w:uiPriority w:val="0"/>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mini-outputtext1"/>
    <w:basedOn w:val="23"/>
    <w:qFormat/>
    <w:uiPriority w:val="0"/>
  </w:style>
  <w:style w:type="character" w:customStyle="1" w:styleId="45">
    <w:name w:val="first-child"/>
    <w:basedOn w:val="23"/>
    <w:qFormat/>
    <w:uiPriority w:val="0"/>
  </w:style>
  <w:style w:type="character" w:customStyle="1" w:styleId="46">
    <w:name w:val="layui-layer-tabnow"/>
    <w:basedOn w:val="23"/>
    <w:qFormat/>
    <w:uiPriority w:val="0"/>
    <w:rPr>
      <w:bdr w:val="single" w:color="CCCCCC" w:sz="4" w:space="0"/>
      <w:shd w:val="clear" w:fill="FFFFFF"/>
    </w:rPr>
  </w:style>
  <w:style w:type="character" w:customStyle="1" w:styleId="47">
    <w:name w:val="NormalCharacter"/>
    <w:qFormat/>
    <w:uiPriority w:val="0"/>
  </w:style>
  <w:style w:type="character" w:customStyle="1" w:styleId="48">
    <w:name w:val="hover3"/>
    <w:basedOn w:val="2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17312</Words>
  <Characters>18767</Characters>
  <Lines>137</Lines>
  <Paragraphs>38</Paragraphs>
  <TotalTime>13</TotalTime>
  <ScaleCrop>false</ScaleCrop>
  <LinksUpToDate>false</LinksUpToDate>
  <CharactersWithSpaces>19893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2024-01-11T10:50:00Z</dcterms:created>
  <dc:creator>Administrator</dc:creator>
  <cp:lastModifiedBy>notebook</cp:lastModifiedBy>
  <dcterms:modified xsi:type="dcterms:W3CDTF">2025-06-17T11:36:19Z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531D026CB8EC43229DF0D1D142A2F4CF_13</vt:lpwstr>
  </property>
  <property fmtid="{D5CDD505-2E9C-101B-9397-08002B2CF9AE}" pid="4" name="KSOTemplateDocerSaveRecord">
    <vt:lpwstr>eyJoZGlkIjoiNjhmZTExZGFjZWI0NmJlMDI2MjYyY2ExZjc0ZWQyNDUiLCJ1c2VySWQiOiIyMDM3NjY1NzcifQ==</vt:lpwstr>
  </property>
</Properties>
</file>