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2F7307">
      <w:pPr>
        <w:keepNext w:val="0"/>
        <w:keepLines w:val="0"/>
        <w:pageBreakBefore w:val="0"/>
        <w:widowControl w:val="0"/>
        <w:kinsoku/>
        <w:wordWrap/>
        <w:overflowPunct/>
        <w:topLinePunct w:val="0"/>
        <w:autoSpaceDE/>
        <w:autoSpaceDN/>
        <w:bidi w:val="0"/>
        <w:adjustRightInd/>
        <w:spacing w:line="420" w:lineRule="auto"/>
        <w:jc w:val="center"/>
        <w:textAlignment w:val="auto"/>
        <w:rPr>
          <w:rFonts w:hint="eastAsia"/>
          <w:b/>
          <w:bCs/>
          <w:sz w:val="32"/>
          <w:szCs w:val="32"/>
        </w:rPr>
      </w:pPr>
      <w:r>
        <w:rPr>
          <w:rFonts w:hint="eastAsia"/>
          <w:b/>
          <w:bCs/>
          <w:sz w:val="32"/>
          <w:szCs w:val="32"/>
        </w:rPr>
        <w:t>汝州市骑岭乡人民政府2025年骑岭乡安洼村、小陈村、白马村道路硬化项目竞争性谈判公告</w:t>
      </w:r>
    </w:p>
    <w:p w14:paraId="402C4983">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项目概况</w:t>
      </w:r>
    </w:p>
    <w:p w14:paraId="1BE9DCB6">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汝州市骑岭乡人民政府2025年骑岭乡安洼村、小陈村、白马村道路硬化项目的潜在供应商应在全国公共资源交易平台（河南省·汝州市）（网址：www.rzggzy.com）获取竞争性谈判文件，并于2025年9月2日8时30分（北京时间）前递交响应文件。</w:t>
      </w:r>
    </w:p>
    <w:p w14:paraId="7D8DD502">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一、项目基本情况</w:t>
      </w:r>
    </w:p>
    <w:p w14:paraId="64B74F36">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1、采购项目编号：汝财谈判采购-2025-92</w:t>
      </w:r>
    </w:p>
    <w:p w14:paraId="37A82ED7">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2、采购项目名称：汝州市骑岭乡人民政府2025年骑岭乡安洼村、小陈村、白马村道路硬化项目</w:t>
      </w:r>
    </w:p>
    <w:p w14:paraId="4EEDF9A0">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3、采购方式：竞争性谈判</w:t>
      </w:r>
    </w:p>
    <w:p w14:paraId="6E70BD2D">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4、预算金额：1178608.02元</w:t>
      </w:r>
    </w:p>
    <w:p w14:paraId="52B292E3">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最高限价：1178608.02元</w:t>
      </w:r>
    </w:p>
    <w:tbl>
      <w:tblPr>
        <w:tblStyle w:val="4"/>
        <w:tblW w:w="97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58"/>
        <w:gridCol w:w="1989"/>
        <w:gridCol w:w="1560"/>
        <w:gridCol w:w="1512"/>
        <w:gridCol w:w="1440"/>
        <w:gridCol w:w="1728"/>
      </w:tblGrid>
      <w:tr w14:paraId="396A8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tcPr>
          <w:p w14:paraId="577E3A73">
            <w:pPr>
              <w:keepNext w:val="0"/>
              <w:keepLines w:val="0"/>
              <w:pageBreakBefore w:val="0"/>
              <w:widowControl w:val="0"/>
              <w:kinsoku/>
              <w:wordWrap/>
              <w:overflowPunct/>
              <w:topLinePunct w:val="0"/>
              <w:autoSpaceDE/>
              <w:autoSpaceDN/>
              <w:bidi w:val="0"/>
              <w:adjustRightInd/>
              <w:spacing w:line="420" w:lineRule="auto"/>
              <w:jc w:val="center"/>
              <w:textAlignment w:val="auto"/>
              <w:rPr>
                <w:rFonts w:hint="eastAsia" w:eastAsiaTheme="minorEastAsia"/>
                <w:sz w:val="24"/>
                <w:szCs w:val="24"/>
                <w:vertAlign w:val="baseline"/>
                <w:lang w:val="en-US" w:eastAsia="zh-CN"/>
              </w:rPr>
            </w:pPr>
            <w:r>
              <w:rPr>
                <w:rFonts w:hint="eastAsia"/>
                <w:sz w:val="24"/>
                <w:szCs w:val="24"/>
                <w:vertAlign w:val="baseline"/>
                <w:lang w:val="en-US" w:eastAsia="zh-CN"/>
              </w:rPr>
              <w:t>序号</w:t>
            </w:r>
          </w:p>
        </w:tc>
        <w:tc>
          <w:tcPr>
            <w:tcW w:w="758" w:type="dxa"/>
          </w:tcPr>
          <w:p w14:paraId="467CD722">
            <w:pPr>
              <w:keepNext w:val="0"/>
              <w:keepLines w:val="0"/>
              <w:pageBreakBefore w:val="0"/>
              <w:widowControl w:val="0"/>
              <w:kinsoku/>
              <w:wordWrap/>
              <w:overflowPunct/>
              <w:topLinePunct w:val="0"/>
              <w:autoSpaceDE/>
              <w:autoSpaceDN/>
              <w:bidi w:val="0"/>
              <w:adjustRightInd/>
              <w:spacing w:line="420" w:lineRule="auto"/>
              <w:jc w:val="center"/>
              <w:textAlignment w:val="auto"/>
              <w:rPr>
                <w:rFonts w:hint="default" w:eastAsiaTheme="minorEastAsia"/>
                <w:sz w:val="24"/>
                <w:szCs w:val="24"/>
                <w:vertAlign w:val="baseline"/>
                <w:lang w:val="en-US" w:eastAsia="zh-CN"/>
              </w:rPr>
            </w:pPr>
            <w:r>
              <w:rPr>
                <w:rFonts w:hint="eastAsia"/>
                <w:sz w:val="24"/>
                <w:szCs w:val="24"/>
                <w:vertAlign w:val="baseline"/>
                <w:lang w:val="en-US" w:eastAsia="zh-CN"/>
              </w:rPr>
              <w:t>包号</w:t>
            </w:r>
          </w:p>
        </w:tc>
        <w:tc>
          <w:tcPr>
            <w:tcW w:w="1989" w:type="dxa"/>
          </w:tcPr>
          <w:p w14:paraId="10075D23">
            <w:pPr>
              <w:keepNext w:val="0"/>
              <w:keepLines w:val="0"/>
              <w:pageBreakBefore w:val="0"/>
              <w:widowControl w:val="0"/>
              <w:kinsoku/>
              <w:wordWrap/>
              <w:overflowPunct/>
              <w:topLinePunct w:val="0"/>
              <w:autoSpaceDE/>
              <w:autoSpaceDN/>
              <w:bidi w:val="0"/>
              <w:adjustRightInd/>
              <w:spacing w:line="420" w:lineRule="auto"/>
              <w:jc w:val="center"/>
              <w:textAlignment w:val="auto"/>
              <w:rPr>
                <w:rFonts w:hint="eastAsia" w:eastAsiaTheme="minorEastAsia"/>
                <w:sz w:val="24"/>
                <w:szCs w:val="24"/>
                <w:vertAlign w:val="baseline"/>
                <w:lang w:val="en-US" w:eastAsia="zh-CN"/>
              </w:rPr>
            </w:pPr>
            <w:r>
              <w:rPr>
                <w:rFonts w:hint="eastAsia"/>
                <w:sz w:val="24"/>
                <w:szCs w:val="24"/>
              </w:rPr>
              <w:t>包名称</w:t>
            </w:r>
          </w:p>
        </w:tc>
        <w:tc>
          <w:tcPr>
            <w:tcW w:w="1560" w:type="dxa"/>
          </w:tcPr>
          <w:p w14:paraId="009D4F61">
            <w:pPr>
              <w:keepNext w:val="0"/>
              <w:keepLines w:val="0"/>
              <w:pageBreakBefore w:val="0"/>
              <w:widowControl w:val="0"/>
              <w:kinsoku/>
              <w:wordWrap/>
              <w:overflowPunct/>
              <w:topLinePunct w:val="0"/>
              <w:autoSpaceDE/>
              <w:autoSpaceDN/>
              <w:bidi w:val="0"/>
              <w:adjustRightInd/>
              <w:spacing w:line="420" w:lineRule="auto"/>
              <w:jc w:val="center"/>
              <w:textAlignment w:val="auto"/>
              <w:rPr>
                <w:rFonts w:hint="eastAsia"/>
                <w:sz w:val="24"/>
                <w:szCs w:val="24"/>
                <w:vertAlign w:val="baseline"/>
              </w:rPr>
            </w:pPr>
            <w:r>
              <w:rPr>
                <w:rFonts w:hint="eastAsia"/>
                <w:sz w:val="24"/>
                <w:szCs w:val="24"/>
                <w:vertAlign w:val="baseline"/>
              </w:rPr>
              <w:t>包预算（元）</w:t>
            </w:r>
          </w:p>
        </w:tc>
        <w:tc>
          <w:tcPr>
            <w:tcW w:w="1512" w:type="dxa"/>
          </w:tcPr>
          <w:p w14:paraId="2AB934B8">
            <w:pPr>
              <w:keepNext w:val="0"/>
              <w:keepLines w:val="0"/>
              <w:pageBreakBefore w:val="0"/>
              <w:widowControl w:val="0"/>
              <w:kinsoku/>
              <w:wordWrap/>
              <w:overflowPunct/>
              <w:topLinePunct w:val="0"/>
              <w:autoSpaceDE/>
              <w:autoSpaceDN/>
              <w:bidi w:val="0"/>
              <w:adjustRightInd/>
              <w:spacing w:line="420" w:lineRule="auto"/>
              <w:jc w:val="center"/>
              <w:textAlignment w:val="auto"/>
              <w:rPr>
                <w:rFonts w:hint="eastAsia"/>
                <w:sz w:val="24"/>
                <w:szCs w:val="24"/>
                <w:vertAlign w:val="baseline"/>
              </w:rPr>
            </w:pPr>
            <w:r>
              <w:rPr>
                <w:rFonts w:hint="eastAsia"/>
                <w:sz w:val="24"/>
                <w:szCs w:val="24"/>
                <w:vertAlign w:val="baseline"/>
              </w:rPr>
              <w:t>包最高限价（元）</w:t>
            </w:r>
          </w:p>
        </w:tc>
        <w:tc>
          <w:tcPr>
            <w:tcW w:w="1440" w:type="dxa"/>
          </w:tcPr>
          <w:p w14:paraId="5E08ED7E">
            <w:pPr>
              <w:keepNext w:val="0"/>
              <w:keepLines w:val="0"/>
              <w:pageBreakBefore w:val="0"/>
              <w:widowControl w:val="0"/>
              <w:kinsoku/>
              <w:wordWrap/>
              <w:overflowPunct/>
              <w:topLinePunct w:val="0"/>
              <w:autoSpaceDE/>
              <w:autoSpaceDN/>
              <w:bidi w:val="0"/>
              <w:adjustRightInd/>
              <w:spacing w:line="420" w:lineRule="auto"/>
              <w:jc w:val="center"/>
              <w:textAlignment w:val="auto"/>
              <w:rPr>
                <w:rFonts w:hint="eastAsia"/>
                <w:sz w:val="24"/>
                <w:szCs w:val="24"/>
                <w:vertAlign w:val="baseline"/>
              </w:rPr>
            </w:pPr>
            <w:r>
              <w:rPr>
                <w:rFonts w:hint="eastAsia"/>
                <w:sz w:val="24"/>
                <w:szCs w:val="24"/>
                <w:vertAlign w:val="baseline"/>
              </w:rPr>
              <w:t>是否专门面向中小企业</w:t>
            </w:r>
          </w:p>
        </w:tc>
        <w:tc>
          <w:tcPr>
            <w:tcW w:w="1728" w:type="dxa"/>
          </w:tcPr>
          <w:p w14:paraId="20044D83">
            <w:pPr>
              <w:keepNext w:val="0"/>
              <w:keepLines w:val="0"/>
              <w:pageBreakBefore w:val="0"/>
              <w:widowControl w:val="0"/>
              <w:kinsoku/>
              <w:wordWrap/>
              <w:overflowPunct/>
              <w:topLinePunct w:val="0"/>
              <w:autoSpaceDE/>
              <w:autoSpaceDN/>
              <w:bidi w:val="0"/>
              <w:adjustRightInd/>
              <w:spacing w:line="420" w:lineRule="auto"/>
              <w:jc w:val="center"/>
              <w:textAlignment w:val="auto"/>
              <w:rPr>
                <w:rFonts w:hint="eastAsia"/>
                <w:sz w:val="24"/>
                <w:szCs w:val="24"/>
                <w:vertAlign w:val="baseline"/>
              </w:rPr>
            </w:pPr>
            <w:r>
              <w:rPr>
                <w:rFonts w:hint="eastAsia"/>
                <w:sz w:val="24"/>
                <w:szCs w:val="24"/>
                <w:vertAlign w:val="baseline"/>
              </w:rPr>
              <w:t>采购预留金额（元）</w:t>
            </w:r>
          </w:p>
        </w:tc>
      </w:tr>
      <w:tr w14:paraId="080F0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8" w:type="dxa"/>
            <w:vAlign w:val="center"/>
          </w:tcPr>
          <w:p w14:paraId="4090F180">
            <w:pPr>
              <w:keepNext w:val="0"/>
              <w:keepLines w:val="0"/>
              <w:pageBreakBefore w:val="0"/>
              <w:widowControl w:val="0"/>
              <w:kinsoku/>
              <w:wordWrap/>
              <w:overflowPunct/>
              <w:topLinePunct w:val="0"/>
              <w:autoSpaceDE/>
              <w:autoSpaceDN/>
              <w:bidi w:val="0"/>
              <w:adjustRightInd/>
              <w:spacing w:line="420" w:lineRule="auto"/>
              <w:jc w:val="center"/>
              <w:textAlignment w:val="auto"/>
              <w:rPr>
                <w:rFonts w:hint="eastAsia"/>
                <w:sz w:val="24"/>
                <w:szCs w:val="24"/>
                <w:vertAlign w:val="baseline"/>
              </w:rPr>
            </w:pPr>
            <w:r>
              <w:rPr>
                <w:rFonts w:hint="eastAsia"/>
                <w:sz w:val="24"/>
                <w:szCs w:val="24"/>
                <w:vertAlign w:val="baseline"/>
              </w:rPr>
              <w:t>1</w:t>
            </w:r>
          </w:p>
        </w:tc>
        <w:tc>
          <w:tcPr>
            <w:tcW w:w="758" w:type="dxa"/>
            <w:vAlign w:val="center"/>
          </w:tcPr>
          <w:p w14:paraId="4ECF7AE1">
            <w:pPr>
              <w:keepNext w:val="0"/>
              <w:keepLines w:val="0"/>
              <w:pageBreakBefore w:val="0"/>
              <w:widowControl w:val="0"/>
              <w:kinsoku/>
              <w:wordWrap/>
              <w:overflowPunct/>
              <w:topLinePunct w:val="0"/>
              <w:autoSpaceDE/>
              <w:autoSpaceDN/>
              <w:bidi w:val="0"/>
              <w:adjustRightInd/>
              <w:spacing w:line="420" w:lineRule="auto"/>
              <w:jc w:val="center"/>
              <w:textAlignment w:val="auto"/>
              <w:rPr>
                <w:rFonts w:hint="eastAsia"/>
                <w:sz w:val="24"/>
                <w:szCs w:val="24"/>
                <w:vertAlign w:val="baseline"/>
              </w:rPr>
            </w:pPr>
            <w:r>
              <w:rPr>
                <w:rFonts w:hint="eastAsia"/>
                <w:sz w:val="24"/>
                <w:szCs w:val="24"/>
                <w:vertAlign w:val="baseline"/>
              </w:rPr>
              <w:t>1</w:t>
            </w:r>
          </w:p>
        </w:tc>
        <w:tc>
          <w:tcPr>
            <w:tcW w:w="1989" w:type="dxa"/>
            <w:vAlign w:val="center"/>
          </w:tcPr>
          <w:p w14:paraId="4911A8F4">
            <w:pPr>
              <w:keepNext w:val="0"/>
              <w:keepLines w:val="0"/>
              <w:pageBreakBefore w:val="0"/>
              <w:widowControl w:val="0"/>
              <w:kinsoku/>
              <w:wordWrap/>
              <w:overflowPunct/>
              <w:topLinePunct w:val="0"/>
              <w:autoSpaceDE/>
              <w:autoSpaceDN/>
              <w:bidi w:val="0"/>
              <w:adjustRightInd/>
              <w:spacing w:line="420" w:lineRule="auto"/>
              <w:jc w:val="center"/>
              <w:textAlignment w:val="auto"/>
              <w:rPr>
                <w:rFonts w:hint="eastAsia"/>
                <w:sz w:val="24"/>
                <w:szCs w:val="24"/>
                <w:vertAlign w:val="baseline"/>
              </w:rPr>
            </w:pPr>
            <w:r>
              <w:rPr>
                <w:rFonts w:hint="eastAsia"/>
                <w:sz w:val="24"/>
                <w:szCs w:val="24"/>
                <w:vertAlign w:val="baseline"/>
                <w:lang w:eastAsia="zh-CN"/>
              </w:rPr>
              <w:t>汝州市骑岭乡人民政府2025年骑岭乡安洼村、小陈村、白马村道路硬化项目</w:t>
            </w:r>
          </w:p>
        </w:tc>
        <w:tc>
          <w:tcPr>
            <w:tcW w:w="1560" w:type="dxa"/>
            <w:vAlign w:val="center"/>
          </w:tcPr>
          <w:p w14:paraId="5071B859">
            <w:pPr>
              <w:keepNext w:val="0"/>
              <w:keepLines w:val="0"/>
              <w:pageBreakBefore w:val="0"/>
              <w:widowControl w:val="0"/>
              <w:kinsoku/>
              <w:wordWrap/>
              <w:overflowPunct/>
              <w:topLinePunct w:val="0"/>
              <w:autoSpaceDE/>
              <w:autoSpaceDN/>
              <w:bidi w:val="0"/>
              <w:adjustRightInd/>
              <w:spacing w:line="420" w:lineRule="auto"/>
              <w:jc w:val="center"/>
              <w:textAlignment w:val="auto"/>
              <w:rPr>
                <w:rFonts w:hint="eastAsia"/>
                <w:sz w:val="24"/>
                <w:szCs w:val="24"/>
                <w:vertAlign w:val="baseline"/>
              </w:rPr>
            </w:pPr>
            <w:r>
              <w:rPr>
                <w:rFonts w:hint="eastAsia"/>
                <w:sz w:val="24"/>
                <w:szCs w:val="24"/>
                <w:vertAlign w:val="baseline"/>
                <w:lang w:eastAsia="zh-CN"/>
              </w:rPr>
              <w:t>1178608.02</w:t>
            </w:r>
          </w:p>
        </w:tc>
        <w:tc>
          <w:tcPr>
            <w:tcW w:w="1512" w:type="dxa"/>
            <w:vAlign w:val="center"/>
          </w:tcPr>
          <w:p w14:paraId="15BF1798">
            <w:pPr>
              <w:keepNext w:val="0"/>
              <w:keepLines w:val="0"/>
              <w:pageBreakBefore w:val="0"/>
              <w:widowControl w:val="0"/>
              <w:kinsoku/>
              <w:wordWrap/>
              <w:overflowPunct/>
              <w:topLinePunct w:val="0"/>
              <w:autoSpaceDE/>
              <w:autoSpaceDN/>
              <w:bidi w:val="0"/>
              <w:adjustRightInd/>
              <w:spacing w:line="420" w:lineRule="auto"/>
              <w:jc w:val="center"/>
              <w:textAlignment w:val="auto"/>
              <w:rPr>
                <w:rFonts w:hint="eastAsia"/>
                <w:sz w:val="24"/>
                <w:szCs w:val="24"/>
                <w:vertAlign w:val="baseline"/>
              </w:rPr>
            </w:pPr>
            <w:r>
              <w:rPr>
                <w:rFonts w:hint="eastAsia"/>
                <w:sz w:val="24"/>
                <w:szCs w:val="24"/>
                <w:vertAlign w:val="baseline"/>
                <w:lang w:eastAsia="zh-CN"/>
              </w:rPr>
              <w:t>1178608.02</w:t>
            </w:r>
          </w:p>
        </w:tc>
        <w:tc>
          <w:tcPr>
            <w:tcW w:w="1440" w:type="dxa"/>
            <w:vAlign w:val="center"/>
          </w:tcPr>
          <w:p w14:paraId="3FAA00F5">
            <w:pPr>
              <w:keepNext w:val="0"/>
              <w:keepLines w:val="0"/>
              <w:pageBreakBefore w:val="0"/>
              <w:widowControl w:val="0"/>
              <w:kinsoku/>
              <w:wordWrap/>
              <w:overflowPunct/>
              <w:topLinePunct w:val="0"/>
              <w:autoSpaceDE/>
              <w:autoSpaceDN/>
              <w:bidi w:val="0"/>
              <w:adjustRightInd/>
              <w:spacing w:line="420" w:lineRule="auto"/>
              <w:jc w:val="center"/>
              <w:textAlignment w:val="auto"/>
              <w:rPr>
                <w:rFonts w:hint="eastAsia"/>
                <w:sz w:val="24"/>
                <w:szCs w:val="24"/>
                <w:vertAlign w:val="baseline"/>
              </w:rPr>
            </w:pPr>
            <w:r>
              <w:rPr>
                <w:rFonts w:hint="eastAsia"/>
                <w:sz w:val="24"/>
                <w:szCs w:val="24"/>
                <w:vertAlign w:val="baseline"/>
              </w:rPr>
              <w:t>是</w:t>
            </w:r>
          </w:p>
        </w:tc>
        <w:tc>
          <w:tcPr>
            <w:tcW w:w="1728" w:type="dxa"/>
            <w:vAlign w:val="center"/>
          </w:tcPr>
          <w:p w14:paraId="2A09D2D4">
            <w:pPr>
              <w:keepNext w:val="0"/>
              <w:keepLines w:val="0"/>
              <w:pageBreakBefore w:val="0"/>
              <w:widowControl w:val="0"/>
              <w:kinsoku/>
              <w:wordWrap/>
              <w:overflowPunct/>
              <w:topLinePunct w:val="0"/>
              <w:autoSpaceDE/>
              <w:autoSpaceDN/>
              <w:bidi w:val="0"/>
              <w:adjustRightInd/>
              <w:spacing w:line="420" w:lineRule="auto"/>
              <w:jc w:val="center"/>
              <w:textAlignment w:val="auto"/>
              <w:rPr>
                <w:rFonts w:hint="eastAsia"/>
                <w:sz w:val="24"/>
                <w:szCs w:val="24"/>
                <w:vertAlign w:val="baseline"/>
              </w:rPr>
            </w:pPr>
            <w:r>
              <w:rPr>
                <w:rFonts w:hint="eastAsia"/>
                <w:sz w:val="24"/>
                <w:szCs w:val="24"/>
                <w:vertAlign w:val="baseline"/>
                <w:lang w:eastAsia="zh-CN"/>
              </w:rPr>
              <w:t>1178608.02</w:t>
            </w:r>
          </w:p>
        </w:tc>
      </w:tr>
    </w:tbl>
    <w:p w14:paraId="1C1FD481">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p>
    <w:p w14:paraId="18B8C4F4">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5、采购需求（包括但不限于标的名称、数量、简要技术需求或服务要求等）</w:t>
      </w:r>
    </w:p>
    <w:p w14:paraId="72913923">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5.1采购内容：道路硬化施工；</w:t>
      </w:r>
    </w:p>
    <w:p w14:paraId="5952C2FD">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5.2资金来源：财政资金；</w:t>
      </w:r>
    </w:p>
    <w:p w14:paraId="5BBCB5EC">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 xml:space="preserve">5.3质量要求：合格； </w:t>
      </w:r>
    </w:p>
    <w:p w14:paraId="35E23B26">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5.4工期：30天；</w:t>
      </w:r>
    </w:p>
    <w:p w14:paraId="6BF3169A">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5.5谈判范围：施工图纸及工程量清单内的全部内容（详见谈判文件）；</w:t>
      </w:r>
    </w:p>
    <w:p w14:paraId="7E0A0513">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5.6标段划分：本项目共划分一个标段；</w:t>
      </w:r>
    </w:p>
    <w:p w14:paraId="2FE5C7FE">
      <w:pPr>
        <w:keepNext w:val="0"/>
        <w:keepLines w:val="0"/>
        <w:pageBreakBefore w:val="0"/>
        <w:widowControl w:val="0"/>
        <w:numPr>
          <w:ilvl w:val="0"/>
          <w:numId w:val="0"/>
        </w:numPr>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asciiTheme="minorHAnsi" w:hAnsiTheme="minorHAnsi" w:eastAsiaTheme="minorEastAsia" w:cstheme="minorBidi"/>
          <w:kern w:val="2"/>
          <w:sz w:val="24"/>
          <w:szCs w:val="24"/>
          <w:lang w:val="en-US" w:eastAsia="zh-CN" w:bidi="ar-SA"/>
        </w:rPr>
        <w:t>6、</w:t>
      </w:r>
      <w:r>
        <w:rPr>
          <w:rFonts w:hint="eastAsia"/>
          <w:sz w:val="24"/>
          <w:szCs w:val="24"/>
        </w:rPr>
        <w:t>合同履行期限：30天</w:t>
      </w:r>
    </w:p>
    <w:p w14:paraId="3B947930">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 xml:space="preserve">7、本项目是否接受联合体谈判申请：否 </w:t>
      </w:r>
    </w:p>
    <w:p w14:paraId="61E25534">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8、是否接受进口产品：否</w:t>
      </w:r>
    </w:p>
    <w:p w14:paraId="0CAB2591">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9、是否专门面向中小企业：是</w:t>
      </w:r>
    </w:p>
    <w:p w14:paraId="4106FBB6">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二、申请人资格要求：</w:t>
      </w:r>
    </w:p>
    <w:p w14:paraId="4F95157D">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 xml:space="preserve">1、满足《中华人民共和国政府采购法》第二十二条规定； </w:t>
      </w:r>
    </w:p>
    <w:p w14:paraId="2F1CC15E">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2、落实政府采购政策满足的资格要求： 落实节能环保、中小微型企业扶持（含支持监狱企业发展、促进残疾人就业）等相关政府采购政策；本项目专门面向中小微企业。</w:t>
      </w:r>
    </w:p>
    <w:p w14:paraId="2910E6B1">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 xml:space="preserve">3、本项目的特定资格要求 </w:t>
      </w:r>
    </w:p>
    <w:p w14:paraId="00705A03">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3.1、具有独立承担民事责任的能力，具备有效的营业执照、组织机构代码证、税务登记证或三证合一的营业执照；</w:t>
      </w:r>
    </w:p>
    <w:p w14:paraId="12359F48">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3.2、具有建设行政主管部门核发的市政公用工程施工总承包叁级及以上资质，并具备有效期内的安全生产许可证；</w:t>
      </w:r>
    </w:p>
    <w:p w14:paraId="608411F2">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3.3、项目经理须具有市政公用工程专业贰级及以上注册建造师资格，具备有效期内的安全生产考核证，且无在建工程（提供项目经理无在建工程承诺书，由法定代表人及项目经理共同签字，并加盖单位公章）；</w:t>
      </w:r>
    </w:p>
    <w:p w14:paraId="04C4B0A4">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3.4、技术负责人具有相关专业中级及以上职称；</w:t>
      </w:r>
    </w:p>
    <w:p w14:paraId="618E3983">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3.5、授权代理人、项目经理、技术负责人必须为本单位人员，提供劳动合同、2024 年 6 月份以来任意三个月社保缴纳证明（网上查询截图加盖供应商单位公章或由当地社保部门出具的加盖社保部门印章的社保证明材料）；</w:t>
      </w:r>
    </w:p>
    <w:p w14:paraId="06EFAC1C">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3.6、具有良好的商业信誉和健全的财务会计制度（供应商无需提供证明材料，只需在响应文件格式中填写汝州市政府采购供应商信用承诺函）；</w:t>
      </w:r>
    </w:p>
    <w:p w14:paraId="2A38F315">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3.7、具有履行合同所必需的设备和专业技术能力（供应商无需提供证明材料，只需在响应文件格式中填写汝州市政府采购供应商信用承诺函）；</w:t>
      </w:r>
    </w:p>
    <w:p w14:paraId="52DD6661">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3.8、具有依法缴纳税收和社会保障资金的良好记录（供应商无需提供证明材料，只需在响应文件格式中填写汝州市政府采购供应商信用承诺函）；</w:t>
      </w:r>
    </w:p>
    <w:p w14:paraId="4B24671F">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3.9、参加政府采购活动近三年内，在经营活动中没有重大的违法记录（供应商无需提供证明材料，只需在响应文件格式中填写汝州市政府采购供应商信用承诺函）；</w:t>
      </w:r>
    </w:p>
    <w:p w14:paraId="789FA22D">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3.10、未被列入“中国执行信息公开网”网站的“失信被执行人”、“信用中国”网站的“重大税收违法失信主体”、“中国政府采购”网站的“政府采购严重违法失信行为记录名单”查询结果页面截图，不得有不良记录（执行财库【2016】125 号文）。</w:t>
      </w:r>
    </w:p>
    <w:p w14:paraId="7F22A8B1">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注：采购人有权在签订合同前要求成交供应商提供相关证明材料以核实成交供应商承诺事项的真实性。</w:t>
      </w:r>
    </w:p>
    <w:p w14:paraId="7C080469">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三、获取采购文件</w:t>
      </w:r>
    </w:p>
    <w:p w14:paraId="2FFB6552">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1.时间：2025年8月1</w:t>
      </w:r>
      <w:r>
        <w:rPr>
          <w:rFonts w:hint="eastAsia"/>
          <w:sz w:val="24"/>
          <w:szCs w:val="24"/>
          <w:lang w:val="en-US" w:eastAsia="zh-CN"/>
        </w:rPr>
        <w:t>8</w:t>
      </w:r>
      <w:r>
        <w:rPr>
          <w:rFonts w:hint="eastAsia"/>
          <w:sz w:val="24"/>
          <w:szCs w:val="24"/>
        </w:rPr>
        <w:t>日至2025年9月1日，每天上午00:00至11:59，下午12:00至23:59（北京时间，法定节假日除外。）</w:t>
      </w:r>
    </w:p>
    <w:p w14:paraId="23BC0E2A">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2.地点：全国公共资源交易平台（河南省·汝州市）（网址：www.rzggzy.com）</w:t>
      </w:r>
    </w:p>
    <w:p w14:paraId="12F49F35">
      <w:pPr>
        <w:keepNext w:val="0"/>
        <w:keepLines w:val="0"/>
        <w:pageBreakBefore w:val="0"/>
        <w:widowControl w:val="0"/>
        <w:kinsoku/>
        <w:wordWrap/>
        <w:overflowPunct/>
        <w:topLinePunct w:val="0"/>
        <w:autoSpaceDE/>
        <w:autoSpaceDN/>
        <w:bidi w:val="0"/>
        <w:adjustRightInd/>
        <w:spacing w:line="420" w:lineRule="auto"/>
        <w:ind w:firstLine="480" w:firstLineChars="200"/>
        <w:jc w:val="left"/>
        <w:textAlignment w:val="auto"/>
        <w:rPr>
          <w:rFonts w:hint="eastAsia"/>
          <w:sz w:val="24"/>
          <w:szCs w:val="24"/>
        </w:rPr>
      </w:pPr>
      <w:r>
        <w:rPr>
          <w:rFonts w:hint="eastAsia"/>
          <w:sz w:val="24"/>
          <w:szCs w:val="24"/>
        </w:rPr>
        <w:t>3.方式：①供应商须在全国公共资源交易平台（河南省·汝州市）注册入库。操作说明：http://www.rzggzy.com/HNRZ/ServiceInteraction/indexMore.do?id=fdd6c8fc-bb0a-4c07-8715-d29609fc7a80，并办理‘数字证书（CA）’②登录交易系统选择进入计划投标的项目，下载电子谈判采购文件（gef格式），或者访问网站‘交易信息’找到并点开项目招标或采购公告，下载电子谈判采购文件（gef格式）③电子谈判采购文件（gef格式）使用‘电子投标人工具箱’打开，电子投标人工具箱的安装包下载和使用说明见网站‘办事服务’-‘下载专区’和‘系统操作指南’。</w:t>
      </w:r>
    </w:p>
    <w:p w14:paraId="6324F73F">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4.售价：0元</w:t>
      </w:r>
    </w:p>
    <w:p w14:paraId="55502D5F">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四、响应文件提交</w:t>
      </w:r>
    </w:p>
    <w:p w14:paraId="10251BFB">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1.时间：2025年9月2日8时 30分（北京时间）</w:t>
      </w:r>
    </w:p>
    <w:p w14:paraId="099CCF3A">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2.地点：全国公共资源交易平台（河南省·汝州市）（网址：www.rzggzy.com）电子交易系统上传</w:t>
      </w:r>
    </w:p>
    <w:p w14:paraId="7C53009B">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五、响应文件开启</w:t>
      </w:r>
    </w:p>
    <w:p w14:paraId="52725DDA">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1.时间：2025年9月2日8时30分（北京时间）</w:t>
      </w:r>
    </w:p>
    <w:p w14:paraId="113C515E">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2.地点：汝州市公共资源交易中心开标室</w:t>
      </w:r>
    </w:p>
    <w:p w14:paraId="5B23FD91">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六、发布公告的媒介及谈判公告期限：</w:t>
      </w:r>
    </w:p>
    <w:p w14:paraId="2C60971E">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本次谈判公告在《河南省政府采购网》、《汝州市政府采购网》、《全国公共资源交易平台（河南省·汝州市）》（网址：www.rzggzy.com）上发布。</w:t>
      </w:r>
    </w:p>
    <w:p w14:paraId="4E00476B">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 xml:space="preserve">   谈判公告期限为三个工作日。</w:t>
      </w:r>
    </w:p>
    <w:p w14:paraId="302B3125">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 xml:space="preserve">七、其他补充事宜 </w:t>
      </w:r>
    </w:p>
    <w:p w14:paraId="4C9782D7">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 xml:space="preserve">1、受理投诉监督管理部门：汝州市财政局 </w:t>
      </w:r>
    </w:p>
    <w:p w14:paraId="08FFB2BE">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 xml:space="preserve">联系电话：0375-6862799 </w:t>
      </w:r>
    </w:p>
    <w:p w14:paraId="4329391D">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 xml:space="preserve">邮箱地址：rzcgb406@163.com </w:t>
      </w:r>
    </w:p>
    <w:p w14:paraId="064BC1CF">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联系地址：汝州市望嵩中路 116 号</w:t>
      </w:r>
    </w:p>
    <w:p w14:paraId="52562C50">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2、供应商在主体诚信库中自行上传企业相关资质、业绩等证明材料，并自行承担真伪责任。供应商主体诚信库信息作为资格审查和评审依据，在中心网站予以公示接受社会监督。</w:t>
      </w:r>
    </w:p>
    <w:p w14:paraId="6E6F1EF2">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3、本项目采用“不见面”谈判方式，供应商只需要递交电子谈判响应文件，无需到达现场提交原件资料、无需到现场参加谈判会议活动。</w:t>
      </w:r>
    </w:p>
    <w:p w14:paraId="40520241">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 xml:space="preserve">4、供应商应当在谈判会议活动开始时间前,登录谈判会议大厅,在线准时参加谈判会议活动并进行电子谈判响应文件解密。 </w:t>
      </w:r>
    </w:p>
    <w:p w14:paraId="021CCDBA">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 xml:space="preserve">八、凡对本次公告内容提出询问，请按以下方式联系 </w:t>
      </w:r>
    </w:p>
    <w:p w14:paraId="5DC601BD">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 xml:space="preserve">1. 采购人信息 </w:t>
      </w:r>
      <w:bookmarkStart w:id="0" w:name="_GoBack"/>
      <w:bookmarkEnd w:id="0"/>
    </w:p>
    <w:p w14:paraId="701DC0E6">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名    称：汝州市骑岭乡人民政府</w:t>
      </w:r>
    </w:p>
    <w:p w14:paraId="6A164AB0">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地    址：汝州市煤山办事处骑庄3号院</w:t>
      </w:r>
    </w:p>
    <w:p w14:paraId="03EA5155">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 xml:space="preserve">联系人：焦女士      </w:t>
      </w:r>
    </w:p>
    <w:p w14:paraId="55434904">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 xml:space="preserve">联系电话：13937539715      </w:t>
      </w:r>
    </w:p>
    <w:p w14:paraId="7549E4DA">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2.采购代理机构信息</w:t>
      </w:r>
    </w:p>
    <w:p w14:paraId="2E1BC782">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名称：河南标翰工程咨询有限公司</w:t>
      </w:r>
    </w:p>
    <w:p w14:paraId="34BA9607">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地址：汝州市大时代购物公园A区2001号</w:t>
      </w:r>
    </w:p>
    <w:p w14:paraId="2D65142D">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联系人：郭女士</w:t>
      </w:r>
    </w:p>
    <w:p w14:paraId="42AD45F0">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联系方式：13183329332</w:t>
      </w:r>
    </w:p>
    <w:p w14:paraId="1C64671D">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3、项目联系方式</w:t>
      </w:r>
    </w:p>
    <w:p w14:paraId="48971D2C">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项目联系人：郭女士</w:t>
      </w:r>
    </w:p>
    <w:p w14:paraId="7708D324">
      <w:pPr>
        <w:pStyle w:val="2"/>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r>
        <w:rPr>
          <w:rFonts w:hint="eastAsia"/>
          <w:sz w:val="24"/>
          <w:szCs w:val="24"/>
        </w:rPr>
        <w:t>电　话：13183329332</w:t>
      </w:r>
    </w:p>
    <w:p w14:paraId="4235A7D5">
      <w:pPr>
        <w:keepNext w:val="0"/>
        <w:keepLines w:val="0"/>
        <w:pageBreakBefore w:val="0"/>
        <w:widowControl w:val="0"/>
        <w:kinsoku/>
        <w:wordWrap/>
        <w:overflowPunct/>
        <w:topLinePunct w:val="0"/>
        <w:autoSpaceDE/>
        <w:autoSpaceDN/>
        <w:bidi w:val="0"/>
        <w:adjustRightInd/>
        <w:spacing w:line="420" w:lineRule="auto"/>
        <w:ind w:firstLine="480" w:firstLineChars="200"/>
        <w:textAlignment w:val="auto"/>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37789D"/>
    <w:rsid w:val="04B71A64"/>
    <w:rsid w:val="1037789D"/>
    <w:rsid w:val="10537FD8"/>
    <w:rsid w:val="58355736"/>
    <w:rsid w:val="5E83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2228</Words>
  <Characters>2597</Characters>
  <Lines>0</Lines>
  <Paragraphs>0</Paragraphs>
  <TotalTime>28</TotalTime>
  <ScaleCrop>false</ScaleCrop>
  <LinksUpToDate>false</LinksUpToDate>
  <CharactersWithSpaces>2641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2025-08-14T08:56:00Z</dcterms:created>
  <dc:creator>嗯。</dc:creator>
  <cp:lastModifiedBy>嗯。</cp:lastModifiedBy>
  <cp:lastPrinted>2025-08-15T07:14:05Z</cp:lastPrinted>
  <dcterms:modified xsi:type="dcterms:W3CDTF">2025-08-15T07:15:38Z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99F0B832C7CC45859BB3397018FA09A4_11</vt:lpwstr>
  </property>
  <property fmtid="{D5CDD505-2E9C-101B-9397-08002B2CF9AE}" pid="4" name="KSOTemplateDocerSaveRecord">
    <vt:lpwstr>eyJoZGlkIjoiN2JkYjY3NTdiNTBhMGIxOTQxYjllMWM3N2UyZWEwN2EiLCJ1c2VySWQiOiI1MDQwMTA0NDYifQ==</vt:lpwstr>
  </property>
</Properties>
</file>