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hAnsi="宋体" w:cs="宋体"/>
          <w:b/>
          <w:sz w:val="52"/>
          <w:szCs w:val="40"/>
        </w:rPr>
      </w:pPr>
      <w:bookmarkStart w:id="97" w:name="_GoBack"/>
      <w:bookmarkEnd w:id="97"/>
    </w:p>
    <w:p>
      <w:pPr>
        <w:pStyle w:val="45"/>
        <w:ind w:firstLine="0" w:firstLineChars="0"/>
        <w:jc w:val="center"/>
        <w:rPr>
          <w:rFonts w:ascii="宋体" w:hAnsi="宋体" w:cs="宋体"/>
          <w:b/>
          <w:sz w:val="52"/>
          <w:szCs w:val="40"/>
        </w:rPr>
      </w:pPr>
      <w:r>
        <w:rPr>
          <w:rFonts w:hint="eastAsia" w:ascii="宋体" w:hAnsi="宋体" w:cs="宋体"/>
          <w:b/>
          <w:sz w:val="52"/>
          <w:szCs w:val="40"/>
        </w:rPr>
        <w:t>汝州市人民医院放射科影像设备</w:t>
      </w:r>
    </w:p>
    <w:p>
      <w:pPr>
        <w:pStyle w:val="45"/>
        <w:ind w:firstLine="0" w:firstLineChars="0"/>
        <w:jc w:val="center"/>
        <w:rPr>
          <w:rFonts w:ascii="宋体" w:hAnsi="宋体" w:cs="宋体"/>
        </w:rPr>
      </w:pPr>
      <w:r>
        <w:rPr>
          <w:rFonts w:hint="eastAsia" w:ascii="宋体" w:hAnsi="宋体" w:cs="宋体"/>
          <w:b/>
          <w:sz w:val="52"/>
          <w:szCs w:val="40"/>
        </w:rPr>
        <w:t>升级项目</w:t>
      </w:r>
    </w:p>
    <w:p>
      <w:pPr>
        <w:pStyle w:val="45"/>
        <w:ind w:firstLine="640"/>
        <w:rPr>
          <w:rFonts w:ascii="宋体" w:hAnsi="宋体" w:cs="宋体"/>
        </w:rPr>
      </w:pPr>
      <w:r>
        <w:rPr>
          <w:rFonts w:hint="eastAsia" w:ascii="宋体" w:hAnsi="宋体" w:cs="宋体"/>
        </w:rPr>
        <w:t xml:space="preserve">  </w:t>
      </w:r>
    </w:p>
    <w:p>
      <w:pPr>
        <w:pStyle w:val="45"/>
        <w:ind w:firstLine="0" w:firstLineChars="0"/>
        <w:jc w:val="center"/>
        <w:rPr>
          <w:rFonts w:ascii="宋体" w:hAnsi="宋体" w:cs="宋体"/>
          <w:b/>
          <w:sz w:val="84"/>
          <w:szCs w:val="84"/>
        </w:rPr>
      </w:pPr>
      <w:r>
        <w:rPr>
          <w:rFonts w:hint="eastAsia" w:ascii="宋体" w:hAnsi="宋体" w:cs="宋体"/>
          <w:b/>
          <w:bCs/>
          <w:sz w:val="40"/>
          <w:szCs w:val="40"/>
        </w:rPr>
        <w:drawing>
          <wp:anchor distT="0" distB="0" distL="114300" distR="114300" simplePos="0" relativeHeight="251659264" behindDoc="0" locked="0" layoutInCell="1" allowOverlap="1">
            <wp:simplePos x="0" y="0"/>
            <wp:positionH relativeFrom="column">
              <wp:posOffset>1052195</wp:posOffset>
            </wp:positionH>
            <wp:positionV relativeFrom="paragraph">
              <wp:posOffset>503555</wp:posOffset>
            </wp:positionV>
            <wp:extent cx="3333750" cy="2276475"/>
            <wp:effectExtent l="0" t="0" r="0" b="0"/>
            <wp:wrapNone/>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pic:cNvPicPr>
                      <a:picLocks noChangeAspect="1"/>
                    </pic:cNvPicPr>
                  </pic:nvPicPr>
                  <pic:blipFill>
                    <a:blip r:embed="rId8"/>
                    <a:srcRect t="4016"/>
                    <a:stretch>
                      <a:fillRect/>
                    </a:stretch>
                  </pic:blipFill>
                  <pic:spPr>
                    <a:xfrm>
                      <a:off x="0" y="0"/>
                      <a:ext cx="3333750" cy="2276475"/>
                    </a:xfrm>
                    <a:prstGeom prst="rect">
                      <a:avLst/>
                    </a:prstGeom>
                    <a:noFill/>
                    <a:ln>
                      <a:noFill/>
                    </a:ln>
                  </pic:spPr>
                </pic:pic>
              </a:graphicData>
            </a:graphic>
          </wp:anchor>
        </w:drawing>
      </w:r>
      <w:r>
        <w:rPr>
          <w:rFonts w:hint="eastAsia" w:ascii="宋体" w:hAnsi="宋体" w:cs="宋体"/>
          <w:b/>
          <w:sz w:val="84"/>
          <w:szCs w:val="84"/>
        </w:rPr>
        <w:t>招标文件</w:t>
      </w:r>
    </w:p>
    <w:p>
      <w:pPr>
        <w:ind w:firstLine="3288" w:firstLineChars="1096"/>
        <w:rPr>
          <w:rFonts w:ascii="宋体" w:hAnsi="宋体" w:cs="宋体"/>
          <w:b/>
          <w:sz w:val="30"/>
          <w:szCs w:val="30"/>
        </w:rPr>
      </w:pPr>
      <w:r>
        <w:rPr>
          <w:rFonts w:hint="eastAsia" w:ascii="宋体" w:hAnsi="宋体" w:cs="宋体"/>
          <w:b/>
          <w:sz w:val="30"/>
          <w:szCs w:val="30"/>
        </w:rPr>
        <w:t xml:space="preserve"> </w:t>
      </w:r>
    </w:p>
    <w:p>
      <w:pPr>
        <w:ind w:firstLine="1800" w:firstLineChars="600"/>
        <w:rPr>
          <w:rFonts w:ascii="宋体" w:hAnsi="宋体" w:cs="宋体"/>
          <w:b/>
          <w:sz w:val="30"/>
          <w:szCs w:val="30"/>
        </w:rPr>
      </w:pPr>
    </w:p>
    <w:p>
      <w:pPr>
        <w:ind w:firstLine="1800" w:firstLineChars="600"/>
        <w:rPr>
          <w:rFonts w:ascii="宋体" w:hAnsi="宋体" w:cs="宋体"/>
          <w:b/>
          <w:sz w:val="30"/>
          <w:szCs w:val="30"/>
        </w:rPr>
      </w:pPr>
    </w:p>
    <w:p>
      <w:pPr>
        <w:ind w:firstLine="1800" w:firstLineChars="600"/>
        <w:rPr>
          <w:rFonts w:ascii="宋体" w:hAnsi="宋体" w:cs="宋体"/>
          <w:b/>
          <w:sz w:val="30"/>
          <w:szCs w:val="30"/>
        </w:rPr>
      </w:pPr>
    </w:p>
    <w:p>
      <w:pPr>
        <w:ind w:firstLine="1800" w:firstLineChars="600"/>
        <w:rPr>
          <w:rFonts w:ascii="宋体" w:hAnsi="宋体" w:cs="宋体"/>
          <w:b/>
          <w:sz w:val="30"/>
          <w:szCs w:val="30"/>
        </w:rPr>
      </w:pPr>
    </w:p>
    <w:p>
      <w:pPr>
        <w:ind w:firstLine="1800" w:firstLineChars="600"/>
        <w:rPr>
          <w:rFonts w:ascii="宋体" w:hAnsi="宋体" w:cs="宋体"/>
          <w:b/>
          <w:sz w:val="30"/>
          <w:szCs w:val="30"/>
        </w:rPr>
      </w:pPr>
    </w:p>
    <w:p>
      <w:pPr>
        <w:ind w:firstLine="1800" w:firstLineChars="600"/>
        <w:rPr>
          <w:rFonts w:ascii="宋体" w:hAnsi="宋体" w:cs="宋体"/>
          <w:b/>
          <w:sz w:val="30"/>
          <w:szCs w:val="30"/>
        </w:rPr>
      </w:pPr>
      <w:r>
        <w:rPr>
          <w:rFonts w:hint="eastAsia" w:ascii="宋体" w:hAnsi="宋体" w:cs="宋体"/>
          <w:b/>
          <w:sz w:val="30"/>
          <w:szCs w:val="30"/>
        </w:rPr>
        <w:t>采购项目编号：汝财招标采购-2023-31</w:t>
      </w:r>
    </w:p>
    <w:p>
      <w:pPr>
        <w:rPr>
          <w:rFonts w:ascii="宋体" w:hAnsi="宋体" w:cs="宋体"/>
          <w:sz w:val="32"/>
          <w:szCs w:val="32"/>
        </w:rPr>
      </w:pPr>
      <w:r>
        <w:rPr>
          <w:rFonts w:hint="eastAsia" w:ascii="宋体" w:hAnsi="宋体" w:cs="宋体"/>
          <w:sz w:val="32"/>
          <w:szCs w:val="32"/>
        </w:rPr>
        <w:t xml:space="preserve"> </w:t>
      </w:r>
    </w:p>
    <w:p>
      <w:pPr>
        <w:rPr>
          <w:rFonts w:ascii="宋体" w:hAnsi="宋体" w:cs="宋体"/>
          <w:sz w:val="32"/>
          <w:szCs w:val="32"/>
        </w:rPr>
      </w:pPr>
      <w:r>
        <w:rPr>
          <w:rFonts w:hint="eastAsia" w:ascii="宋体" w:hAnsi="宋体" w:cs="宋体"/>
          <w:sz w:val="32"/>
          <w:szCs w:val="32"/>
        </w:rPr>
        <w:t xml:space="preserve"> </w:t>
      </w:r>
    </w:p>
    <w:p>
      <w:pPr>
        <w:spacing w:line="480" w:lineRule="auto"/>
        <w:ind w:firstLine="1225" w:firstLineChars="383"/>
        <w:rPr>
          <w:rFonts w:ascii="宋体" w:hAnsi="宋体" w:cs="宋体"/>
          <w:b/>
          <w:sz w:val="32"/>
          <w:szCs w:val="32"/>
        </w:rPr>
      </w:pPr>
    </w:p>
    <w:p>
      <w:pPr>
        <w:spacing w:line="480" w:lineRule="auto"/>
        <w:ind w:firstLine="1225" w:firstLineChars="383"/>
        <w:rPr>
          <w:rFonts w:ascii="宋体" w:hAnsi="宋体" w:cs="宋体"/>
          <w:b/>
          <w:sz w:val="32"/>
          <w:szCs w:val="32"/>
        </w:rPr>
      </w:pPr>
    </w:p>
    <w:p>
      <w:pPr>
        <w:spacing w:line="480" w:lineRule="auto"/>
        <w:ind w:firstLine="1225" w:firstLineChars="383"/>
        <w:rPr>
          <w:rFonts w:ascii="宋体" w:hAnsi="宋体" w:cs="宋体"/>
          <w:b/>
          <w:sz w:val="32"/>
          <w:szCs w:val="32"/>
        </w:rPr>
      </w:pPr>
      <w:r>
        <w:rPr>
          <w:rFonts w:hint="eastAsia" w:ascii="宋体" w:hAnsi="宋体" w:cs="宋体"/>
          <w:b/>
          <w:sz w:val="32"/>
          <w:szCs w:val="32"/>
        </w:rPr>
        <w:t>招   标   人：汝州市人民医院</w:t>
      </w:r>
    </w:p>
    <w:p>
      <w:pPr>
        <w:spacing w:line="480" w:lineRule="auto"/>
        <w:ind w:firstLine="1225" w:firstLineChars="383"/>
        <w:rPr>
          <w:rFonts w:ascii="宋体" w:hAnsi="宋体" w:cs="宋体"/>
          <w:b/>
          <w:sz w:val="32"/>
          <w:szCs w:val="32"/>
        </w:rPr>
      </w:pPr>
      <w:r>
        <w:rPr>
          <w:rFonts w:hint="eastAsia" w:ascii="宋体" w:hAnsi="宋体" w:cs="宋体"/>
          <w:b/>
          <w:sz w:val="32"/>
          <w:szCs w:val="32"/>
        </w:rPr>
        <w:t>招标代理机构：河南中普德项目管理有限公司</w:t>
      </w:r>
    </w:p>
    <w:p>
      <w:pPr>
        <w:spacing w:line="480" w:lineRule="auto"/>
        <w:ind w:firstLine="1280" w:firstLineChars="400"/>
        <w:rPr>
          <w:rFonts w:ascii="宋体" w:hAnsi="宋体" w:cs="宋体"/>
          <w:b/>
          <w:sz w:val="32"/>
          <w:szCs w:val="32"/>
        </w:rPr>
      </w:pPr>
      <w:r>
        <w:rPr>
          <w:rFonts w:hint="eastAsia" w:ascii="宋体" w:hAnsi="宋体" w:cs="宋体"/>
          <w:b/>
          <w:sz w:val="32"/>
          <w:szCs w:val="32"/>
        </w:rPr>
        <w:t>日        期：二〇二三年四月</w:t>
      </w:r>
    </w:p>
    <w:p>
      <w:pPr>
        <w:pStyle w:val="45"/>
        <w:spacing w:line="600" w:lineRule="auto"/>
        <w:ind w:firstLine="602"/>
        <w:jc w:val="center"/>
        <w:outlineLvl w:val="4"/>
        <w:rPr>
          <w:rFonts w:ascii="宋体" w:hAnsi="宋体" w:cs="宋体"/>
          <w:b/>
          <w:sz w:val="28"/>
          <w:szCs w:val="28"/>
        </w:rPr>
        <w:sectPr>
          <w:pgSz w:w="11907" w:h="16840"/>
          <w:pgMar w:top="1417" w:right="1417" w:bottom="1361" w:left="1417" w:header="737" w:footer="680" w:gutter="0"/>
          <w:cols w:space="720" w:num="1"/>
          <w:docGrid w:type="linesAndChars" w:linePitch="306" w:charSpace="-2"/>
        </w:sectPr>
      </w:pPr>
    </w:p>
    <w:p>
      <w:pPr>
        <w:pStyle w:val="45"/>
        <w:spacing w:line="600" w:lineRule="auto"/>
        <w:ind w:firstLine="602"/>
        <w:jc w:val="center"/>
        <w:outlineLvl w:val="4"/>
        <w:rPr>
          <w:rFonts w:ascii="宋体" w:hAnsi="宋体" w:cs="宋体"/>
          <w:b/>
          <w:sz w:val="28"/>
          <w:szCs w:val="28"/>
        </w:rPr>
      </w:pPr>
      <w:r>
        <w:rPr>
          <w:rFonts w:hint="eastAsia" w:ascii="宋体" w:hAnsi="宋体" w:cs="宋体"/>
          <w:b/>
          <w:sz w:val="28"/>
          <w:szCs w:val="28"/>
        </w:rPr>
        <w:t>目  录</w:t>
      </w:r>
    </w:p>
    <w:p>
      <w:pPr>
        <w:pStyle w:val="32"/>
        <w:tabs>
          <w:tab w:val="right" w:leader="dot" w:pos="9073"/>
          <w:tab w:val="clear" w:pos="9214"/>
        </w:tabs>
        <w:rPr>
          <w:rFonts w:ascii="宋体" w:hAnsi="宋体" w:cs="宋体"/>
        </w:rPr>
      </w:pPr>
      <w:r>
        <w:rPr>
          <w:rFonts w:hint="eastAsia" w:ascii="宋体" w:hAnsi="宋体" w:cs="宋体"/>
        </w:rPr>
        <w:fldChar w:fldCharType="begin"/>
      </w:r>
      <w:r>
        <w:rPr>
          <w:rFonts w:hint="eastAsia" w:ascii="宋体" w:hAnsi="宋体" w:cs="宋体"/>
        </w:rPr>
        <w:instrText xml:space="preserve"> TOC \o "1-1" \h \z \u </w:instrText>
      </w:r>
      <w:r>
        <w:rPr>
          <w:rFonts w:hint="eastAsia" w:ascii="宋体" w:hAnsi="宋体" w:cs="宋体"/>
        </w:rPr>
        <w:fldChar w:fldCharType="separate"/>
      </w:r>
      <w:r>
        <w:fldChar w:fldCharType="begin"/>
      </w:r>
      <w:r>
        <w:instrText xml:space="preserve"> HYPERLINK \l "_Toc21629" </w:instrText>
      </w:r>
      <w:r>
        <w:fldChar w:fldCharType="separate"/>
      </w:r>
      <w:r>
        <w:rPr>
          <w:rFonts w:hint="eastAsia" w:ascii="宋体" w:hAnsi="宋体" w:cs="宋体"/>
          <w:szCs w:val="32"/>
        </w:rPr>
        <w:t>第一章  招标公告</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_Toc21629 \h </w:instrText>
      </w:r>
      <w:r>
        <w:rPr>
          <w:rFonts w:hint="eastAsia" w:ascii="宋体" w:hAnsi="宋体" w:cs="宋体"/>
        </w:rPr>
        <w:fldChar w:fldCharType="separate"/>
      </w:r>
      <w:r>
        <w:rPr>
          <w:rFonts w:hint="eastAsia" w:ascii="宋体" w:hAnsi="宋体" w:cs="宋体"/>
        </w:rPr>
        <w:t>2</w:t>
      </w:r>
      <w:r>
        <w:rPr>
          <w:rFonts w:hint="eastAsia" w:ascii="宋体" w:hAnsi="宋体" w:cs="宋体"/>
        </w:rPr>
        <w:fldChar w:fldCharType="end"/>
      </w:r>
      <w:r>
        <w:rPr>
          <w:rFonts w:hint="eastAsia" w:ascii="宋体" w:hAnsi="宋体" w:cs="宋体"/>
        </w:rPr>
        <w:fldChar w:fldCharType="end"/>
      </w:r>
    </w:p>
    <w:p>
      <w:pPr>
        <w:pStyle w:val="32"/>
        <w:tabs>
          <w:tab w:val="right" w:leader="dot" w:pos="9073"/>
          <w:tab w:val="clear" w:pos="9214"/>
        </w:tabs>
        <w:rPr>
          <w:rFonts w:ascii="宋体" w:hAnsi="宋体" w:cs="宋体"/>
        </w:rPr>
      </w:pPr>
      <w:r>
        <w:fldChar w:fldCharType="begin"/>
      </w:r>
      <w:r>
        <w:instrText xml:space="preserve"> HYPERLINK \l "_Toc18196" </w:instrText>
      </w:r>
      <w:r>
        <w:fldChar w:fldCharType="separate"/>
      </w:r>
      <w:r>
        <w:rPr>
          <w:rFonts w:hint="eastAsia" w:ascii="宋体" w:hAnsi="宋体" w:cs="宋体"/>
          <w:szCs w:val="32"/>
        </w:rPr>
        <w:t>第二章  供应商须知</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_Toc18196 \h </w:instrText>
      </w:r>
      <w:r>
        <w:rPr>
          <w:rFonts w:hint="eastAsia" w:ascii="宋体" w:hAnsi="宋体" w:cs="宋体"/>
        </w:rPr>
        <w:fldChar w:fldCharType="separate"/>
      </w:r>
      <w:r>
        <w:rPr>
          <w:rFonts w:hint="eastAsia" w:ascii="宋体" w:hAnsi="宋体" w:cs="宋体"/>
        </w:rPr>
        <w:t>6</w:t>
      </w:r>
      <w:r>
        <w:rPr>
          <w:rFonts w:hint="eastAsia" w:ascii="宋体" w:hAnsi="宋体" w:cs="宋体"/>
        </w:rPr>
        <w:fldChar w:fldCharType="end"/>
      </w:r>
      <w:r>
        <w:rPr>
          <w:rFonts w:hint="eastAsia" w:ascii="宋体" w:hAnsi="宋体" w:cs="宋体"/>
        </w:rPr>
        <w:fldChar w:fldCharType="end"/>
      </w:r>
    </w:p>
    <w:p>
      <w:pPr>
        <w:pStyle w:val="32"/>
        <w:tabs>
          <w:tab w:val="right" w:leader="dot" w:pos="9073"/>
          <w:tab w:val="clear" w:pos="9214"/>
        </w:tabs>
        <w:rPr>
          <w:rFonts w:ascii="宋体" w:hAnsi="宋体" w:cs="宋体"/>
        </w:rPr>
      </w:pPr>
      <w:r>
        <w:fldChar w:fldCharType="begin"/>
      </w:r>
      <w:r>
        <w:instrText xml:space="preserve"> HYPERLINK \l "_Toc13880" </w:instrText>
      </w:r>
      <w:r>
        <w:fldChar w:fldCharType="separate"/>
      </w:r>
      <w:r>
        <w:rPr>
          <w:rFonts w:hint="eastAsia" w:ascii="宋体" w:hAnsi="宋体" w:cs="宋体"/>
        </w:rPr>
        <w:t>第三章  采购清单</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_Toc13880 \h </w:instrText>
      </w:r>
      <w:r>
        <w:rPr>
          <w:rFonts w:hint="eastAsia" w:ascii="宋体" w:hAnsi="宋体" w:cs="宋体"/>
        </w:rPr>
        <w:fldChar w:fldCharType="separate"/>
      </w:r>
      <w:r>
        <w:rPr>
          <w:rFonts w:hint="eastAsia" w:ascii="宋体" w:hAnsi="宋体" w:cs="宋体"/>
        </w:rPr>
        <w:t>24</w:t>
      </w:r>
      <w:r>
        <w:rPr>
          <w:rFonts w:hint="eastAsia" w:ascii="宋体" w:hAnsi="宋体" w:cs="宋体"/>
        </w:rPr>
        <w:fldChar w:fldCharType="end"/>
      </w:r>
      <w:r>
        <w:rPr>
          <w:rFonts w:hint="eastAsia" w:ascii="宋体" w:hAnsi="宋体" w:cs="宋体"/>
        </w:rPr>
        <w:fldChar w:fldCharType="end"/>
      </w:r>
    </w:p>
    <w:p>
      <w:pPr>
        <w:pStyle w:val="32"/>
        <w:tabs>
          <w:tab w:val="right" w:leader="dot" w:pos="9073"/>
          <w:tab w:val="clear" w:pos="9214"/>
        </w:tabs>
        <w:rPr>
          <w:rFonts w:ascii="宋体" w:hAnsi="宋体" w:cs="宋体"/>
        </w:rPr>
      </w:pPr>
      <w:r>
        <w:fldChar w:fldCharType="begin"/>
      </w:r>
      <w:r>
        <w:instrText xml:space="preserve"> HYPERLINK \l "_Toc22022" </w:instrText>
      </w:r>
      <w:r>
        <w:fldChar w:fldCharType="separate"/>
      </w:r>
      <w:r>
        <w:rPr>
          <w:rFonts w:hint="eastAsia" w:ascii="宋体" w:hAnsi="宋体" w:cs="宋体"/>
        </w:rPr>
        <w:t>第四章  合同条款及格式</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_Toc22022 \h </w:instrText>
      </w:r>
      <w:r>
        <w:rPr>
          <w:rFonts w:hint="eastAsia" w:ascii="宋体" w:hAnsi="宋体" w:cs="宋体"/>
        </w:rPr>
        <w:fldChar w:fldCharType="separate"/>
      </w:r>
      <w:r>
        <w:rPr>
          <w:rFonts w:hint="eastAsia" w:ascii="宋体" w:hAnsi="宋体" w:cs="宋体"/>
        </w:rPr>
        <w:t>42</w:t>
      </w:r>
      <w:r>
        <w:rPr>
          <w:rFonts w:hint="eastAsia" w:ascii="宋体" w:hAnsi="宋体" w:cs="宋体"/>
        </w:rPr>
        <w:fldChar w:fldCharType="end"/>
      </w:r>
      <w:r>
        <w:rPr>
          <w:rFonts w:hint="eastAsia" w:ascii="宋体" w:hAnsi="宋体" w:cs="宋体"/>
        </w:rPr>
        <w:fldChar w:fldCharType="end"/>
      </w:r>
    </w:p>
    <w:p>
      <w:pPr>
        <w:pStyle w:val="32"/>
        <w:tabs>
          <w:tab w:val="right" w:leader="dot" w:pos="9073"/>
          <w:tab w:val="clear" w:pos="9214"/>
        </w:tabs>
        <w:rPr>
          <w:rFonts w:ascii="宋体" w:hAnsi="宋体" w:cs="宋体"/>
        </w:rPr>
      </w:pPr>
      <w:r>
        <w:fldChar w:fldCharType="begin"/>
      </w:r>
      <w:r>
        <w:instrText xml:space="preserve"> HYPERLINK \l "_Toc10529" </w:instrText>
      </w:r>
      <w:r>
        <w:fldChar w:fldCharType="separate"/>
      </w:r>
      <w:r>
        <w:rPr>
          <w:rFonts w:hint="eastAsia" w:ascii="宋体" w:hAnsi="宋体" w:cs="宋体"/>
        </w:rPr>
        <w:t>第五章  投标文件格式</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_Toc10529 \h </w:instrText>
      </w:r>
      <w:r>
        <w:rPr>
          <w:rFonts w:hint="eastAsia" w:ascii="宋体" w:hAnsi="宋体" w:cs="宋体"/>
        </w:rPr>
        <w:fldChar w:fldCharType="separate"/>
      </w:r>
      <w:r>
        <w:rPr>
          <w:rFonts w:hint="eastAsia" w:ascii="宋体" w:hAnsi="宋体" w:cs="宋体"/>
        </w:rPr>
        <w:t>45</w:t>
      </w:r>
      <w:r>
        <w:rPr>
          <w:rFonts w:hint="eastAsia" w:ascii="宋体" w:hAnsi="宋体" w:cs="宋体"/>
        </w:rPr>
        <w:fldChar w:fldCharType="end"/>
      </w:r>
      <w:r>
        <w:rPr>
          <w:rFonts w:hint="eastAsia" w:ascii="宋体" w:hAnsi="宋体" w:cs="宋体"/>
        </w:rPr>
        <w:fldChar w:fldCharType="end"/>
      </w:r>
    </w:p>
    <w:p>
      <w:pPr>
        <w:pStyle w:val="32"/>
        <w:outlineLvl w:val="4"/>
        <w:rPr>
          <w:rFonts w:ascii="宋体" w:hAnsi="宋体" w:cs="宋体"/>
        </w:rPr>
      </w:pPr>
      <w:r>
        <w:rPr>
          <w:rFonts w:hint="eastAsia" w:ascii="宋体" w:hAnsi="宋体" w:cs="宋体"/>
        </w:rPr>
        <w:fldChar w:fldCharType="end"/>
      </w:r>
    </w:p>
    <w:p>
      <w:pPr>
        <w:rPr>
          <w:rFonts w:ascii="宋体" w:hAnsi="宋体" w:cs="宋体"/>
        </w:rPr>
      </w:pPr>
    </w:p>
    <w:p>
      <w:pPr>
        <w:pStyle w:val="44"/>
        <w:ind w:firstLine="240"/>
        <w:rPr>
          <w:rFonts w:ascii="宋体" w:hAnsi="宋体" w:cs="宋体"/>
        </w:rPr>
      </w:pPr>
    </w:p>
    <w:p>
      <w:pPr>
        <w:rPr>
          <w:rFonts w:ascii="宋体" w:hAnsi="宋体" w:cs="宋体"/>
        </w:rPr>
      </w:pPr>
    </w:p>
    <w:p>
      <w:pPr>
        <w:pStyle w:val="44"/>
        <w:ind w:firstLine="240"/>
        <w:rPr>
          <w:rFonts w:ascii="宋体" w:hAnsi="宋体" w:cs="宋体"/>
        </w:rPr>
      </w:pPr>
    </w:p>
    <w:p>
      <w:pPr>
        <w:rPr>
          <w:rFonts w:ascii="宋体" w:hAnsi="宋体" w:cs="宋体"/>
        </w:rPr>
      </w:pPr>
    </w:p>
    <w:p>
      <w:pPr>
        <w:pStyle w:val="44"/>
        <w:ind w:firstLine="240"/>
        <w:rPr>
          <w:rFonts w:ascii="宋体" w:hAnsi="宋体" w:cs="宋体"/>
        </w:rPr>
      </w:pPr>
    </w:p>
    <w:p>
      <w:pPr>
        <w:rPr>
          <w:rFonts w:ascii="宋体" w:hAnsi="宋体" w:cs="宋体"/>
        </w:rPr>
      </w:pPr>
    </w:p>
    <w:p>
      <w:pPr>
        <w:pStyle w:val="44"/>
        <w:ind w:firstLine="240"/>
        <w:rPr>
          <w:rFonts w:ascii="宋体" w:hAnsi="宋体" w:cs="宋体"/>
        </w:rPr>
      </w:pPr>
    </w:p>
    <w:p>
      <w:pPr>
        <w:rPr>
          <w:rFonts w:ascii="宋体" w:hAnsi="宋体" w:cs="宋体"/>
        </w:rPr>
      </w:pPr>
    </w:p>
    <w:p>
      <w:pPr>
        <w:pStyle w:val="44"/>
        <w:ind w:firstLine="240"/>
        <w:rPr>
          <w:rFonts w:ascii="宋体" w:hAnsi="宋体" w:cs="宋体"/>
        </w:rPr>
      </w:pPr>
    </w:p>
    <w:p>
      <w:pPr>
        <w:pStyle w:val="32"/>
        <w:rPr>
          <w:rFonts w:ascii="宋体" w:hAnsi="宋体" w:cs="宋体"/>
        </w:rPr>
      </w:pPr>
    </w:p>
    <w:p>
      <w:pPr>
        <w:pStyle w:val="32"/>
        <w:rPr>
          <w:rFonts w:ascii="宋体" w:hAnsi="宋体" w:cs="宋体"/>
        </w:rPr>
      </w:pPr>
    </w:p>
    <w:p>
      <w:pPr>
        <w:pStyle w:val="32"/>
        <w:rPr>
          <w:rFonts w:ascii="宋体" w:hAnsi="宋体" w:cs="宋体"/>
        </w:rPr>
      </w:pPr>
    </w:p>
    <w:p>
      <w:pPr>
        <w:pStyle w:val="32"/>
        <w:rPr>
          <w:rFonts w:ascii="宋体" w:hAnsi="宋体" w:cs="宋体"/>
        </w:rPr>
      </w:pPr>
    </w:p>
    <w:p>
      <w:pPr>
        <w:pStyle w:val="4"/>
        <w:jc w:val="center"/>
        <w:rPr>
          <w:rFonts w:ascii="宋体" w:hAnsi="宋体" w:cs="宋体"/>
          <w:sz w:val="32"/>
          <w:szCs w:val="32"/>
        </w:rPr>
      </w:pPr>
      <w:bookmarkStart w:id="0" w:name="_Toc525062065"/>
      <w:bookmarkEnd w:id="0"/>
      <w:bookmarkStart w:id="1" w:name="_Toc21629"/>
      <w:r>
        <w:rPr>
          <w:rFonts w:hint="eastAsia" w:ascii="宋体" w:hAnsi="宋体" w:cs="宋体"/>
          <w:sz w:val="32"/>
          <w:szCs w:val="32"/>
        </w:rPr>
        <w:t>第一章  招标公告</w:t>
      </w:r>
      <w:bookmarkEnd w:id="1"/>
    </w:p>
    <w:p>
      <w:pPr>
        <w:widowControl/>
        <w:spacing w:line="500" w:lineRule="exact"/>
        <w:jc w:val="center"/>
        <w:rPr>
          <w:rFonts w:ascii="宋体" w:hAnsi="宋体" w:cs="宋体"/>
          <w:b/>
          <w:bCs/>
          <w:sz w:val="32"/>
          <w:szCs w:val="22"/>
        </w:rPr>
      </w:pPr>
      <w:bookmarkStart w:id="2" w:name="_Toc525062066"/>
      <w:bookmarkEnd w:id="2"/>
      <w:r>
        <w:rPr>
          <w:rFonts w:hint="eastAsia" w:ascii="宋体" w:hAnsi="宋体" w:cs="宋体"/>
          <w:b/>
          <w:bCs/>
          <w:sz w:val="32"/>
          <w:szCs w:val="22"/>
        </w:rPr>
        <w:t>汝州市人民医院放射科影像设备升级项目</w:t>
      </w:r>
    </w:p>
    <w:p>
      <w:pPr>
        <w:widowControl/>
        <w:spacing w:line="500" w:lineRule="exact"/>
        <w:jc w:val="center"/>
        <w:rPr>
          <w:rFonts w:ascii="宋体" w:hAnsi="宋体" w:cs="宋体"/>
          <w:b/>
          <w:bCs/>
          <w:kern w:val="0"/>
          <w:sz w:val="32"/>
          <w:szCs w:val="22"/>
        </w:rPr>
      </w:pPr>
      <w:r>
        <w:rPr>
          <w:rFonts w:hint="eastAsia" w:ascii="宋体" w:hAnsi="宋体" w:cs="宋体"/>
          <w:b/>
          <w:bCs/>
          <w:kern w:val="0"/>
          <w:sz w:val="32"/>
          <w:szCs w:val="22"/>
        </w:rPr>
        <w:t>招标公告</w:t>
      </w:r>
    </w:p>
    <w:p>
      <w:pPr>
        <w:shd w:val="clear" w:color="auto" w:fill="FFFFFF"/>
        <w:wordWrap w:val="0"/>
        <w:spacing w:line="360" w:lineRule="auto"/>
        <w:rPr>
          <w:rFonts w:ascii="宋体" w:hAnsi="宋体" w:cs="宋体"/>
          <w:b/>
          <w:bCs/>
          <w:color w:val="000000" w:themeColor="text1"/>
          <w:sz w:val="24"/>
          <w:szCs w:val="24"/>
          <w:shd w:val="clear" w:color="auto" w:fill="FFFFFF"/>
          <w14:textFill>
            <w14:solidFill>
              <w14:schemeClr w14:val="tx1"/>
            </w14:solidFill>
          </w14:textFill>
        </w:rPr>
      </w:pPr>
      <w:r>
        <w:rPr>
          <w:rFonts w:hint="eastAsia" w:ascii="宋体" w:hAnsi="宋体" w:cs="宋体"/>
          <w:b/>
          <w:bCs/>
          <w:color w:val="000000" w:themeColor="text1"/>
          <w:sz w:val="24"/>
          <w:szCs w:val="24"/>
          <w:shd w:val="clear" w:color="auto" w:fill="FFFFFF"/>
          <w14:textFill>
            <w14:solidFill>
              <w14:schemeClr w14:val="tx1"/>
            </w14:solidFill>
          </w14:textFill>
        </w:rPr>
        <w:t>项目概况</w:t>
      </w:r>
    </w:p>
    <w:p>
      <w:pPr>
        <w:shd w:val="clear" w:color="auto" w:fill="FFFFFF"/>
        <w:wordWrap w:val="0"/>
        <w:spacing w:line="360" w:lineRule="auto"/>
        <w:ind w:firstLine="480" w:firstLineChars="200"/>
        <w:rPr>
          <w:rFonts w:ascii="宋体" w:hAnsi="宋体" w:cs="宋体"/>
          <w:color w:val="000000" w:themeColor="text1"/>
          <w:sz w:val="24"/>
          <w:szCs w:val="24"/>
          <w:shd w:val="clear" w:color="auto" w:fill="FFFFFF"/>
          <w14:textFill>
            <w14:solidFill>
              <w14:schemeClr w14:val="tx1"/>
            </w14:solidFill>
          </w14:textFill>
        </w:rPr>
      </w:pPr>
      <w:r>
        <w:rPr>
          <w:rFonts w:hint="eastAsia" w:ascii="宋体" w:hAnsi="宋体" w:cs="宋体"/>
          <w:color w:val="000000" w:themeColor="text1"/>
          <w:sz w:val="24"/>
          <w:szCs w:val="24"/>
          <w:shd w:val="clear" w:color="auto" w:fill="FFFFFF"/>
          <w14:textFill>
            <w14:solidFill>
              <w14:schemeClr w14:val="tx1"/>
            </w14:solidFill>
          </w14:textFill>
        </w:rPr>
        <w:t>汝州市人民医院放射科影像设备升级项目的潜在供应商应在全国公共资源交易平台（河南省·汝州市）（网址：www.rzggzy.com）电子交易系统上传获取招标文件，并于2023年06月01日08时30分（北京时间）前递交投标文件。</w:t>
      </w:r>
    </w:p>
    <w:p>
      <w:pPr>
        <w:shd w:val="clear" w:color="auto" w:fill="FFFFFF"/>
        <w:wordWrap w:val="0"/>
        <w:spacing w:line="360"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一、项目基本情况</w:t>
      </w:r>
    </w:p>
    <w:p>
      <w:pPr>
        <w:shd w:val="clear" w:color="auto" w:fill="FFFFFF"/>
        <w:wordWrap w:val="0"/>
        <w:spacing w:line="360"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1.采购项目编号：汝财招标采购-2023-31</w:t>
      </w:r>
    </w:p>
    <w:p>
      <w:pPr>
        <w:shd w:val="clear" w:color="auto" w:fill="FFFFFF"/>
        <w:wordWrap w:val="0"/>
        <w:spacing w:line="360"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2.采购项目名称：汝州市人民医院放射科影像设备升级项目</w:t>
      </w:r>
    </w:p>
    <w:p>
      <w:pPr>
        <w:shd w:val="clear" w:color="auto" w:fill="FFFFFF"/>
        <w:wordWrap w:val="0"/>
        <w:spacing w:line="360"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3.采购方式：公开招标</w:t>
      </w:r>
    </w:p>
    <w:p>
      <w:pPr>
        <w:shd w:val="clear" w:color="auto" w:fill="FFFFFF"/>
        <w:wordWrap w:val="0"/>
        <w:spacing w:line="360"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4.预算金额：51000000.00元</w:t>
      </w:r>
    </w:p>
    <w:p>
      <w:pPr>
        <w:shd w:val="clear" w:color="auto" w:fill="FFFFFF"/>
        <w:wordWrap w:val="0"/>
        <w:spacing w:line="360"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最高限价：51000000.00元</w:t>
      </w:r>
    </w:p>
    <w:tbl>
      <w:tblPr>
        <w:tblStyle w:val="46"/>
        <w:tblW w:w="100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7"/>
        <w:gridCol w:w="1099"/>
        <w:gridCol w:w="3634"/>
        <w:gridCol w:w="2068"/>
        <w:gridCol w:w="23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5" w:hRule="atLeast"/>
          <w:jc w:val="center"/>
        </w:trPr>
        <w:tc>
          <w:tcPr>
            <w:tcW w:w="917" w:type="dxa"/>
            <w:tcBorders>
              <w:top w:val="single" w:color="auto" w:sz="4" w:space="0"/>
              <w:left w:val="single" w:color="auto" w:sz="4" w:space="0"/>
              <w:bottom w:val="single" w:color="auto" w:sz="4" w:space="0"/>
              <w:right w:val="single" w:color="auto" w:sz="4" w:space="0"/>
            </w:tcBorders>
            <w:vAlign w:val="center"/>
          </w:tcPr>
          <w:p>
            <w:pPr>
              <w:shd w:val="clear" w:color="auto" w:fill="FFFFFF"/>
              <w:wordWrap w:val="0"/>
              <w:spacing w:line="360" w:lineRule="auto"/>
              <w:jc w:val="center"/>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序号</w:t>
            </w:r>
          </w:p>
        </w:tc>
        <w:tc>
          <w:tcPr>
            <w:tcW w:w="1099" w:type="dxa"/>
            <w:tcBorders>
              <w:top w:val="single" w:color="auto" w:sz="4" w:space="0"/>
              <w:left w:val="nil"/>
              <w:bottom w:val="single" w:color="auto" w:sz="4" w:space="0"/>
              <w:right w:val="single" w:color="auto" w:sz="4" w:space="0"/>
            </w:tcBorders>
            <w:vAlign w:val="center"/>
          </w:tcPr>
          <w:p>
            <w:pPr>
              <w:shd w:val="clear" w:color="auto" w:fill="FFFFFF"/>
              <w:wordWrap w:val="0"/>
              <w:spacing w:line="360" w:lineRule="auto"/>
              <w:jc w:val="center"/>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包号</w:t>
            </w:r>
          </w:p>
        </w:tc>
        <w:tc>
          <w:tcPr>
            <w:tcW w:w="3634" w:type="dxa"/>
            <w:tcBorders>
              <w:top w:val="single" w:color="auto" w:sz="4" w:space="0"/>
              <w:left w:val="nil"/>
              <w:bottom w:val="single" w:color="auto" w:sz="4" w:space="0"/>
              <w:right w:val="single" w:color="auto" w:sz="4" w:space="0"/>
            </w:tcBorders>
            <w:vAlign w:val="center"/>
          </w:tcPr>
          <w:p>
            <w:pPr>
              <w:shd w:val="clear" w:color="auto" w:fill="FFFFFF"/>
              <w:wordWrap w:val="0"/>
              <w:spacing w:line="360" w:lineRule="auto"/>
              <w:jc w:val="center"/>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包名称</w:t>
            </w:r>
          </w:p>
        </w:tc>
        <w:tc>
          <w:tcPr>
            <w:tcW w:w="2068" w:type="dxa"/>
            <w:tcBorders>
              <w:top w:val="single" w:color="auto" w:sz="4" w:space="0"/>
              <w:left w:val="nil"/>
              <w:bottom w:val="single" w:color="auto" w:sz="4" w:space="0"/>
              <w:right w:val="single" w:color="auto" w:sz="4" w:space="0"/>
            </w:tcBorders>
            <w:vAlign w:val="center"/>
          </w:tcPr>
          <w:p>
            <w:pPr>
              <w:shd w:val="clear" w:color="auto" w:fill="FFFFFF"/>
              <w:wordWrap w:val="0"/>
              <w:spacing w:line="360" w:lineRule="auto"/>
              <w:jc w:val="center"/>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包预算（元）</w:t>
            </w:r>
          </w:p>
        </w:tc>
        <w:tc>
          <w:tcPr>
            <w:tcW w:w="2318" w:type="dxa"/>
            <w:tcBorders>
              <w:top w:val="single" w:color="auto" w:sz="4" w:space="0"/>
              <w:left w:val="nil"/>
              <w:bottom w:val="single" w:color="auto" w:sz="4" w:space="0"/>
              <w:right w:val="single" w:color="auto" w:sz="4" w:space="0"/>
            </w:tcBorders>
            <w:vAlign w:val="center"/>
          </w:tcPr>
          <w:p>
            <w:pPr>
              <w:shd w:val="clear" w:color="auto" w:fill="FFFFFF"/>
              <w:wordWrap w:val="0"/>
              <w:spacing w:line="360" w:lineRule="auto"/>
              <w:jc w:val="center"/>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包最高限价（元）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5" w:hRule="atLeast"/>
          <w:jc w:val="center"/>
        </w:trPr>
        <w:tc>
          <w:tcPr>
            <w:tcW w:w="917" w:type="dxa"/>
            <w:tcBorders>
              <w:top w:val="single" w:color="auto" w:sz="4" w:space="0"/>
              <w:left w:val="single" w:color="auto" w:sz="4" w:space="0"/>
              <w:bottom w:val="single" w:color="auto" w:sz="4" w:space="0"/>
              <w:right w:val="single" w:color="auto" w:sz="4" w:space="0"/>
            </w:tcBorders>
            <w:vAlign w:val="center"/>
          </w:tcPr>
          <w:p>
            <w:pPr>
              <w:shd w:val="clear" w:color="auto" w:fill="FFFFFF"/>
              <w:wordWrap w:val="0"/>
              <w:spacing w:line="360"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1</w:t>
            </w:r>
          </w:p>
        </w:tc>
        <w:tc>
          <w:tcPr>
            <w:tcW w:w="1099" w:type="dxa"/>
            <w:tcBorders>
              <w:top w:val="single" w:color="auto" w:sz="4" w:space="0"/>
              <w:left w:val="nil"/>
              <w:bottom w:val="single" w:color="auto" w:sz="4" w:space="0"/>
              <w:right w:val="single" w:color="auto" w:sz="4" w:space="0"/>
            </w:tcBorders>
            <w:vAlign w:val="center"/>
          </w:tcPr>
          <w:p>
            <w:pPr>
              <w:shd w:val="clear" w:color="auto" w:fill="FFFFFF"/>
              <w:wordWrap w:val="0"/>
              <w:spacing w:line="360"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1</w:t>
            </w:r>
          </w:p>
        </w:tc>
        <w:tc>
          <w:tcPr>
            <w:tcW w:w="3634" w:type="dxa"/>
            <w:tcBorders>
              <w:top w:val="single" w:color="auto" w:sz="4" w:space="0"/>
              <w:left w:val="nil"/>
              <w:bottom w:val="single" w:color="auto" w:sz="4" w:space="0"/>
              <w:right w:val="single" w:color="auto" w:sz="4" w:space="0"/>
            </w:tcBorders>
            <w:vAlign w:val="center"/>
          </w:tcPr>
          <w:p>
            <w:pPr>
              <w:shd w:val="clear" w:color="auto" w:fill="FFFFFF"/>
              <w:wordWrap w:val="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高端核磁共振（医用磁共振成像系统）设备采购</w:t>
            </w:r>
          </w:p>
        </w:tc>
        <w:tc>
          <w:tcPr>
            <w:tcW w:w="2068" w:type="dxa"/>
            <w:tcBorders>
              <w:top w:val="single" w:color="auto" w:sz="4" w:space="0"/>
              <w:left w:val="nil"/>
              <w:bottom w:val="single" w:color="auto" w:sz="4" w:space="0"/>
              <w:right w:val="single" w:color="auto" w:sz="4" w:space="0"/>
            </w:tcBorders>
            <w:vAlign w:val="center"/>
          </w:tcPr>
          <w:p>
            <w:pPr>
              <w:shd w:val="clear" w:color="auto" w:fill="FFFFFF"/>
              <w:wordWrap w:val="0"/>
              <w:spacing w:line="360"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28000000.00</w:t>
            </w:r>
          </w:p>
        </w:tc>
        <w:tc>
          <w:tcPr>
            <w:tcW w:w="2318" w:type="dxa"/>
            <w:tcBorders>
              <w:top w:val="single" w:color="auto" w:sz="4" w:space="0"/>
              <w:left w:val="nil"/>
              <w:bottom w:val="single" w:color="auto" w:sz="4" w:space="0"/>
              <w:right w:val="single" w:color="auto" w:sz="4" w:space="0"/>
            </w:tcBorders>
            <w:vAlign w:val="center"/>
          </w:tcPr>
          <w:p>
            <w:pPr>
              <w:shd w:val="clear" w:color="auto" w:fill="FFFFFF"/>
              <w:wordWrap w:val="0"/>
              <w:spacing w:line="360"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28000000.00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4" w:hRule="atLeast"/>
          <w:jc w:val="center"/>
        </w:trPr>
        <w:tc>
          <w:tcPr>
            <w:tcW w:w="917" w:type="dxa"/>
            <w:tcBorders>
              <w:top w:val="single" w:color="auto" w:sz="4" w:space="0"/>
              <w:left w:val="single" w:color="auto" w:sz="4" w:space="0"/>
              <w:bottom w:val="single" w:color="auto" w:sz="4" w:space="0"/>
              <w:right w:val="single" w:color="auto" w:sz="4" w:space="0"/>
            </w:tcBorders>
            <w:vAlign w:val="center"/>
          </w:tcPr>
          <w:p>
            <w:pPr>
              <w:shd w:val="clear" w:color="auto" w:fill="FFFFFF"/>
              <w:wordWrap w:val="0"/>
              <w:spacing w:line="360"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2</w:t>
            </w:r>
          </w:p>
        </w:tc>
        <w:tc>
          <w:tcPr>
            <w:tcW w:w="1099" w:type="dxa"/>
            <w:tcBorders>
              <w:top w:val="single" w:color="auto" w:sz="4" w:space="0"/>
              <w:left w:val="nil"/>
              <w:bottom w:val="single" w:color="auto" w:sz="4" w:space="0"/>
              <w:right w:val="single" w:color="auto" w:sz="4" w:space="0"/>
            </w:tcBorders>
            <w:vAlign w:val="center"/>
          </w:tcPr>
          <w:p>
            <w:pPr>
              <w:shd w:val="clear" w:color="auto" w:fill="FFFFFF"/>
              <w:wordWrap w:val="0"/>
              <w:spacing w:line="360"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2</w:t>
            </w:r>
          </w:p>
        </w:tc>
        <w:tc>
          <w:tcPr>
            <w:tcW w:w="3634" w:type="dxa"/>
            <w:tcBorders>
              <w:top w:val="single" w:color="auto" w:sz="4" w:space="0"/>
              <w:left w:val="nil"/>
              <w:bottom w:val="single" w:color="auto" w:sz="4" w:space="0"/>
              <w:right w:val="single" w:color="auto" w:sz="4" w:space="0"/>
            </w:tcBorders>
            <w:vAlign w:val="center"/>
          </w:tcPr>
          <w:p>
            <w:pPr>
              <w:shd w:val="clear" w:color="auto" w:fill="FFFFFF"/>
              <w:wordWrap w:val="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高端CT（X射线计算机体层摄影设备）设备采购</w:t>
            </w:r>
          </w:p>
        </w:tc>
        <w:tc>
          <w:tcPr>
            <w:tcW w:w="2068" w:type="dxa"/>
            <w:tcBorders>
              <w:top w:val="single" w:color="auto" w:sz="4" w:space="0"/>
              <w:left w:val="nil"/>
              <w:bottom w:val="single" w:color="auto" w:sz="4" w:space="0"/>
              <w:right w:val="single" w:color="auto" w:sz="4" w:space="0"/>
            </w:tcBorders>
            <w:vAlign w:val="center"/>
          </w:tcPr>
          <w:p>
            <w:pPr>
              <w:shd w:val="clear" w:color="auto" w:fill="FFFFFF"/>
              <w:wordWrap w:val="0"/>
              <w:spacing w:line="360"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23000000.00</w:t>
            </w:r>
          </w:p>
        </w:tc>
        <w:tc>
          <w:tcPr>
            <w:tcW w:w="2318" w:type="dxa"/>
            <w:tcBorders>
              <w:top w:val="single" w:color="auto" w:sz="4" w:space="0"/>
              <w:left w:val="nil"/>
              <w:bottom w:val="single" w:color="auto" w:sz="4" w:space="0"/>
              <w:right w:val="single" w:color="auto" w:sz="4" w:space="0"/>
            </w:tcBorders>
            <w:vAlign w:val="center"/>
          </w:tcPr>
          <w:p>
            <w:pPr>
              <w:shd w:val="clear" w:color="auto" w:fill="FFFFFF"/>
              <w:wordWrap w:val="0"/>
              <w:spacing w:line="360"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23000000.00</w:t>
            </w:r>
          </w:p>
        </w:tc>
      </w:tr>
    </w:tbl>
    <w:p>
      <w:pPr>
        <w:shd w:val="clear" w:color="auto" w:fill="FFFFFF"/>
        <w:wordWrap w:val="0"/>
        <w:spacing w:line="360"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5.采购需求（包括但不限于标的的名称、数量、简要技术需求或服务要求等）</w:t>
      </w:r>
    </w:p>
    <w:p>
      <w:pPr>
        <w:shd w:val="clear" w:color="auto" w:fill="FFFFFF"/>
        <w:wordWrap w:val="0"/>
        <w:spacing w:line="360"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5.1采购内容：高端核磁共振、高端CT设备采购</w:t>
      </w:r>
    </w:p>
    <w:p>
      <w:pPr>
        <w:shd w:val="clear" w:color="auto" w:fill="FFFFFF"/>
        <w:wordWrap w:val="0"/>
        <w:spacing w:line="360"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5.2资金来源：自筹资金</w:t>
      </w:r>
    </w:p>
    <w:p>
      <w:pPr>
        <w:shd w:val="clear" w:color="auto" w:fill="FFFFFF"/>
        <w:wordWrap w:val="0"/>
        <w:spacing w:line="360"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5.3供货期及安装：合同签订后，接到甲方通知后60日历天；</w:t>
      </w:r>
    </w:p>
    <w:p>
      <w:pPr>
        <w:shd w:val="clear" w:color="auto" w:fill="FFFFFF"/>
        <w:wordWrap w:val="0"/>
        <w:spacing w:line="360"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5.4质量要求：符合国家和行业现行标准规定；</w:t>
      </w:r>
    </w:p>
    <w:p>
      <w:pPr>
        <w:shd w:val="clear" w:color="auto" w:fill="FFFFFF"/>
        <w:wordWrap w:val="0"/>
        <w:spacing w:line="360"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5.5质保期：1年</w:t>
      </w:r>
    </w:p>
    <w:p>
      <w:pPr>
        <w:shd w:val="clear" w:color="auto" w:fill="FFFFFF"/>
        <w:wordWrap w:val="0"/>
        <w:spacing w:line="360"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5.6招标范围：采购清单所有内容（详见招标文件）</w:t>
      </w:r>
    </w:p>
    <w:p>
      <w:pPr>
        <w:shd w:val="clear" w:color="auto" w:fill="FFFFFF"/>
        <w:wordWrap w:val="0"/>
        <w:spacing w:line="360"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5.7标段划分：本次招标共分为2个标段</w:t>
      </w:r>
    </w:p>
    <w:p>
      <w:pPr>
        <w:shd w:val="clear" w:color="auto" w:fill="FFFFFF"/>
        <w:wordWrap w:val="0"/>
        <w:spacing w:line="360"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第一标段：高端核磁共振（医用磁共振成像系统）设备采购</w:t>
      </w:r>
    </w:p>
    <w:p>
      <w:pPr>
        <w:shd w:val="clear" w:color="auto" w:fill="FFFFFF"/>
        <w:wordWrap w:val="0"/>
        <w:spacing w:line="360"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第二标段：高端CT（X射线计算机体层摄影设备）设备采购</w:t>
      </w:r>
    </w:p>
    <w:p>
      <w:pPr>
        <w:shd w:val="clear" w:color="auto" w:fill="FFFFFF"/>
        <w:wordWrap w:val="0"/>
        <w:spacing w:line="360"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6.合同履行期限：合同签订后，接到甲方通知后60日历天</w:t>
      </w:r>
    </w:p>
    <w:p>
      <w:pPr>
        <w:shd w:val="clear" w:color="auto" w:fill="FFFFFF"/>
        <w:wordWrap w:val="0"/>
        <w:spacing w:line="360"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7.本项目是否接受联合体投标：否</w:t>
      </w:r>
    </w:p>
    <w:p>
      <w:pPr>
        <w:shd w:val="clear" w:color="auto" w:fill="FFFFFF"/>
        <w:wordWrap w:val="0"/>
        <w:spacing w:line="360"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8.是否接受进口产品：否</w:t>
      </w:r>
    </w:p>
    <w:p>
      <w:pPr>
        <w:shd w:val="clear" w:color="auto" w:fill="FFFFFF"/>
        <w:wordWrap w:val="0"/>
        <w:spacing w:line="360"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9.是否专门面向中小企业：否</w:t>
      </w:r>
    </w:p>
    <w:p>
      <w:pPr>
        <w:shd w:val="clear" w:color="auto" w:fill="FFFFFF"/>
        <w:wordWrap w:val="0"/>
        <w:spacing w:line="360"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二、申请人资格要求</w:t>
      </w:r>
    </w:p>
    <w:p>
      <w:pPr>
        <w:shd w:val="clear" w:color="auto" w:fill="FFFFFF"/>
        <w:wordWrap w:val="0"/>
        <w:spacing w:line="360"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1.满足《中华人民共和国政府采购法》第二十二条规定；</w:t>
      </w:r>
    </w:p>
    <w:p>
      <w:pPr>
        <w:shd w:val="clear" w:color="auto" w:fill="FFFFFF"/>
        <w:wordWrap w:val="0"/>
        <w:spacing w:line="360"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2.落实政府采购政策满足的资格要求：/</w:t>
      </w:r>
    </w:p>
    <w:p>
      <w:pPr>
        <w:shd w:val="clear" w:color="auto" w:fill="FFFFFF"/>
        <w:wordWrap w:val="0"/>
        <w:spacing w:line="360"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3.本项目的特定资格要求</w:t>
      </w:r>
    </w:p>
    <w:p>
      <w:pPr>
        <w:shd w:val="clear" w:color="auto" w:fill="FFFFFF"/>
        <w:wordWrap w:val="0"/>
        <w:spacing w:line="360"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3.1供应商具有独立承担民事责任的能力，具备有效的营业执照、组织机构代码证、税务登记证或三证合一的营业执照；</w:t>
      </w:r>
    </w:p>
    <w:p>
      <w:pPr>
        <w:shd w:val="clear" w:color="auto" w:fill="FFFFFF"/>
        <w:wordWrap w:val="0"/>
        <w:spacing w:line="360"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3.2生产企业具有国家药品监督管理部门颁发的相对应的医疗器械生产许可证、医疗器械注册证；代理商（经销商）需提供第三类医疗器械经营许可证；</w:t>
      </w:r>
    </w:p>
    <w:p>
      <w:pPr>
        <w:shd w:val="clear" w:color="auto" w:fill="FFFFFF"/>
        <w:wordWrap w:val="0"/>
        <w:spacing w:line="360"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3.3供应商具有良好的商业信誉和健全的财务制度（提供2022年度经审计合格的财务审计报告，若供应商为新成立企业，提供近三个月财务报表或其基本户开户银行出具的资信证明）；</w:t>
      </w:r>
    </w:p>
    <w:p>
      <w:pPr>
        <w:shd w:val="clear" w:color="auto" w:fill="FFFFFF"/>
        <w:wordWrap w:val="0"/>
        <w:spacing w:line="360"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3.4有依法缴纳税收和社会保障资金的良好记录(提供2023年1月以来任意一个月的公司纳税证明和社保缴纳证明)；</w:t>
      </w:r>
    </w:p>
    <w:p>
      <w:pPr>
        <w:shd w:val="clear" w:color="auto" w:fill="FFFFFF"/>
        <w:wordWrap w:val="0"/>
        <w:spacing w:line="360"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3.5供应商应出具参加政府采购活动近三年内在经营活动中没有重大违法记录的书面声明；</w:t>
      </w:r>
    </w:p>
    <w:p>
      <w:pPr>
        <w:shd w:val="clear" w:color="auto" w:fill="FFFFFF"/>
        <w:wordWrap w:val="0"/>
        <w:spacing w:line="360"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3.6供应商具有履行合同所必需的设备和专业技术能力（提供承诺函,格式自拟）；</w:t>
      </w:r>
    </w:p>
    <w:p>
      <w:pPr>
        <w:shd w:val="clear" w:color="auto" w:fill="FFFFFF"/>
        <w:wordWrap w:val="0"/>
        <w:spacing w:line="360"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3.7供应商需提供“中国执行信息公开网”网站的“失信被执行人”、“信用中国”网站的“重大税收违法失信主体”、“中国政府采购”网站的“政府采购严重违法失信行为记录名单”。（执行财库【2016】125 号文）查询网页截图，对列入失信被执行人、重大税收违法失信主体、政府采购严重违法失信行为记录名单的供应商，取消其投标申请。</w:t>
      </w:r>
    </w:p>
    <w:p>
      <w:pPr>
        <w:shd w:val="clear" w:color="auto" w:fill="FFFFFF"/>
        <w:wordWrap w:val="0"/>
        <w:spacing w:line="360"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3.8本项目不接受联合体投标。</w:t>
      </w:r>
    </w:p>
    <w:p>
      <w:pPr>
        <w:shd w:val="clear" w:color="auto" w:fill="FFFFFF"/>
        <w:wordWrap w:val="0"/>
        <w:spacing w:line="360"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三、获取招标文件</w:t>
      </w:r>
    </w:p>
    <w:p>
      <w:pPr>
        <w:shd w:val="clear" w:color="auto" w:fill="FFFFFF"/>
        <w:wordWrap w:val="0"/>
        <w:spacing w:line="360"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1.时间：2023年05月10日至2023年 05月31日，每天上午00：00至11:59，下午12:00至23:59（北京时间，法定节假日除外。）</w:t>
      </w:r>
    </w:p>
    <w:p>
      <w:pPr>
        <w:shd w:val="clear" w:color="auto" w:fill="FFFFFF"/>
        <w:wordWrap w:val="0"/>
        <w:spacing w:line="360"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2.地点：全国公共资源交易平台（河南省•汝州市）公共资源交易系统（www.rzggzy.com）</w:t>
      </w:r>
    </w:p>
    <w:p>
      <w:pPr>
        <w:shd w:val="clear" w:color="auto" w:fill="FFFFFF"/>
        <w:wordWrap w:val="0"/>
        <w:spacing w:line="360"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3.方式：</w:t>
      </w:r>
    </w:p>
    <w:p>
      <w:pPr>
        <w:shd w:val="clear" w:color="auto" w:fill="FFFFFF"/>
        <w:wordWrap w:val="0"/>
        <w:spacing w:line="360"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3.1供应商须注册成为《全国公共资源交易平台（河南省·汝州市）网站》会员并取得CA密钥。详见：</w:t>
      </w:r>
      <w:r>
        <w:fldChar w:fldCharType="begin"/>
      </w:r>
      <w:r>
        <w:instrText xml:space="preserve"> HYPERLINK "http://www.rzggzy.com/tzgg/10490.jhtml" </w:instrText>
      </w:r>
      <w:r>
        <w:fldChar w:fldCharType="separate"/>
      </w:r>
      <w:r>
        <w:rPr>
          <w:rFonts w:hint="eastAsia" w:ascii="宋体" w:hAnsi="宋体" w:cs="宋体"/>
          <w:bCs/>
          <w:color w:val="000000" w:themeColor="text1"/>
          <w:sz w:val="24"/>
          <w:szCs w:val="24"/>
          <w14:textFill>
            <w14:solidFill>
              <w14:schemeClr w14:val="tx1"/>
            </w14:solidFill>
          </w14:textFill>
        </w:rPr>
        <w:t>http://www.rzggzy.com/tzgg/10490.jhtml</w:t>
      </w:r>
      <w:r>
        <w:rPr>
          <w:rFonts w:hint="eastAsia" w:ascii="宋体" w:hAnsi="宋体" w:cs="宋体"/>
          <w:bCs/>
          <w:color w:val="000000" w:themeColor="text1"/>
          <w:sz w:val="24"/>
          <w:szCs w:val="24"/>
          <w14:textFill>
            <w14:solidFill>
              <w14:schemeClr w14:val="tx1"/>
            </w14:solidFill>
          </w14:textFill>
        </w:rPr>
        <w:fldChar w:fldCharType="end"/>
      </w:r>
      <w:r>
        <w:rPr>
          <w:rFonts w:hint="eastAsia" w:ascii="宋体" w:hAnsi="宋体" w:cs="宋体"/>
          <w:bCs/>
          <w:color w:val="000000" w:themeColor="text1"/>
          <w:sz w:val="24"/>
          <w:szCs w:val="24"/>
          <w14:textFill>
            <w14:solidFill>
              <w14:schemeClr w14:val="tx1"/>
            </w14:solidFill>
          </w14:textFill>
        </w:rPr>
        <w:t>。供应商在会员诚信库中自行上传企业相关资质证明材料，并自行承担真伪责任。供应商会员诚信库信息作为资格审查和评标依据，在中心网站予以公示接受社会监督。 3.2供应商凭CA密钥登录会员系统按要求下载电子招标文件，获取招标文件后，在会员系统“组件下载”中下载最新投标文件制作工具客户端，并使用投标文件制作工具制作电子投标文件。具操作链接：</w:t>
      </w:r>
      <w:r>
        <w:fldChar w:fldCharType="begin"/>
      </w:r>
      <w:r>
        <w:instrText xml:space="preserve"> HYPERLINK "http://www.rzggzy.com/zwjxz/10248.jhtml" </w:instrText>
      </w:r>
      <w:r>
        <w:fldChar w:fldCharType="separate"/>
      </w:r>
      <w:r>
        <w:rPr>
          <w:rFonts w:hint="eastAsia" w:ascii="宋体" w:hAnsi="宋体" w:cs="宋体"/>
          <w:bCs/>
          <w:color w:val="000000" w:themeColor="text1"/>
          <w:sz w:val="24"/>
          <w:szCs w:val="24"/>
          <w14:textFill>
            <w14:solidFill>
              <w14:schemeClr w14:val="tx1"/>
            </w14:solidFill>
          </w14:textFill>
        </w:rPr>
        <w:t>http://www.rzggzy.com/zwjxz/10248.jhtml</w:t>
      </w:r>
      <w:r>
        <w:rPr>
          <w:rFonts w:hint="eastAsia" w:ascii="宋体" w:hAnsi="宋体" w:cs="宋体"/>
          <w:bCs/>
          <w:color w:val="000000" w:themeColor="text1"/>
          <w:sz w:val="24"/>
          <w:szCs w:val="24"/>
          <w14:textFill>
            <w14:solidFill>
              <w14:schemeClr w14:val="tx1"/>
            </w14:solidFill>
          </w14:textFill>
        </w:rPr>
        <w:fldChar w:fldCharType="end"/>
      </w:r>
      <w:r>
        <w:rPr>
          <w:rFonts w:hint="eastAsia" w:ascii="宋体" w:hAnsi="宋体" w:cs="宋体"/>
          <w:bCs/>
          <w:color w:val="000000" w:themeColor="text1"/>
          <w:sz w:val="24"/>
          <w:szCs w:val="24"/>
          <w14:textFill>
            <w14:solidFill>
              <w14:schemeClr w14:val="tx1"/>
            </w14:solidFill>
          </w14:textFill>
        </w:rPr>
        <w:t>。</w:t>
      </w:r>
    </w:p>
    <w:p>
      <w:pPr>
        <w:shd w:val="clear" w:color="auto" w:fill="FFFFFF"/>
        <w:wordWrap w:val="0"/>
        <w:spacing w:line="360"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4.售价：0元</w:t>
      </w:r>
    </w:p>
    <w:p>
      <w:pPr>
        <w:shd w:val="clear" w:color="auto" w:fill="FFFFFF"/>
        <w:wordWrap w:val="0"/>
        <w:spacing w:line="360"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四、投标截止时间及地点</w:t>
      </w:r>
    </w:p>
    <w:p>
      <w:pPr>
        <w:shd w:val="clear" w:color="auto" w:fill="FFFFFF"/>
        <w:wordWrap w:val="0"/>
        <w:spacing w:line="360"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1.时间：2023年06月01日8时30分（北京时间）</w:t>
      </w:r>
    </w:p>
    <w:p>
      <w:pPr>
        <w:shd w:val="clear" w:color="auto" w:fill="FFFFFF"/>
        <w:wordWrap w:val="0"/>
        <w:spacing w:line="360"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2.地点：全国公共资源交易平台（河南省•汝州市）公共资源交易系统（www.rzggzy.com）</w:t>
      </w:r>
    </w:p>
    <w:p>
      <w:pPr>
        <w:shd w:val="clear" w:color="auto" w:fill="FFFFFF"/>
        <w:wordWrap w:val="0"/>
        <w:spacing w:line="360"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五、开标时间及地点</w:t>
      </w:r>
    </w:p>
    <w:p>
      <w:pPr>
        <w:shd w:val="clear" w:color="auto" w:fill="FFFFFF"/>
        <w:wordWrap w:val="0"/>
        <w:spacing w:line="360"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1.时间：2023年06月01日8时30分（北京时间）</w:t>
      </w:r>
    </w:p>
    <w:p>
      <w:pPr>
        <w:shd w:val="clear" w:color="auto" w:fill="FFFFFF"/>
        <w:wordWrap w:val="0"/>
        <w:spacing w:line="360"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2.地点：汝州市公共资源交易中心301室</w:t>
      </w:r>
    </w:p>
    <w:p>
      <w:pPr>
        <w:shd w:val="clear" w:color="auto" w:fill="FFFFFF"/>
        <w:wordWrap w:val="0"/>
        <w:spacing w:line="360"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六、发布公告的媒介及招标公告期限</w:t>
      </w:r>
    </w:p>
    <w:p>
      <w:pPr>
        <w:shd w:val="clear" w:color="auto" w:fill="FFFFFF"/>
        <w:wordWrap w:val="0"/>
        <w:spacing w:line="360"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本次招标公告在《河南省政府采购网》、《汝州市政府采购网》、《全国公共资源交易平台（河南省•汝州市）公共资源交易系统（www.rzggzy.com）、《河南省电子招标投标公共服务平台》上发布。招标公告期限为五个工作日。</w:t>
      </w:r>
    </w:p>
    <w:p>
      <w:pPr>
        <w:shd w:val="clear" w:color="auto" w:fill="FFFFFF"/>
        <w:wordWrap w:val="0"/>
        <w:spacing w:line="360"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七、其他补充事宜</w:t>
      </w:r>
    </w:p>
    <w:p>
      <w:pPr>
        <w:shd w:val="clear" w:color="auto" w:fill="FFFFFF"/>
        <w:wordWrap w:val="0"/>
        <w:spacing w:line="360"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1. 受理投诉监督管理部门：汝州市财政局</w:t>
      </w:r>
    </w:p>
    <w:p>
      <w:pPr>
        <w:shd w:val="clear" w:color="auto" w:fill="FFFFFF"/>
        <w:wordWrap w:val="0"/>
        <w:spacing w:line="360"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联系人：王梦阳   联系电话：0375-6862799</w:t>
      </w:r>
    </w:p>
    <w:p>
      <w:pPr>
        <w:shd w:val="clear" w:color="auto" w:fill="FFFFFF"/>
        <w:wordWrap w:val="0"/>
        <w:spacing w:line="360"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邮箱地址：rzcgb406@163.com</w:t>
      </w:r>
    </w:p>
    <w:p>
      <w:pPr>
        <w:shd w:val="clear" w:color="auto" w:fill="FFFFFF"/>
        <w:wordWrap w:val="0"/>
        <w:spacing w:line="360"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联系地址：汝州市望嵩中路116号</w:t>
      </w:r>
    </w:p>
    <w:p>
      <w:pPr>
        <w:shd w:val="clear" w:color="auto" w:fill="FFFFFF"/>
        <w:wordWrap w:val="0"/>
        <w:spacing w:line="360"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2.本项目采用“不见面”开标方式，供应商只需要递交电子投标文件，无需到达现场提交原件资料、无需到现场参加开标会议。供应商应当在开标会议活动开始前,登录开标会议大厅,在线准时参加开标会议活动并进行电子版投标文件解密.（具体开标注意事项及操作指南详见</w:t>
      </w:r>
      <w:r>
        <w:fldChar w:fldCharType="begin"/>
      </w:r>
      <w:r>
        <w:instrText xml:space="preserve"> HYPERLINK "http://www.rzggzy.com/zwjxz/10492.jhtml" </w:instrText>
      </w:r>
      <w:r>
        <w:fldChar w:fldCharType="separate"/>
      </w:r>
      <w:r>
        <w:rPr>
          <w:rFonts w:hint="eastAsia" w:ascii="宋体" w:hAnsi="宋体" w:cs="宋体"/>
          <w:bCs/>
          <w:color w:val="000000" w:themeColor="text1"/>
          <w:sz w:val="24"/>
          <w:szCs w:val="24"/>
          <w14:textFill>
            <w14:solidFill>
              <w14:schemeClr w14:val="tx1"/>
            </w14:solidFill>
          </w14:textFill>
        </w:rPr>
        <w:t>http://www.rzggzy.com/zwjxz/10492.jhtml</w:t>
      </w:r>
      <w:r>
        <w:rPr>
          <w:rFonts w:hint="eastAsia" w:ascii="宋体" w:hAnsi="宋体" w:cs="宋体"/>
          <w:bCs/>
          <w:color w:val="000000" w:themeColor="text1"/>
          <w:sz w:val="24"/>
          <w:szCs w:val="24"/>
          <w14:textFill>
            <w14:solidFill>
              <w14:schemeClr w14:val="tx1"/>
            </w14:solidFill>
          </w14:textFill>
        </w:rPr>
        <w:fldChar w:fldCharType="end"/>
      </w:r>
      <w:r>
        <w:rPr>
          <w:rFonts w:hint="eastAsia" w:ascii="宋体" w:hAnsi="宋体" w:cs="宋体"/>
          <w:bCs/>
          <w:color w:val="000000" w:themeColor="text1"/>
          <w:sz w:val="24"/>
          <w:szCs w:val="24"/>
          <w14:textFill>
            <w14:solidFill>
              <w14:schemeClr w14:val="tx1"/>
            </w14:solidFill>
          </w14:textFill>
        </w:rPr>
        <w:t>）。</w:t>
      </w:r>
    </w:p>
    <w:p>
      <w:pPr>
        <w:shd w:val="clear" w:color="auto" w:fill="FFFFFF"/>
        <w:wordWrap w:val="0"/>
        <w:spacing w:line="360"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八、凡对本次招标提出询问，请按照以下方式联系</w:t>
      </w:r>
    </w:p>
    <w:p>
      <w:pPr>
        <w:shd w:val="clear" w:color="auto" w:fill="FFFFFF"/>
        <w:wordWrap w:val="0"/>
        <w:spacing w:line="360" w:lineRule="auto"/>
        <w:ind w:firstLine="480" w:firstLineChars="20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1.采购人信息</w:t>
      </w:r>
    </w:p>
    <w:p>
      <w:pPr>
        <w:shd w:val="clear" w:color="auto" w:fill="FFFFFF"/>
        <w:wordWrap w:val="0"/>
        <w:spacing w:line="360" w:lineRule="auto"/>
        <w:ind w:firstLine="480" w:firstLineChars="20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名称：汝州市人民医院</w:t>
      </w:r>
    </w:p>
    <w:p>
      <w:pPr>
        <w:shd w:val="clear" w:color="auto" w:fill="FFFFFF"/>
        <w:wordWrap w:val="0"/>
        <w:spacing w:line="360" w:lineRule="auto"/>
        <w:ind w:firstLine="480" w:firstLineChars="20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地址：汝州市朝阳路</w:t>
      </w:r>
    </w:p>
    <w:p>
      <w:pPr>
        <w:shd w:val="clear" w:color="auto" w:fill="FFFFFF"/>
        <w:wordWrap w:val="0"/>
        <w:spacing w:line="360" w:lineRule="auto"/>
        <w:ind w:firstLine="480" w:firstLineChars="20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 xml:space="preserve">联系人：赵女士 </w:t>
      </w:r>
    </w:p>
    <w:p>
      <w:pPr>
        <w:shd w:val="clear" w:color="auto" w:fill="FFFFFF"/>
        <w:wordWrap w:val="0"/>
        <w:spacing w:line="360" w:lineRule="auto"/>
        <w:ind w:firstLine="480" w:firstLineChars="20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联系方式：15637579928</w:t>
      </w:r>
    </w:p>
    <w:p>
      <w:pPr>
        <w:shd w:val="clear" w:color="auto" w:fill="FFFFFF"/>
        <w:wordWrap w:val="0"/>
        <w:spacing w:line="360" w:lineRule="auto"/>
        <w:ind w:firstLine="480" w:firstLineChars="20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2.采购代理机构信息</w:t>
      </w:r>
    </w:p>
    <w:p>
      <w:pPr>
        <w:shd w:val="clear" w:color="auto" w:fill="FFFFFF"/>
        <w:wordWrap w:val="0"/>
        <w:spacing w:line="360" w:lineRule="auto"/>
        <w:ind w:firstLine="480" w:firstLineChars="20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名称：河南中普德项目管理有限公司</w:t>
      </w:r>
    </w:p>
    <w:p>
      <w:pPr>
        <w:shd w:val="clear" w:color="auto" w:fill="FFFFFF"/>
        <w:wordWrap w:val="0"/>
        <w:spacing w:line="360" w:lineRule="auto"/>
        <w:ind w:firstLine="480" w:firstLineChars="20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地址：河南省郑州市科学大道65号</w:t>
      </w:r>
    </w:p>
    <w:p>
      <w:pPr>
        <w:shd w:val="clear" w:color="auto" w:fill="FFFFFF"/>
        <w:wordWrap w:val="0"/>
        <w:spacing w:line="360" w:lineRule="auto"/>
        <w:ind w:firstLine="480" w:firstLineChars="20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 xml:space="preserve">联系人：李先生         </w:t>
      </w:r>
    </w:p>
    <w:p>
      <w:pPr>
        <w:shd w:val="clear" w:color="auto" w:fill="FFFFFF"/>
        <w:wordWrap w:val="0"/>
        <w:spacing w:line="360" w:lineRule="auto"/>
        <w:ind w:firstLine="480" w:firstLineChars="20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联系方式：18937190851</w:t>
      </w:r>
    </w:p>
    <w:p>
      <w:pPr>
        <w:shd w:val="clear" w:color="auto" w:fill="FFFFFF"/>
        <w:wordWrap w:val="0"/>
        <w:spacing w:line="360" w:lineRule="auto"/>
        <w:ind w:firstLine="480" w:firstLineChars="20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3.项目联系方式</w:t>
      </w:r>
    </w:p>
    <w:p>
      <w:pPr>
        <w:shd w:val="clear" w:color="auto" w:fill="FFFFFF"/>
        <w:wordWrap w:val="0"/>
        <w:spacing w:line="360" w:lineRule="auto"/>
        <w:ind w:firstLine="480" w:firstLineChars="20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项目联系人：李先生</w:t>
      </w:r>
    </w:p>
    <w:p>
      <w:pPr>
        <w:shd w:val="clear" w:color="auto" w:fill="FFFFFF"/>
        <w:wordWrap w:val="0"/>
        <w:spacing w:line="360" w:lineRule="auto"/>
        <w:ind w:firstLine="480" w:firstLineChars="20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联系方式：18937190851</w:t>
      </w:r>
    </w:p>
    <w:p>
      <w:pPr>
        <w:wordWrap w:val="0"/>
        <w:spacing w:line="480" w:lineRule="auto"/>
        <w:jc w:val="center"/>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                           </w:t>
      </w:r>
    </w:p>
    <w:p>
      <w:pPr>
        <w:shd w:val="clear" w:color="auto" w:fill="FFFFFF"/>
        <w:spacing w:line="520" w:lineRule="exact"/>
        <w:ind w:firstLine="480" w:firstLineChars="200"/>
        <w:rPr>
          <w:rFonts w:ascii="宋体" w:hAnsi="宋体" w:cs="宋体"/>
          <w:sz w:val="24"/>
          <w:szCs w:val="24"/>
        </w:rPr>
      </w:pPr>
      <w:r>
        <w:rPr>
          <w:rFonts w:hint="eastAsia" w:ascii="仿宋" w:hAnsi="仿宋" w:eastAsia="仿宋" w:cs="仿宋"/>
          <w:color w:val="000000" w:themeColor="text1"/>
          <w:sz w:val="24"/>
          <w:szCs w:val="24"/>
          <w14:textFill>
            <w14:solidFill>
              <w14:schemeClr w14:val="tx1"/>
            </w14:solidFill>
          </w14:textFill>
        </w:rPr>
        <w:t xml:space="preserve">                          </w:t>
      </w:r>
    </w:p>
    <w:p>
      <w:pPr>
        <w:shd w:val="clear" w:color="auto" w:fill="FFFFFF"/>
        <w:spacing w:line="360" w:lineRule="auto"/>
        <w:ind w:firstLine="420" w:firstLineChars="200"/>
        <w:rPr>
          <w:rFonts w:ascii="宋体" w:hAnsi="宋体" w:cs="宋体"/>
        </w:rPr>
      </w:pPr>
    </w:p>
    <w:p>
      <w:pPr>
        <w:shd w:val="clear" w:color="auto" w:fill="FFFFFF"/>
        <w:spacing w:line="520" w:lineRule="exact"/>
        <w:ind w:firstLine="480" w:firstLineChars="200"/>
        <w:rPr>
          <w:rFonts w:ascii="宋体" w:hAnsi="宋体" w:cs="宋体"/>
          <w:sz w:val="24"/>
          <w:szCs w:val="24"/>
        </w:rPr>
      </w:pPr>
      <w:r>
        <w:rPr>
          <w:rFonts w:hint="eastAsia" w:ascii="宋体" w:hAnsi="宋体" w:cs="宋体"/>
          <w:sz w:val="24"/>
          <w:szCs w:val="24"/>
        </w:rPr>
        <w:t xml:space="preserve"> </w:t>
      </w:r>
    </w:p>
    <w:p>
      <w:pPr>
        <w:shd w:val="clear" w:color="auto" w:fill="FFFFFF"/>
        <w:spacing w:line="360" w:lineRule="auto"/>
        <w:ind w:firstLine="420" w:firstLineChars="200"/>
        <w:rPr>
          <w:rFonts w:ascii="宋体" w:hAnsi="宋体" w:cs="宋体"/>
        </w:rPr>
      </w:pPr>
    </w:p>
    <w:p>
      <w:pPr>
        <w:shd w:val="clear" w:color="auto" w:fill="FFFFFF"/>
        <w:spacing w:line="520" w:lineRule="exact"/>
        <w:ind w:firstLine="480" w:firstLineChars="200"/>
        <w:rPr>
          <w:rFonts w:ascii="宋体" w:hAnsi="宋体" w:cs="宋体"/>
          <w:sz w:val="24"/>
          <w:szCs w:val="24"/>
        </w:rPr>
      </w:pPr>
      <w:r>
        <w:rPr>
          <w:rFonts w:hint="eastAsia" w:ascii="宋体" w:hAnsi="宋体" w:cs="宋体"/>
          <w:sz w:val="24"/>
          <w:szCs w:val="24"/>
        </w:rPr>
        <w:t xml:space="preserve"> </w:t>
      </w:r>
      <w:r>
        <w:rPr>
          <w:rFonts w:hint="eastAsia" w:ascii="仿宋" w:hAnsi="仿宋" w:eastAsia="仿宋" w:cs="仿宋"/>
          <w:color w:val="000000" w:themeColor="text1"/>
          <w:sz w:val="24"/>
          <w:szCs w:val="24"/>
          <w14:textFill>
            <w14:solidFill>
              <w14:schemeClr w14:val="tx1"/>
            </w14:solidFill>
          </w14:textFill>
        </w:rPr>
        <w:t xml:space="preserve">                  </w:t>
      </w:r>
    </w:p>
    <w:p>
      <w:pPr>
        <w:shd w:val="clear" w:color="auto" w:fill="FFFFFF"/>
        <w:spacing w:line="360" w:lineRule="auto"/>
        <w:ind w:firstLine="420" w:firstLineChars="200"/>
        <w:rPr>
          <w:rFonts w:ascii="宋体" w:hAnsi="宋体" w:cs="宋体"/>
        </w:rPr>
      </w:pPr>
    </w:p>
    <w:p>
      <w:pPr>
        <w:shd w:val="clear" w:color="auto" w:fill="FFFFFF"/>
        <w:spacing w:line="520" w:lineRule="exact"/>
        <w:ind w:firstLine="480" w:firstLineChars="200"/>
        <w:rPr>
          <w:rFonts w:ascii="宋体" w:hAnsi="宋体" w:cs="宋体"/>
          <w:sz w:val="24"/>
          <w:szCs w:val="24"/>
        </w:rPr>
      </w:pPr>
      <w:r>
        <w:rPr>
          <w:rFonts w:hint="eastAsia" w:ascii="宋体" w:hAnsi="宋体" w:cs="宋体"/>
          <w:sz w:val="24"/>
          <w:szCs w:val="24"/>
        </w:rPr>
        <w:t xml:space="preserve"> </w:t>
      </w:r>
    </w:p>
    <w:p>
      <w:pPr>
        <w:shd w:val="clear" w:color="auto" w:fill="FFFFFF"/>
        <w:spacing w:line="360" w:lineRule="auto"/>
        <w:ind w:firstLine="420" w:firstLineChars="200"/>
        <w:rPr>
          <w:rFonts w:ascii="宋体" w:hAnsi="宋体" w:cs="宋体"/>
        </w:rPr>
      </w:pPr>
    </w:p>
    <w:p>
      <w:pPr>
        <w:shd w:val="clear" w:color="auto" w:fill="FFFFFF"/>
        <w:spacing w:line="520" w:lineRule="exact"/>
        <w:ind w:firstLine="480" w:firstLineChars="200"/>
        <w:rPr>
          <w:rFonts w:ascii="宋体" w:hAnsi="宋体" w:cs="宋体"/>
          <w:sz w:val="24"/>
          <w:szCs w:val="24"/>
        </w:rPr>
      </w:pPr>
      <w:r>
        <w:rPr>
          <w:rFonts w:hint="eastAsia" w:ascii="宋体" w:hAnsi="宋体" w:cs="宋体"/>
          <w:sz w:val="24"/>
          <w:szCs w:val="24"/>
        </w:rPr>
        <w:t xml:space="preserve"> </w:t>
      </w:r>
    </w:p>
    <w:p>
      <w:pPr>
        <w:shd w:val="clear" w:color="auto" w:fill="FFFFFF"/>
        <w:spacing w:line="360" w:lineRule="auto"/>
        <w:ind w:firstLine="420" w:firstLineChars="200"/>
        <w:rPr>
          <w:rFonts w:ascii="宋体" w:hAnsi="宋体" w:cs="宋体"/>
        </w:rPr>
      </w:pPr>
    </w:p>
    <w:p>
      <w:pPr>
        <w:shd w:val="clear" w:color="auto" w:fill="FFFFFF"/>
        <w:spacing w:line="520" w:lineRule="exact"/>
        <w:ind w:firstLine="480" w:firstLineChars="200"/>
        <w:rPr>
          <w:rFonts w:ascii="宋体" w:hAnsi="宋体" w:cs="宋体"/>
          <w:sz w:val="24"/>
          <w:szCs w:val="24"/>
        </w:rPr>
      </w:pPr>
    </w:p>
    <w:p>
      <w:pPr>
        <w:shd w:val="clear" w:color="auto" w:fill="FFFFFF"/>
        <w:spacing w:line="360" w:lineRule="auto"/>
        <w:ind w:firstLine="420" w:firstLineChars="200"/>
        <w:rPr>
          <w:rFonts w:ascii="宋体" w:hAnsi="宋体" w:cs="宋体"/>
        </w:rPr>
      </w:pPr>
    </w:p>
    <w:p>
      <w:pPr>
        <w:shd w:val="clear" w:color="auto" w:fill="FFFFFF"/>
        <w:spacing w:line="520" w:lineRule="exact"/>
        <w:ind w:firstLine="480" w:firstLineChars="200"/>
        <w:rPr>
          <w:rFonts w:ascii="宋体" w:hAnsi="宋体" w:cs="宋体"/>
        </w:rPr>
      </w:pPr>
      <w:r>
        <w:rPr>
          <w:rFonts w:hint="eastAsia" w:ascii="宋体" w:hAnsi="宋体" w:cs="宋体"/>
          <w:sz w:val="24"/>
          <w:szCs w:val="24"/>
        </w:rPr>
        <w:t xml:space="preserve">                       </w:t>
      </w:r>
      <w:r>
        <w:rPr>
          <w:rFonts w:hint="eastAsia" w:ascii="宋体" w:hAnsi="宋体" w:cs="宋体"/>
        </w:rPr>
        <w:t xml:space="preserve"> </w:t>
      </w:r>
    </w:p>
    <w:p>
      <w:pPr>
        <w:pStyle w:val="4"/>
        <w:jc w:val="center"/>
        <w:rPr>
          <w:rFonts w:ascii="宋体" w:hAnsi="宋体" w:cs="宋体"/>
          <w:sz w:val="32"/>
          <w:szCs w:val="32"/>
        </w:rPr>
      </w:pPr>
      <w:bookmarkStart w:id="3" w:name="_Toc18196"/>
      <w:r>
        <w:rPr>
          <w:rFonts w:hint="eastAsia" w:ascii="宋体" w:hAnsi="宋体" w:cs="宋体"/>
          <w:sz w:val="32"/>
          <w:szCs w:val="32"/>
        </w:rPr>
        <w:t>第二章  供应商须知</w:t>
      </w:r>
      <w:bookmarkEnd w:id="3"/>
      <w:bookmarkStart w:id="4" w:name="_Toc19800"/>
      <w:bookmarkEnd w:id="4"/>
      <w:bookmarkStart w:id="5" w:name="_Toc193772265"/>
      <w:bookmarkEnd w:id="5"/>
      <w:bookmarkStart w:id="6" w:name="_Toc525062067"/>
      <w:bookmarkEnd w:id="6"/>
      <w:bookmarkStart w:id="7" w:name="_Toc21140"/>
      <w:bookmarkEnd w:id="7"/>
    </w:p>
    <w:p>
      <w:pPr>
        <w:pStyle w:val="6"/>
        <w:jc w:val="center"/>
        <w:rPr>
          <w:rFonts w:ascii="宋体" w:hAnsi="宋体" w:cs="宋体"/>
          <w:sz w:val="28"/>
        </w:rPr>
      </w:pPr>
      <w:r>
        <w:rPr>
          <w:rFonts w:hint="eastAsia" w:ascii="宋体" w:hAnsi="宋体" w:cs="宋体"/>
          <w:sz w:val="28"/>
        </w:rPr>
        <w:t>供应商须知前附表</w:t>
      </w:r>
    </w:p>
    <w:tbl>
      <w:tblPr>
        <w:tblStyle w:val="46"/>
        <w:tblW w:w="98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5"/>
        <w:gridCol w:w="1805"/>
        <w:gridCol w:w="73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72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4"/>
                <w:szCs w:val="24"/>
              </w:rPr>
            </w:pPr>
            <w:r>
              <w:rPr>
                <w:rFonts w:hint="eastAsia" w:ascii="宋体" w:hAnsi="宋体" w:cs="宋体"/>
                <w:sz w:val="24"/>
                <w:szCs w:val="24"/>
              </w:rPr>
              <w:t>序号</w:t>
            </w:r>
          </w:p>
        </w:tc>
        <w:tc>
          <w:tcPr>
            <w:tcW w:w="180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4"/>
                <w:szCs w:val="24"/>
              </w:rPr>
            </w:pPr>
            <w:r>
              <w:rPr>
                <w:rFonts w:hint="eastAsia" w:ascii="宋体" w:hAnsi="宋体" w:cs="宋体"/>
                <w:sz w:val="24"/>
                <w:szCs w:val="24"/>
              </w:rPr>
              <w:t>项  目</w:t>
            </w:r>
          </w:p>
        </w:tc>
        <w:tc>
          <w:tcPr>
            <w:tcW w:w="7349"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4"/>
                <w:szCs w:val="24"/>
              </w:rPr>
            </w:pPr>
            <w:r>
              <w:rPr>
                <w:rFonts w:hint="eastAsia" w:ascii="宋体" w:hAnsi="宋体" w:cs="宋体"/>
                <w:sz w:val="24"/>
                <w:szCs w:val="24"/>
              </w:rPr>
              <w:t>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2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4"/>
                <w:szCs w:val="24"/>
              </w:rPr>
            </w:pPr>
            <w:r>
              <w:rPr>
                <w:rFonts w:hint="eastAsia" w:ascii="宋体" w:hAnsi="宋体" w:cs="宋体"/>
                <w:sz w:val="24"/>
                <w:szCs w:val="24"/>
              </w:rPr>
              <w:t>1</w:t>
            </w:r>
          </w:p>
        </w:tc>
        <w:tc>
          <w:tcPr>
            <w:tcW w:w="180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4"/>
                <w:szCs w:val="24"/>
              </w:rPr>
            </w:pPr>
            <w:r>
              <w:rPr>
                <w:rFonts w:hint="eastAsia" w:ascii="宋体" w:hAnsi="宋体" w:cs="宋体"/>
                <w:sz w:val="24"/>
                <w:szCs w:val="24"/>
              </w:rPr>
              <w:t>采购项目编号</w:t>
            </w:r>
          </w:p>
        </w:tc>
        <w:tc>
          <w:tcPr>
            <w:tcW w:w="7349"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4"/>
                <w:szCs w:val="24"/>
              </w:rPr>
            </w:pPr>
            <w:r>
              <w:rPr>
                <w:rFonts w:hint="eastAsia" w:ascii="宋体" w:hAnsi="宋体" w:cs="宋体"/>
                <w:sz w:val="24"/>
                <w:szCs w:val="24"/>
              </w:rPr>
              <w:t>汝财招标采购-2023-31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72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4"/>
                <w:szCs w:val="24"/>
              </w:rPr>
            </w:pPr>
            <w:r>
              <w:rPr>
                <w:rFonts w:hint="eastAsia" w:ascii="宋体" w:hAnsi="宋体" w:cs="宋体"/>
                <w:sz w:val="24"/>
                <w:szCs w:val="24"/>
              </w:rPr>
              <w:t>2</w:t>
            </w:r>
          </w:p>
        </w:tc>
        <w:tc>
          <w:tcPr>
            <w:tcW w:w="180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4"/>
                <w:szCs w:val="24"/>
              </w:rPr>
            </w:pPr>
            <w:r>
              <w:rPr>
                <w:rFonts w:hint="eastAsia" w:ascii="宋体" w:hAnsi="宋体" w:cs="宋体"/>
                <w:sz w:val="24"/>
                <w:szCs w:val="24"/>
              </w:rPr>
              <w:t>采购项目名称</w:t>
            </w:r>
          </w:p>
        </w:tc>
        <w:tc>
          <w:tcPr>
            <w:tcW w:w="7349"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4"/>
                <w:szCs w:val="24"/>
              </w:rPr>
            </w:pPr>
            <w:r>
              <w:rPr>
                <w:rFonts w:hint="eastAsia" w:ascii="宋体" w:hAnsi="宋体" w:cs="宋体"/>
                <w:sz w:val="24"/>
                <w:szCs w:val="24"/>
              </w:rPr>
              <w:t>汝州市人民医院放射科影像设备升级项目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9" w:hRule="atLeast"/>
          <w:jc w:val="center"/>
        </w:trPr>
        <w:tc>
          <w:tcPr>
            <w:tcW w:w="725" w:type="dxa"/>
            <w:tcBorders>
              <w:top w:val="nil"/>
              <w:left w:val="single" w:color="auto" w:sz="4" w:space="0"/>
              <w:bottom w:val="single" w:color="auto" w:sz="4" w:space="0"/>
              <w:right w:val="single" w:color="auto" w:sz="4" w:space="0"/>
            </w:tcBorders>
            <w:vAlign w:val="center"/>
          </w:tcPr>
          <w:p>
            <w:pPr>
              <w:rPr>
                <w:rFonts w:ascii="宋体" w:hAnsi="宋体" w:cs="宋体"/>
                <w:sz w:val="24"/>
                <w:szCs w:val="24"/>
              </w:rPr>
            </w:pPr>
            <w:r>
              <w:rPr>
                <w:rFonts w:hint="eastAsia" w:ascii="宋体" w:hAnsi="宋体" w:cs="宋体"/>
                <w:sz w:val="24"/>
                <w:szCs w:val="24"/>
              </w:rPr>
              <w:t>3</w:t>
            </w:r>
          </w:p>
        </w:tc>
        <w:tc>
          <w:tcPr>
            <w:tcW w:w="180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4"/>
                <w:szCs w:val="24"/>
              </w:rPr>
            </w:pPr>
            <w:r>
              <w:rPr>
                <w:rFonts w:hint="eastAsia" w:ascii="宋体" w:hAnsi="宋体" w:cs="宋体"/>
                <w:sz w:val="24"/>
                <w:szCs w:val="24"/>
              </w:rPr>
              <w:t>采购人</w:t>
            </w:r>
          </w:p>
        </w:tc>
        <w:tc>
          <w:tcPr>
            <w:tcW w:w="7349"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4"/>
                <w:szCs w:val="24"/>
              </w:rPr>
            </w:pPr>
            <w:r>
              <w:rPr>
                <w:rFonts w:hint="eastAsia" w:ascii="宋体" w:hAnsi="宋体" w:cs="宋体"/>
                <w:sz w:val="24"/>
                <w:szCs w:val="24"/>
              </w:rPr>
              <w:t>汝州市人民医院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1" w:hRule="atLeast"/>
          <w:jc w:val="center"/>
        </w:trPr>
        <w:tc>
          <w:tcPr>
            <w:tcW w:w="725" w:type="dxa"/>
            <w:tcBorders>
              <w:top w:val="nil"/>
              <w:left w:val="single" w:color="auto" w:sz="4" w:space="0"/>
              <w:bottom w:val="single" w:color="auto" w:sz="4" w:space="0"/>
              <w:right w:val="single" w:color="auto" w:sz="4" w:space="0"/>
            </w:tcBorders>
            <w:vAlign w:val="center"/>
          </w:tcPr>
          <w:p>
            <w:pPr>
              <w:rPr>
                <w:rFonts w:ascii="宋体" w:hAnsi="宋体" w:cs="宋体"/>
                <w:sz w:val="24"/>
                <w:szCs w:val="24"/>
              </w:rPr>
            </w:pPr>
            <w:r>
              <w:rPr>
                <w:rFonts w:hint="eastAsia" w:ascii="宋体" w:hAnsi="宋体" w:cs="宋体"/>
                <w:sz w:val="24"/>
                <w:szCs w:val="24"/>
              </w:rPr>
              <w:t>4</w:t>
            </w:r>
          </w:p>
        </w:tc>
        <w:tc>
          <w:tcPr>
            <w:tcW w:w="180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4"/>
                <w:szCs w:val="24"/>
              </w:rPr>
            </w:pPr>
            <w:r>
              <w:rPr>
                <w:rFonts w:hint="eastAsia" w:ascii="宋体" w:hAnsi="宋体" w:cs="宋体"/>
                <w:sz w:val="24"/>
                <w:szCs w:val="24"/>
              </w:rPr>
              <w:t>采购代理机构</w:t>
            </w:r>
          </w:p>
        </w:tc>
        <w:tc>
          <w:tcPr>
            <w:tcW w:w="7349"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4"/>
                <w:szCs w:val="24"/>
              </w:rPr>
            </w:pPr>
            <w:r>
              <w:rPr>
                <w:rFonts w:hint="eastAsia" w:ascii="宋体" w:hAnsi="宋体" w:cs="宋体"/>
                <w:sz w:val="24"/>
                <w:szCs w:val="24"/>
              </w:rPr>
              <w:t>河南中普德项目管理有限公司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jc w:val="center"/>
        </w:trPr>
        <w:tc>
          <w:tcPr>
            <w:tcW w:w="72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4"/>
                <w:szCs w:val="24"/>
              </w:rPr>
            </w:pPr>
            <w:r>
              <w:rPr>
                <w:rFonts w:hint="eastAsia" w:ascii="宋体" w:hAnsi="宋体" w:cs="宋体"/>
                <w:sz w:val="24"/>
                <w:szCs w:val="24"/>
              </w:rPr>
              <w:t>5</w:t>
            </w:r>
          </w:p>
        </w:tc>
        <w:tc>
          <w:tcPr>
            <w:tcW w:w="180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4"/>
                <w:szCs w:val="24"/>
              </w:rPr>
            </w:pPr>
            <w:r>
              <w:rPr>
                <w:rFonts w:hint="eastAsia" w:ascii="宋体" w:hAnsi="宋体" w:cs="宋体"/>
                <w:sz w:val="24"/>
                <w:szCs w:val="24"/>
              </w:rPr>
              <w:t>采购方式</w:t>
            </w:r>
          </w:p>
        </w:tc>
        <w:tc>
          <w:tcPr>
            <w:tcW w:w="7349"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4"/>
                <w:szCs w:val="24"/>
              </w:rPr>
            </w:pPr>
            <w:r>
              <w:rPr>
                <w:rFonts w:hint="eastAsia" w:ascii="宋体" w:hAnsi="宋体" w:cs="宋体"/>
                <w:sz w:val="24"/>
                <w:szCs w:val="24"/>
              </w:rPr>
              <w:t>公开招标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jc w:val="center"/>
        </w:trPr>
        <w:tc>
          <w:tcPr>
            <w:tcW w:w="72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4"/>
                <w:szCs w:val="24"/>
              </w:rPr>
            </w:pPr>
            <w:r>
              <w:rPr>
                <w:rFonts w:hint="eastAsia" w:ascii="宋体" w:hAnsi="宋体" w:cs="宋体"/>
                <w:sz w:val="24"/>
                <w:szCs w:val="24"/>
              </w:rPr>
              <w:t>6</w:t>
            </w:r>
          </w:p>
        </w:tc>
        <w:tc>
          <w:tcPr>
            <w:tcW w:w="180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4"/>
                <w:szCs w:val="24"/>
              </w:rPr>
            </w:pPr>
            <w:r>
              <w:rPr>
                <w:rFonts w:hint="eastAsia" w:ascii="宋体" w:hAnsi="宋体" w:cs="宋体"/>
                <w:sz w:val="24"/>
                <w:szCs w:val="24"/>
              </w:rPr>
              <w:t>资金来源</w:t>
            </w:r>
          </w:p>
        </w:tc>
        <w:tc>
          <w:tcPr>
            <w:tcW w:w="7349"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4"/>
                <w:szCs w:val="24"/>
              </w:rPr>
            </w:pPr>
            <w:r>
              <w:rPr>
                <w:rFonts w:hint="eastAsia" w:ascii="宋体" w:hAnsi="宋体" w:cs="宋体"/>
                <w:sz w:val="24"/>
                <w:szCs w:val="24"/>
              </w:rPr>
              <w:t>自筹资金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62" w:hRule="atLeast"/>
          <w:jc w:val="center"/>
        </w:trPr>
        <w:tc>
          <w:tcPr>
            <w:tcW w:w="72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4"/>
                <w:szCs w:val="24"/>
              </w:rPr>
            </w:pPr>
            <w:r>
              <w:rPr>
                <w:rFonts w:hint="eastAsia" w:ascii="宋体" w:hAnsi="宋体" w:cs="宋体"/>
                <w:sz w:val="24"/>
                <w:szCs w:val="24"/>
              </w:rPr>
              <w:t>7</w:t>
            </w:r>
          </w:p>
        </w:tc>
        <w:tc>
          <w:tcPr>
            <w:tcW w:w="180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4"/>
                <w:szCs w:val="24"/>
              </w:rPr>
            </w:pPr>
            <w:r>
              <w:rPr>
                <w:rFonts w:hint="eastAsia" w:ascii="宋体" w:hAnsi="宋体" w:cs="宋体"/>
                <w:sz w:val="24"/>
                <w:szCs w:val="24"/>
              </w:rPr>
              <w:t>采购范围</w:t>
            </w:r>
          </w:p>
        </w:tc>
        <w:tc>
          <w:tcPr>
            <w:tcW w:w="7349"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4"/>
                <w:szCs w:val="24"/>
              </w:rPr>
            </w:pPr>
            <w:r>
              <w:rPr>
                <w:rFonts w:hint="eastAsia" w:ascii="宋体" w:hAnsi="宋体" w:cs="宋体"/>
                <w:sz w:val="24"/>
                <w:szCs w:val="24"/>
              </w:rPr>
              <w:t>采购清单所有内容（详见招标文件）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5" w:hRule="atLeast"/>
          <w:jc w:val="center"/>
        </w:trPr>
        <w:tc>
          <w:tcPr>
            <w:tcW w:w="72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4"/>
                <w:szCs w:val="24"/>
              </w:rPr>
            </w:pPr>
            <w:r>
              <w:rPr>
                <w:rFonts w:hint="eastAsia" w:ascii="宋体" w:hAnsi="宋体" w:cs="宋体"/>
                <w:sz w:val="24"/>
                <w:szCs w:val="24"/>
              </w:rPr>
              <w:t>8</w:t>
            </w:r>
          </w:p>
        </w:tc>
        <w:tc>
          <w:tcPr>
            <w:tcW w:w="180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4"/>
                <w:szCs w:val="24"/>
              </w:rPr>
            </w:pPr>
            <w:r>
              <w:rPr>
                <w:rFonts w:hint="eastAsia" w:ascii="宋体" w:hAnsi="宋体" w:cs="宋体"/>
                <w:sz w:val="24"/>
                <w:szCs w:val="24"/>
              </w:rPr>
              <w:t>资金落实情况</w:t>
            </w:r>
          </w:p>
        </w:tc>
        <w:tc>
          <w:tcPr>
            <w:tcW w:w="7349"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4"/>
                <w:szCs w:val="24"/>
              </w:rPr>
            </w:pPr>
            <w:r>
              <w:rPr>
                <w:rFonts w:hint="eastAsia" w:ascii="宋体" w:hAnsi="宋体" w:cs="宋体"/>
                <w:sz w:val="24"/>
                <w:szCs w:val="24"/>
              </w:rPr>
              <w:t>已落实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0" w:hRule="atLeast"/>
          <w:jc w:val="center"/>
        </w:trPr>
        <w:tc>
          <w:tcPr>
            <w:tcW w:w="72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4"/>
                <w:szCs w:val="24"/>
              </w:rPr>
            </w:pPr>
            <w:r>
              <w:rPr>
                <w:rFonts w:hint="eastAsia" w:ascii="宋体" w:hAnsi="宋体" w:cs="宋体"/>
                <w:sz w:val="24"/>
                <w:szCs w:val="24"/>
              </w:rPr>
              <w:t>9</w:t>
            </w:r>
          </w:p>
        </w:tc>
        <w:tc>
          <w:tcPr>
            <w:tcW w:w="180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4"/>
                <w:szCs w:val="24"/>
              </w:rPr>
            </w:pPr>
            <w:r>
              <w:rPr>
                <w:rFonts w:hint="eastAsia" w:ascii="宋体" w:hAnsi="宋体" w:cs="宋体"/>
                <w:sz w:val="24"/>
                <w:szCs w:val="24"/>
              </w:rPr>
              <w:t>供货期及安装</w:t>
            </w:r>
          </w:p>
        </w:tc>
        <w:tc>
          <w:tcPr>
            <w:tcW w:w="7349"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4"/>
                <w:szCs w:val="24"/>
              </w:rPr>
            </w:pPr>
            <w:r>
              <w:rPr>
                <w:rFonts w:hint="eastAsia" w:ascii="宋体" w:hAnsi="宋体" w:cs="宋体"/>
                <w:sz w:val="24"/>
                <w:szCs w:val="24"/>
              </w:rPr>
              <w:t>合同签订后，接到甲方通知后60日历天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3" w:hRule="atLeast"/>
          <w:jc w:val="center"/>
        </w:trPr>
        <w:tc>
          <w:tcPr>
            <w:tcW w:w="72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4"/>
                <w:szCs w:val="24"/>
              </w:rPr>
            </w:pPr>
            <w:r>
              <w:rPr>
                <w:rFonts w:hint="eastAsia" w:ascii="宋体" w:hAnsi="宋体" w:cs="宋体"/>
                <w:sz w:val="24"/>
                <w:szCs w:val="24"/>
              </w:rPr>
              <w:t>10</w:t>
            </w:r>
          </w:p>
        </w:tc>
        <w:tc>
          <w:tcPr>
            <w:tcW w:w="180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4"/>
                <w:szCs w:val="24"/>
              </w:rPr>
            </w:pPr>
            <w:r>
              <w:rPr>
                <w:rFonts w:hint="eastAsia" w:ascii="宋体" w:hAnsi="宋体" w:cs="宋体"/>
                <w:sz w:val="24"/>
                <w:szCs w:val="24"/>
              </w:rPr>
              <w:t>质量标准</w:t>
            </w:r>
          </w:p>
        </w:tc>
        <w:tc>
          <w:tcPr>
            <w:tcW w:w="7349"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4"/>
                <w:szCs w:val="24"/>
              </w:rPr>
            </w:pPr>
            <w:r>
              <w:rPr>
                <w:rFonts w:hint="eastAsia" w:ascii="宋体" w:hAnsi="宋体" w:cs="宋体"/>
                <w:sz w:val="24"/>
                <w:szCs w:val="24"/>
              </w:rPr>
              <w:t>符合国家和行业现行标准规定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72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4"/>
                <w:szCs w:val="24"/>
              </w:rPr>
            </w:pPr>
            <w:r>
              <w:rPr>
                <w:rFonts w:hint="eastAsia" w:ascii="宋体" w:hAnsi="宋体" w:cs="宋体"/>
                <w:sz w:val="24"/>
                <w:szCs w:val="24"/>
              </w:rPr>
              <w:t>11</w:t>
            </w:r>
          </w:p>
        </w:tc>
        <w:tc>
          <w:tcPr>
            <w:tcW w:w="180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4"/>
                <w:szCs w:val="24"/>
              </w:rPr>
            </w:pPr>
            <w:r>
              <w:rPr>
                <w:rFonts w:hint="eastAsia" w:ascii="宋体" w:hAnsi="宋体" w:cs="宋体"/>
                <w:sz w:val="24"/>
                <w:szCs w:val="24"/>
              </w:rPr>
              <w:t>质保期</w:t>
            </w:r>
          </w:p>
        </w:tc>
        <w:tc>
          <w:tcPr>
            <w:tcW w:w="7349"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4"/>
                <w:szCs w:val="24"/>
              </w:rPr>
            </w:pPr>
            <w:r>
              <w:rPr>
                <w:rFonts w:hint="eastAsia" w:ascii="宋体" w:hAnsi="宋体" w:cs="宋体"/>
                <w:sz w:val="24"/>
                <w:szCs w:val="24"/>
              </w:rPr>
              <w:t xml:space="preserve"> 1年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6" w:hRule="atLeast"/>
          <w:jc w:val="center"/>
        </w:trPr>
        <w:tc>
          <w:tcPr>
            <w:tcW w:w="72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4"/>
                <w:szCs w:val="24"/>
              </w:rPr>
            </w:pPr>
            <w:r>
              <w:rPr>
                <w:rFonts w:hint="eastAsia" w:ascii="宋体" w:hAnsi="宋体" w:cs="宋体"/>
                <w:sz w:val="24"/>
                <w:szCs w:val="24"/>
              </w:rPr>
              <w:t>12</w:t>
            </w:r>
          </w:p>
        </w:tc>
        <w:tc>
          <w:tcPr>
            <w:tcW w:w="180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4"/>
                <w:szCs w:val="24"/>
              </w:rPr>
            </w:pPr>
            <w:r>
              <w:rPr>
                <w:rFonts w:hint="eastAsia" w:ascii="宋体" w:hAnsi="宋体" w:cs="宋体"/>
                <w:sz w:val="24"/>
                <w:szCs w:val="24"/>
              </w:rPr>
              <w:t>交货地点</w:t>
            </w:r>
          </w:p>
        </w:tc>
        <w:tc>
          <w:tcPr>
            <w:tcW w:w="7349"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4"/>
                <w:szCs w:val="24"/>
              </w:rPr>
            </w:pPr>
            <w:r>
              <w:rPr>
                <w:rFonts w:hint="eastAsia" w:ascii="宋体" w:hAnsi="宋体" w:cs="宋体"/>
                <w:sz w:val="24"/>
                <w:szCs w:val="24"/>
              </w:rPr>
              <w:t>采购人指定地点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72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4"/>
                <w:szCs w:val="24"/>
              </w:rPr>
            </w:pPr>
            <w:r>
              <w:rPr>
                <w:rFonts w:hint="eastAsia" w:ascii="宋体" w:hAnsi="宋体" w:cs="宋体"/>
                <w:sz w:val="24"/>
                <w:szCs w:val="24"/>
              </w:rPr>
              <w:t>13</w:t>
            </w:r>
          </w:p>
        </w:tc>
        <w:tc>
          <w:tcPr>
            <w:tcW w:w="180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4"/>
                <w:szCs w:val="24"/>
              </w:rPr>
            </w:pPr>
            <w:r>
              <w:rPr>
                <w:rFonts w:hint="eastAsia" w:ascii="宋体" w:hAnsi="宋体" w:cs="宋体"/>
                <w:sz w:val="24"/>
                <w:szCs w:val="24"/>
              </w:rPr>
              <w:t>投标有效期</w:t>
            </w:r>
          </w:p>
        </w:tc>
        <w:tc>
          <w:tcPr>
            <w:tcW w:w="7349"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4"/>
                <w:szCs w:val="24"/>
              </w:rPr>
            </w:pPr>
            <w:r>
              <w:rPr>
                <w:rFonts w:hint="eastAsia" w:ascii="宋体" w:hAnsi="宋体" w:cs="宋体"/>
                <w:sz w:val="24"/>
                <w:szCs w:val="24"/>
              </w:rPr>
              <w:t>投标文件递交截止之日起60日历天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5" w:hRule="atLeast"/>
          <w:jc w:val="center"/>
        </w:trPr>
        <w:tc>
          <w:tcPr>
            <w:tcW w:w="72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4"/>
                <w:szCs w:val="24"/>
              </w:rPr>
            </w:pPr>
            <w:r>
              <w:rPr>
                <w:rFonts w:hint="eastAsia" w:ascii="宋体" w:hAnsi="宋体" w:cs="宋体"/>
                <w:sz w:val="24"/>
                <w:szCs w:val="24"/>
              </w:rPr>
              <w:t>14</w:t>
            </w:r>
          </w:p>
        </w:tc>
        <w:tc>
          <w:tcPr>
            <w:tcW w:w="180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4"/>
                <w:szCs w:val="24"/>
              </w:rPr>
            </w:pPr>
            <w:r>
              <w:rPr>
                <w:rFonts w:hint="eastAsia" w:ascii="宋体" w:hAnsi="宋体" w:cs="宋体"/>
                <w:sz w:val="24"/>
                <w:szCs w:val="24"/>
              </w:rPr>
              <w:t>供应商</w:t>
            </w:r>
          </w:p>
          <w:p>
            <w:pPr>
              <w:rPr>
                <w:rFonts w:ascii="宋体" w:hAnsi="宋体" w:cs="宋体"/>
                <w:sz w:val="24"/>
                <w:szCs w:val="24"/>
              </w:rPr>
            </w:pPr>
            <w:r>
              <w:rPr>
                <w:rFonts w:hint="eastAsia" w:ascii="宋体" w:hAnsi="宋体" w:cs="宋体"/>
                <w:sz w:val="24"/>
                <w:szCs w:val="24"/>
              </w:rPr>
              <w:t>资格要求</w:t>
            </w:r>
          </w:p>
        </w:tc>
        <w:tc>
          <w:tcPr>
            <w:tcW w:w="7349" w:type="dxa"/>
            <w:tcBorders>
              <w:top w:val="single" w:color="auto" w:sz="4" w:space="0"/>
              <w:left w:val="single" w:color="auto" w:sz="4" w:space="0"/>
              <w:bottom w:val="single" w:color="auto" w:sz="4" w:space="0"/>
              <w:right w:val="single" w:color="auto" w:sz="4" w:space="0"/>
            </w:tcBorders>
            <w:vAlign w:val="center"/>
          </w:tcPr>
          <w:p>
            <w:pPr>
              <w:widowControl/>
              <w:shd w:val="clear" w:color="auto" w:fill="FFFFFF"/>
              <w:wordWrap w:val="0"/>
              <w:spacing w:line="500" w:lineRule="exact"/>
              <w:ind w:firstLine="420" w:firstLineChars="175"/>
              <w:jc w:val="left"/>
              <w:rPr>
                <w:rFonts w:ascii="宋体" w:hAnsi="宋体" w:cs="宋体"/>
                <w:b/>
                <w:bCs/>
                <w:sz w:val="24"/>
                <w:szCs w:val="24"/>
              </w:rPr>
            </w:pPr>
            <w:r>
              <w:rPr>
                <w:rFonts w:hint="eastAsia" w:ascii="宋体" w:hAnsi="宋体" w:cs="宋体"/>
                <w:b/>
                <w:bCs/>
                <w:sz w:val="24"/>
                <w:szCs w:val="24"/>
              </w:rPr>
              <w:t>1.满足《中华人民共和国政府采购法》第二十二条规定；</w:t>
            </w:r>
          </w:p>
          <w:p>
            <w:pPr>
              <w:widowControl/>
              <w:shd w:val="clear" w:color="auto" w:fill="FFFFFF"/>
              <w:wordWrap w:val="0"/>
              <w:spacing w:line="500" w:lineRule="exact"/>
              <w:ind w:firstLine="420" w:firstLineChars="175"/>
              <w:jc w:val="left"/>
              <w:rPr>
                <w:rFonts w:ascii="宋体" w:hAnsi="宋体" w:cs="宋体"/>
                <w:b/>
                <w:bCs/>
                <w:sz w:val="24"/>
                <w:szCs w:val="24"/>
              </w:rPr>
            </w:pPr>
            <w:r>
              <w:rPr>
                <w:rFonts w:hint="eastAsia" w:ascii="宋体" w:hAnsi="宋体" w:cs="宋体"/>
                <w:b/>
                <w:bCs/>
                <w:sz w:val="24"/>
                <w:szCs w:val="24"/>
              </w:rPr>
              <w:t>2.落实政府采购政策满足的资格要求：/</w:t>
            </w:r>
          </w:p>
          <w:p>
            <w:pPr>
              <w:widowControl/>
              <w:shd w:val="clear" w:color="auto" w:fill="FFFFFF"/>
              <w:wordWrap w:val="0"/>
              <w:spacing w:line="500" w:lineRule="exact"/>
              <w:ind w:firstLine="420" w:firstLineChars="175"/>
              <w:jc w:val="left"/>
              <w:rPr>
                <w:rFonts w:ascii="宋体" w:hAnsi="宋体" w:cs="宋体"/>
                <w:b/>
                <w:bCs/>
                <w:sz w:val="24"/>
                <w:szCs w:val="24"/>
              </w:rPr>
            </w:pPr>
            <w:r>
              <w:rPr>
                <w:rFonts w:hint="eastAsia" w:ascii="宋体" w:hAnsi="宋体" w:cs="宋体"/>
                <w:b/>
                <w:bCs/>
                <w:sz w:val="24"/>
                <w:szCs w:val="24"/>
              </w:rPr>
              <w:t>3.本项目的特定资格要求</w:t>
            </w:r>
          </w:p>
          <w:p>
            <w:pPr>
              <w:widowControl/>
              <w:shd w:val="clear" w:color="auto" w:fill="FFFFFF"/>
              <w:wordWrap w:val="0"/>
              <w:spacing w:line="500" w:lineRule="exact"/>
              <w:ind w:firstLine="420" w:firstLineChars="175"/>
              <w:jc w:val="left"/>
              <w:rPr>
                <w:rFonts w:ascii="宋体" w:hAnsi="宋体" w:cs="宋体"/>
                <w:sz w:val="24"/>
                <w:szCs w:val="24"/>
              </w:rPr>
            </w:pPr>
            <w:r>
              <w:rPr>
                <w:rFonts w:hint="eastAsia" w:ascii="宋体" w:hAnsi="宋体" w:cs="宋体"/>
                <w:sz w:val="24"/>
                <w:szCs w:val="24"/>
              </w:rPr>
              <w:t>3.1供应商具有独立承担民事责任的能力，具备有效的营业执照、组织机构代码证、税务登记证或三证合一的营业执照；</w:t>
            </w:r>
          </w:p>
          <w:p>
            <w:pPr>
              <w:widowControl/>
              <w:shd w:val="clear" w:color="auto" w:fill="FFFFFF"/>
              <w:wordWrap w:val="0"/>
              <w:spacing w:line="500" w:lineRule="exact"/>
              <w:ind w:firstLine="420" w:firstLineChars="175"/>
              <w:jc w:val="left"/>
              <w:rPr>
                <w:rFonts w:ascii="宋体" w:hAnsi="宋体" w:cs="宋体"/>
                <w:sz w:val="24"/>
                <w:szCs w:val="24"/>
              </w:rPr>
            </w:pPr>
            <w:r>
              <w:rPr>
                <w:rFonts w:hint="eastAsia" w:ascii="宋体" w:hAnsi="宋体" w:cs="宋体"/>
                <w:sz w:val="24"/>
                <w:szCs w:val="24"/>
              </w:rPr>
              <w:t>3.2生产企业具有国家药品监督管理部门颁发的相对应的医疗器械生产许可证、医疗器械注册证；代理商（经销商）需提供第三类医疗器械经营许可证；</w:t>
            </w:r>
          </w:p>
          <w:p>
            <w:pPr>
              <w:widowControl/>
              <w:shd w:val="clear" w:color="auto" w:fill="FFFFFF"/>
              <w:wordWrap w:val="0"/>
              <w:spacing w:line="500" w:lineRule="exact"/>
              <w:ind w:firstLine="420" w:firstLineChars="175"/>
              <w:jc w:val="left"/>
              <w:rPr>
                <w:rFonts w:ascii="宋体" w:hAnsi="宋体" w:cs="宋体"/>
                <w:sz w:val="24"/>
                <w:szCs w:val="24"/>
              </w:rPr>
            </w:pPr>
            <w:r>
              <w:rPr>
                <w:rFonts w:hint="eastAsia" w:ascii="宋体" w:hAnsi="宋体" w:cs="宋体"/>
                <w:sz w:val="24"/>
                <w:szCs w:val="24"/>
              </w:rPr>
              <w:t>3.3供应商具有良好的商业信誉和健全的财务制度（提供2022年度经审计合格的财务审计报告，若供应商为新成立企业，提供近三个月财务报表或其基本户开户银行出具的资信证明）；</w:t>
            </w:r>
          </w:p>
          <w:p>
            <w:pPr>
              <w:widowControl/>
              <w:shd w:val="clear" w:color="auto" w:fill="FFFFFF"/>
              <w:wordWrap w:val="0"/>
              <w:spacing w:line="500" w:lineRule="exact"/>
              <w:ind w:firstLine="420" w:firstLineChars="175"/>
              <w:jc w:val="left"/>
              <w:rPr>
                <w:rFonts w:ascii="宋体" w:hAnsi="宋体" w:cs="宋体"/>
                <w:sz w:val="24"/>
                <w:szCs w:val="24"/>
              </w:rPr>
            </w:pPr>
            <w:r>
              <w:rPr>
                <w:rFonts w:hint="eastAsia" w:ascii="宋体" w:hAnsi="宋体" w:cs="宋体"/>
                <w:sz w:val="24"/>
                <w:szCs w:val="24"/>
              </w:rPr>
              <w:t>3.4有依法缴纳税收和社会保障资金的良好记录(提供2023年1月以来任意一个月的公司纳税证明和社保缴纳证明)；</w:t>
            </w:r>
          </w:p>
          <w:p>
            <w:pPr>
              <w:widowControl/>
              <w:shd w:val="clear" w:color="auto" w:fill="FFFFFF"/>
              <w:wordWrap w:val="0"/>
              <w:spacing w:line="500" w:lineRule="exact"/>
              <w:ind w:firstLine="420" w:firstLineChars="175"/>
              <w:jc w:val="left"/>
              <w:rPr>
                <w:rFonts w:ascii="宋体" w:hAnsi="宋体" w:cs="宋体"/>
                <w:sz w:val="24"/>
                <w:szCs w:val="24"/>
              </w:rPr>
            </w:pPr>
            <w:r>
              <w:rPr>
                <w:rFonts w:hint="eastAsia" w:ascii="宋体" w:hAnsi="宋体" w:cs="宋体"/>
                <w:sz w:val="24"/>
                <w:szCs w:val="24"/>
              </w:rPr>
              <w:t>3.5供应商应出具参加政府采购活动近三年内在经营活动中没有重大违法记录的书面声明；</w:t>
            </w:r>
          </w:p>
          <w:p>
            <w:pPr>
              <w:widowControl/>
              <w:shd w:val="clear" w:color="auto" w:fill="FFFFFF"/>
              <w:wordWrap w:val="0"/>
              <w:spacing w:line="500" w:lineRule="exact"/>
              <w:ind w:firstLine="420" w:firstLineChars="175"/>
              <w:jc w:val="left"/>
              <w:rPr>
                <w:rFonts w:ascii="宋体" w:hAnsi="宋体" w:cs="宋体"/>
                <w:sz w:val="24"/>
                <w:szCs w:val="24"/>
              </w:rPr>
            </w:pPr>
            <w:r>
              <w:rPr>
                <w:rFonts w:hint="eastAsia" w:ascii="宋体" w:hAnsi="宋体" w:cs="宋体"/>
                <w:sz w:val="24"/>
                <w:szCs w:val="24"/>
              </w:rPr>
              <w:t>3.6供应商具有履行合同所必需的设备和专业技术能力（提供承诺函,格式自拟）；</w:t>
            </w:r>
          </w:p>
          <w:p>
            <w:pPr>
              <w:widowControl/>
              <w:shd w:val="clear" w:color="auto" w:fill="FFFFFF"/>
              <w:wordWrap w:val="0"/>
              <w:spacing w:line="500" w:lineRule="exact"/>
              <w:ind w:firstLine="420" w:firstLineChars="175"/>
              <w:jc w:val="left"/>
              <w:rPr>
                <w:rFonts w:ascii="宋体" w:hAnsi="宋体" w:cs="宋体"/>
                <w:sz w:val="24"/>
                <w:szCs w:val="24"/>
              </w:rPr>
            </w:pPr>
            <w:r>
              <w:rPr>
                <w:rFonts w:hint="eastAsia" w:ascii="宋体" w:hAnsi="宋体" w:cs="宋体"/>
                <w:sz w:val="24"/>
                <w:szCs w:val="24"/>
              </w:rPr>
              <w:t>3.7供应商需提供“中国执行信息公开网”网站的“失信被执行人”、“信用中国”网站的“重大税收违法失信主体”、“中国政府采购”网站的“政府采购严重违法失信行为记录名单”。（执行财库【2016】125 号文）查询网页截图，对列入失信被执行人、重大税收违法失信主体、政府采购严重违法失信行为记录名单的供应商，取消其投标申请。</w:t>
            </w:r>
          </w:p>
          <w:p>
            <w:pPr>
              <w:widowControl/>
              <w:shd w:val="clear" w:color="auto" w:fill="FFFFFF"/>
              <w:wordWrap w:val="0"/>
              <w:spacing w:line="500" w:lineRule="exact"/>
              <w:ind w:firstLine="420" w:firstLineChars="175"/>
              <w:jc w:val="left"/>
              <w:rPr>
                <w:rFonts w:ascii="宋体" w:hAnsi="宋体" w:cs="宋体"/>
                <w:sz w:val="24"/>
                <w:szCs w:val="24"/>
              </w:rPr>
            </w:pPr>
            <w:r>
              <w:rPr>
                <w:rFonts w:hint="eastAsia" w:ascii="宋体" w:hAnsi="宋体" w:cs="宋体"/>
                <w:sz w:val="24"/>
                <w:szCs w:val="24"/>
              </w:rPr>
              <w:t>3.8本项目不接受联合体投标。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5" w:hRule="atLeast"/>
          <w:jc w:val="center"/>
        </w:trPr>
        <w:tc>
          <w:tcPr>
            <w:tcW w:w="72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4"/>
                <w:szCs w:val="24"/>
              </w:rPr>
            </w:pPr>
            <w:r>
              <w:rPr>
                <w:rFonts w:hint="eastAsia" w:ascii="宋体" w:hAnsi="宋体" w:cs="宋体"/>
                <w:sz w:val="24"/>
                <w:szCs w:val="24"/>
              </w:rPr>
              <w:t>15</w:t>
            </w:r>
          </w:p>
        </w:tc>
        <w:tc>
          <w:tcPr>
            <w:tcW w:w="180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4"/>
                <w:szCs w:val="24"/>
              </w:rPr>
            </w:pPr>
            <w:r>
              <w:rPr>
                <w:rFonts w:hint="eastAsia" w:ascii="宋体" w:hAnsi="宋体" w:cs="宋体"/>
                <w:sz w:val="24"/>
                <w:szCs w:val="24"/>
              </w:rPr>
              <w:t>投标截止时间</w:t>
            </w:r>
          </w:p>
        </w:tc>
        <w:tc>
          <w:tcPr>
            <w:tcW w:w="7349"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4"/>
                <w:szCs w:val="24"/>
              </w:rPr>
            </w:pPr>
            <w:r>
              <w:rPr>
                <w:rFonts w:hint="eastAsia" w:ascii="宋体" w:hAnsi="宋体" w:cs="宋体"/>
                <w:sz w:val="24"/>
                <w:szCs w:val="24"/>
              </w:rPr>
              <w:t>时间</w:t>
            </w:r>
            <w:r>
              <w:rPr>
                <w:rFonts w:hint="eastAsia" w:ascii="宋体" w:hAnsi="宋体" w:cs="宋体"/>
                <w:b/>
                <w:sz w:val="24"/>
                <w:szCs w:val="24"/>
              </w:rPr>
              <w:t>2023年 06月01日8时30分</w:t>
            </w:r>
          </w:p>
          <w:p>
            <w:pPr>
              <w:rPr>
                <w:rFonts w:ascii="宋体" w:hAnsi="宋体" w:cs="宋体"/>
                <w:sz w:val="24"/>
                <w:szCs w:val="24"/>
              </w:rPr>
            </w:pPr>
            <w:r>
              <w:rPr>
                <w:rFonts w:hint="eastAsia" w:ascii="宋体" w:hAnsi="宋体" w:cs="宋体"/>
                <w:sz w:val="24"/>
                <w:szCs w:val="24"/>
              </w:rPr>
              <w:t>地点：全国公共资源交易平台（河南省•汝州市）公共资源交易系统（www.rzggzy.com）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4" w:hRule="atLeast"/>
          <w:jc w:val="center"/>
        </w:trPr>
        <w:tc>
          <w:tcPr>
            <w:tcW w:w="72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4"/>
                <w:szCs w:val="24"/>
              </w:rPr>
            </w:pPr>
            <w:r>
              <w:rPr>
                <w:rFonts w:hint="eastAsia" w:ascii="宋体" w:hAnsi="宋体" w:cs="宋体"/>
                <w:sz w:val="24"/>
                <w:szCs w:val="24"/>
              </w:rPr>
              <w:t>16</w:t>
            </w:r>
          </w:p>
        </w:tc>
        <w:tc>
          <w:tcPr>
            <w:tcW w:w="180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4"/>
                <w:szCs w:val="24"/>
              </w:rPr>
            </w:pPr>
            <w:r>
              <w:rPr>
                <w:rFonts w:hint="eastAsia" w:ascii="宋体" w:hAnsi="宋体" w:cs="宋体"/>
                <w:sz w:val="24"/>
                <w:szCs w:val="24"/>
              </w:rPr>
              <w:t>开标时间</w:t>
            </w:r>
          </w:p>
        </w:tc>
        <w:tc>
          <w:tcPr>
            <w:tcW w:w="7349"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4"/>
                <w:szCs w:val="24"/>
              </w:rPr>
            </w:pPr>
            <w:r>
              <w:rPr>
                <w:rFonts w:hint="eastAsia" w:ascii="宋体" w:hAnsi="宋体" w:cs="宋体"/>
                <w:sz w:val="24"/>
                <w:szCs w:val="24"/>
              </w:rPr>
              <w:t>时间：</w:t>
            </w:r>
            <w:r>
              <w:rPr>
                <w:rFonts w:hint="eastAsia" w:ascii="宋体" w:hAnsi="宋体" w:cs="宋体"/>
                <w:b/>
                <w:sz w:val="24"/>
                <w:szCs w:val="24"/>
              </w:rPr>
              <w:t>2023年06月01日8时30分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72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4"/>
                <w:szCs w:val="24"/>
              </w:rPr>
            </w:pPr>
            <w:r>
              <w:rPr>
                <w:rFonts w:hint="eastAsia" w:ascii="宋体" w:hAnsi="宋体" w:cs="宋体"/>
                <w:sz w:val="24"/>
                <w:szCs w:val="24"/>
              </w:rPr>
              <w:t>17</w:t>
            </w:r>
          </w:p>
        </w:tc>
        <w:tc>
          <w:tcPr>
            <w:tcW w:w="180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4"/>
                <w:szCs w:val="24"/>
              </w:rPr>
            </w:pPr>
            <w:r>
              <w:rPr>
                <w:rFonts w:hint="eastAsia" w:ascii="宋体" w:hAnsi="宋体" w:cs="宋体"/>
                <w:sz w:val="24"/>
                <w:szCs w:val="24"/>
              </w:rPr>
              <w:t>代理服务费</w:t>
            </w:r>
          </w:p>
        </w:tc>
        <w:tc>
          <w:tcPr>
            <w:tcW w:w="7349"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4"/>
                <w:szCs w:val="24"/>
              </w:rPr>
            </w:pPr>
            <w:r>
              <w:rPr>
                <w:rFonts w:hint="eastAsia" w:ascii="宋体" w:hAnsi="宋体" w:cs="宋体"/>
                <w:sz w:val="24"/>
                <w:szCs w:val="24"/>
              </w:rPr>
              <w:t>1、收费标准：中标的供应商应按项目中标额的国家收费标准向招标代理机构交纳代理服务费。</w:t>
            </w:r>
          </w:p>
          <w:p>
            <w:pPr>
              <w:rPr>
                <w:rFonts w:ascii="宋体" w:hAnsi="宋体" w:cs="宋体"/>
                <w:sz w:val="24"/>
                <w:szCs w:val="24"/>
              </w:rPr>
            </w:pPr>
            <w:r>
              <w:rPr>
                <w:rFonts w:hint="eastAsia" w:ascii="宋体" w:hAnsi="宋体" w:cs="宋体"/>
                <w:sz w:val="24"/>
                <w:szCs w:val="24"/>
              </w:rPr>
              <w:t>2、交纳时间：领取《中标通知书》时交纳。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5" w:hRule="atLeast"/>
          <w:jc w:val="center"/>
        </w:trPr>
        <w:tc>
          <w:tcPr>
            <w:tcW w:w="72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4"/>
                <w:szCs w:val="24"/>
              </w:rPr>
            </w:pPr>
            <w:r>
              <w:rPr>
                <w:rFonts w:hint="eastAsia" w:ascii="宋体" w:hAnsi="宋体" w:cs="宋体"/>
                <w:sz w:val="24"/>
                <w:szCs w:val="24"/>
              </w:rPr>
              <w:t>18</w:t>
            </w:r>
          </w:p>
        </w:tc>
        <w:tc>
          <w:tcPr>
            <w:tcW w:w="180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4"/>
                <w:szCs w:val="24"/>
              </w:rPr>
            </w:pPr>
            <w:r>
              <w:rPr>
                <w:rFonts w:hint="eastAsia" w:ascii="宋体" w:hAnsi="宋体" w:cs="宋体"/>
                <w:sz w:val="24"/>
                <w:szCs w:val="24"/>
              </w:rPr>
              <w:t>本次招标</w:t>
            </w:r>
          </w:p>
          <w:p>
            <w:pPr>
              <w:rPr>
                <w:rFonts w:ascii="宋体" w:hAnsi="宋体" w:cs="宋体"/>
                <w:sz w:val="24"/>
                <w:szCs w:val="24"/>
              </w:rPr>
            </w:pPr>
            <w:r>
              <w:rPr>
                <w:rFonts w:hint="eastAsia" w:ascii="宋体" w:hAnsi="宋体" w:cs="宋体"/>
                <w:sz w:val="24"/>
                <w:szCs w:val="24"/>
              </w:rPr>
              <w:t>联系事宜</w:t>
            </w:r>
          </w:p>
        </w:tc>
        <w:tc>
          <w:tcPr>
            <w:tcW w:w="7349"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4"/>
                <w:szCs w:val="24"/>
              </w:rPr>
            </w:pPr>
            <w:r>
              <w:rPr>
                <w:rFonts w:hint="eastAsia" w:ascii="宋体" w:hAnsi="宋体" w:cs="宋体"/>
                <w:sz w:val="24"/>
                <w:szCs w:val="24"/>
              </w:rPr>
              <w:t>1.采购人信息</w:t>
            </w:r>
          </w:p>
          <w:p>
            <w:pPr>
              <w:rPr>
                <w:rFonts w:ascii="宋体" w:hAnsi="宋体" w:cs="宋体"/>
                <w:sz w:val="24"/>
                <w:szCs w:val="24"/>
              </w:rPr>
            </w:pPr>
            <w:r>
              <w:rPr>
                <w:rFonts w:hint="eastAsia" w:ascii="宋体" w:hAnsi="宋体" w:cs="宋体"/>
                <w:sz w:val="24"/>
                <w:szCs w:val="24"/>
              </w:rPr>
              <w:t>名称：汝州市人民医院</w:t>
            </w:r>
          </w:p>
          <w:p>
            <w:pPr>
              <w:rPr>
                <w:rFonts w:ascii="宋体" w:hAnsi="宋体" w:cs="宋体"/>
                <w:sz w:val="24"/>
                <w:szCs w:val="24"/>
              </w:rPr>
            </w:pPr>
            <w:r>
              <w:rPr>
                <w:rFonts w:hint="eastAsia" w:ascii="宋体" w:hAnsi="宋体" w:cs="宋体"/>
                <w:sz w:val="24"/>
                <w:szCs w:val="24"/>
              </w:rPr>
              <w:t>地址：汝州市朝阳路</w:t>
            </w:r>
          </w:p>
          <w:p>
            <w:pPr>
              <w:rPr>
                <w:rFonts w:ascii="宋体" w:hAnsi="宋体" w:cs="宋体"/>
                <w:sz w:val="24"/>
                <w:szCs w:val="24"/>
              </w:rPr>
            </w:pPr>
            <w:r>
              <w:rPr>
                <w:rFonts w:hint="eastAsia" w:ascii="宋体" w:hAnsi="宋体" w:cs="宋体"/>
                <w:sz w:val="24"/>
                <w:szCs w:val="24"/>
              </w:rPr>
              <w:t>联系人：赵女士</w:t>
            </w:r>
          </w:p>
          <w:p>
            <w:pPr>
              <w:rPr>
                <w:rFonts w:ascii="宋体" w:hAnsi="宋体" w:cs="宋体"/>
                <w:sz w:val="24"/>
                <w:szCs w:val="24"/>
              </w:rPr>
            </w:pPr>
            <w:r>
              <w:rPr>
                <w:rFonts w:hint="eastAsia" w:ascii="宋体" w:hAnsi="宋体" w:cs="宋体"/>
                <w:sz w:val="24"/>
                <w:szCs w:val="24"/>
              </w:rPr>
              <w:t>联系方式：15637579928</w:t>
            </w:r>
          </w:p>
          <w:p>
            <w:pPr>
              <w:rPr>
                <w:rFonts w:ascii="宋体" w:hAnsi="宋体" w:cs="宋体"/>
                <w:sz w:val="24"/>
                <w:szCs w:val="24"/>
              </w:rPr>
            </w:pPr>
            <w:r>
              <w:rPr>
                <w:rFonts w:hint="eastAsia" w:ascii="宋体" w:hAnsi="宋体" w:cs="宋体"/>
                <w:sz w:val="24"/>
                <w:szCs w:val="24"/>
              </w:rPr>
              <w:t>2.采购代理机构信息</w:t>
            </w:r>
          </w:p>
          <w:p>
            <w:pPr>
              <w:rPr>
                <w:rFonts w:ascii="宋体" w:hAnsi="宋体" w:cs="宋体"/>
                <w:sz w:val="24"/>
                <w:szCs w:val="24"/>
              </w:rPr>
            </w:pPr>
            <w:r>
              <w:rPr>
                <w:rFonts w:hint="eastAsia" w:ascii="宋体" w:hAnsi="宋体" w:cs="宋体"/>
                <w:sz w:val="24"/>
                <w:szCs w:val="24"/>
              </w:rPr>
              <w:t>名称：河南中普德项目管理有限公司</w:t>
            </w:r>
          </w:p>
          <w:p>
            <w:pPr>
              <w:rPr>
                <w:rFonts w:ascii="宋体" w:hAnsi="宋体" w:cs="宋体"/>
                <w:sz w:val="24"/>
                <w:szCs w:val="24"/>
              </w:rPr>
            </w:pPr>
            <w:r>
              <w:rPr>
                <w:rFonts w:hint="eastAsia" w:ascii="宋体" w:hAnsi="宋体" w:cs="宋体"/>
                <w:sz w:val="24"/>
                <w:szCs w:val="24"/>
              </w:rPr>
              <w:t>地址：河南省郑州市科学大道65号</w:t>
            </w:r>
          </w:p>
          <w:p>
            <w:pPr>
              <w:rPr>
                <w:rFonts w:ascii="宋体" w:hAnsi="宋体" w:cs="宋体"/>
                <w:sz w:val="24"/>
                <w:szCs w:val="24"/>
              </w:rPr>
            </w:pPr>
            <w:r>
              <w:rPr>
                <w:rFonts w:hint="eastAsia" w:ascii="宋体" w:hAnsi="宋体" w:cs="宋体"/>
                <w:sz w:val="24"/>
                <w:szCs w:val="24"/>
              </w:rPr>
              <w:t xml:space="preserve">联系人：李先生         </w:t>
            </w:r>
          </w:p>
          <w:p>
            <w:pPr>
              <w:rPr>
                <w:rFonts w:ascii="宋体" w:hAnsi="宋体" w:cs="宋体"/>
                <w:sz w:val="24"/>
                <w:szCs w:val="24"/>
              </w:rPr>
            </w:pPr>
            <w:r>
              <w:rPr>
                <w:rFonts w:hint="eastAsia" w:ascii="宋体" w:hAnsi="宋体" w:cs="宋体"/>
                <w:sz w:val="24"/>
                <w:szCs w:val="24"/>
              </w:rPr>
              <w:t>联系方式：18937190851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72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4"/>
                <w:szCs w:val="24"/>
              </w:rPr>
            </w:pPr>
            <w:r>
              <w:rPr>
                <w:rFonts w:hint="eastAsia" w:ascii="宋体" w:hAnsi="宋体" w:cs="宋体"/>
                <w:sz w:val="24"/>
                <w:szCs w:val="24"/>
              </w:rPr>
              <w:t>19</w:t>
            </w:r>
          </w:p>
        </w:tc>
        <w:tc>
          <w:tcPr>
            <w:tcW w:w="180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4"/>
                <w:szCs w:val="24"/>
              </w:rPr>
            </w:pPr>
            <w:r>
              <w:rPr>
                <w:rFonts w:hint="eastAsia" w:ascii="宋体" w:hAnsi="宋体" w:cs="宋体"/>
                <w:sz w:val="24"/>
                <w:szCs w:val="24"/>
              </w:rPr>
              <w:t>中标信息发布</w:t>
            </w:r>
          </w:p>
        </w:tc>
        <w:tc>
          <w:tcPr>
            <w:tcW w:w="7349"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4"/>
                <w:szCs w:val="24"/>
              </w:rPr>
            </w:pPr>
            <w:r>
              <w:rPr>
                <w:rFonts w:hint="eastAsia" w:ascii="宋体" w:hAnsi="宋体" w:cs="宋体"/>
                <w:sz w:val="24"/>
                <w:szCs w:val="24"/>
              </w:rPr>
              <w:t>《河南省政府采购网》、《汝州市政府采购网》、《全国公共资源交易平台（河南省•汝州市）公共资源交易系统（www.rzggzy.com）、《河南省电子招标投标公共服务平台》上发布，公告期限1个工作日。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8" w:hRule="atLeast"/>
          <w:jc w:val="center"/>
        </w:trPr>
        <w:tc>
          <w:tcPr>
            <w:tcW w:w="72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4"/>
                <w:szCs w:val="24"/>
              </w:rPr>
            </w:pPr>
            <w:r>
              <w:rPr>
                <w:rFonts w:hint="eastAsia" w:ascii="宋体" w:hAnsi="宋体" w:cs="宋体"/>
                <w:sz w:val="24"/>
                <w:szCs w:val="24"/>
              </w:rPr>
              <w:t>20</w:t>
            </w:r>
          </w:p>
        </w:tc>
        <w:tc>
          <w:tcPr>
            <w:tcW w:w="180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4"/>
                <w:szCs w:val="24"/>
              </w:rPr>
            </w:pPr>
            <w:r>
              <w:rPr>
                <w:rFonts w:hint="eastAsia" w:ascii="宋体" w:hAnsi="宋体" w:cs="宋体"/>
                <w:sz w:val="24"/>
                <w:szCs w:val="24"/>
              </w:rPr>
              <w:t>报价方式</w:t>
            </w:r>
          </w:p>
        </w:tc>
        <w:tc>
          <w:tcPr>
            <w:tcW w:w="7349"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4"/>
                <w:szCs w:val="24"/>
              </w:rPr>
            </w:pPr>
            <w:r>
              <w:rPr>
                <w:rFonts w:hint="eastAsia" w:ascii="宋体" w:hAnsi="宋体" w:cs="宋体"/>
                <w:sz w:val="24"/>
                <w:szCs w:val="24"/>
              </w:rPr>
              <w:t>供应商自主报价。招标最高限价：</w:t>
            </w:r>
          </w:p>
          <w:p>
            <w:pPr>
              <w:rPr>
                <w:rFonts w:ascii="宋体" w:hAnsi="宋体" w:cs="宋体"/>
                <w:sz w:val="24"/>
                <w:szCs w:val="24"/>
              </w:rPr>
            </w:pPr>
            <w:r>
              <w:rPr>
                <w:rFonts w:hint="eastAsia" w:ascii="宋体" w:hAnsi="宋体" w:cs="宋体"/>
                <w:sz w:val="24"/>
                <w:szCs w:val="24"/>
              </w:rPr>
              <w:t xml:space="preserve">第一标段：28000000.00元（大写：贰仟捌佰万元整） </w:t>
            </w:r>
          </w:p>
          <w:p>
            <w:pPr>
              <w:rPr>
                <w:rFonts w:ascii="宋体" w:hAnsi="宋体" w:cs="宋体"/>
                <w:sz w:val="24"/>
                <w:szCs w:val="24"/>
              </w:rPr>
            </w:pPr>
            <w:r>
              <w:rPr>
                <w:rFonts w:hint="eastAsia" w:ascii="宋体" w:hAnsi="宋体" w:cs="宋体"/>
                <w:sz w:val="24"/>
                <w:szCs w:val="24"/>
              </w:rPr>
              <w:t>第二标段：23000000.00元（大写：贰仟叁佰万元整）</w:t>
            </w:r>
          </w:p>
          <w:p>
            <w:pPr>
              <w:rPr>
                <w:rFonts w:ascii="宋体" w:hAnsi="宋体" w:cs="宋体"/>
                <w:b/>
                <w:bCs/>
                <w:sz w:val="24"/>
                <w:szCs w:val="24"/>
              </w:rPr>
            </w:pPr>
            <w:r>
              <w:rPr>
                <w:rFonts w:hint="eastAsia" w:ascii="宋体" w:hAnsi="宋体" w:cs="宋体"/>
                <w:b/>
                <w:sz w:val="24"/>
                <w:szCs w:val="24"/>
              </w:rPr>
              <w:t>注：供应商报价高出招标最高限价的，投标文件为无效文件，将不予评审。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3" w:hRule="atLeast"/>
          <w:jc w:val="center"/>
        </w:trPr>
        <w:tc>
          <w:tcPr>
            <w:tcW w:w="72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4"/>
                <w:szCs w:val="24"/>
              </w:rPr>
            </w:pPr>
            <w:r>
              <w:rPr>
                <w:rFonts w:hint="eastAsia" w:ascii="宋体" w:hAnsi="宋体" w:cs="宋体"/>
                <w:sz w:val="24"/>
                <w:szCs w:val="24"/>
              </w:rPr>
              <w:t>21</w:t>
            </w:r>
          </w:p>
        </w:tc>
        <w:tc>
          <w:tcPr>
            <w:tcW w:w="180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4"/>
                <w:szCs w:val="24"/>
              </w:rPr>
            </w:pPr>
            <w:r>
              <w:rPr>
                <w:rFonts w:hint="eastAsia" w:ascii="宋体" w:hAnsi="宋体" w:cs="宋体"/>
                <w:sz w:val="24"/>
                <w:szCs w:val="24"/>
              </w:rPr>
              <w:t>评标委员会的组建</w:t>
            </w:r>
          </w:p>
        </w:tc>
        <w:tc>
          <w:tcPr>
            <w:tcW w:w="7349"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4"/>
                <w:szCs w:val="24"/>
              </w:rPr>
            </w:pPr>
            <w:r>
              <w:rPr>
                <w:rFonts w:hint="eastAsia" w:ascii="宋体" w:hAnsi="宋体" w:cs="宋体"/>
                <w:sz w:val="24"/>
                <w:szCs w:val="24"/>
              </w:rPr>
              <w:t>评标委员会构成共7人：由业主代表2人和相关的技术、经济专家5人组成。</w:t>
            </w:r>
          </w:p>
          <w:p>
            <w:pPr>
              <w:rPr>
                <w:rFonts w:ascii="宋体" w:hAnsi="宋体" w:cs="宋体"/>
                <w:sz w:val="24"/>
                <w:szCs w:val="24"/>
              </w:rPr>
            </w:pPr>
            <w:r>
              <w:rPr>
                <w:rFonts w:hint="eastAsia" w:ascii="宋体" w:hAnsi="宋体" w:cs="宋体"/>
                <w:sz w:val="24"/>
                <w:szCs w:val="24"/>
              </w:rPr>
              <w:t>评标专家确定方式：经济、技术专家应在开标前从符合相关规定的评标专家库中随机抽取确定。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2" w:hRule="atLeast"/>
          <w:jc w:val="center"/>
        </w:trPr>
        <w:tc>
          <w:tcPr>
            <w:tcW w:w="72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4"/>
                <w:szCs w:val="24"/>
              </w:rPr>
            </w:pPr>
            <w:r>
              <w:rPr>
                <w:rFonts w:hint="eastAsia" w:ascii="宋体" w:hAnsi="宋体" w:cs="宋体"/>
                <w:sz w:val="24"/>
                <w:szCs w:val="24"/>
              </w:rPr>
              <w:t>22</w:t>
            </w:r>
          </w:p>
        </w:tc>
        <w:tc>
          <w:tcPr>
            <w:tcW w:w="180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4"/>
                <w:szCs w:val="24"/>
              </w:rPr>
            </w:pPr>
            <w:r>
              <w:rPr>
                <w:rFonts w:hint="eastAsia" w:ascii="宋体" w:hAnsi="宋体" w:cs="宋体"/>
                <w:sz w:val="24"/>
                <w:szCs w:val="24"/>
              </w:rPr>
              <w:t>是否授权评标委员会确定中标人</w:t>
            </w:r>
          </w:p>
        </w:tc>
        <w:tc>
          <w:tcPr>
            <w:tcW w:w="7349"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4"/>
                <w:szCs w:val="24"/>
              </w:rPr>
            </w:pPr>
            <w:r>
              <w:rPr>
                <w:rFonts w:hint="eastAsia" w:ascii="宋体" w:hAnsi="宋体" w:cs="宋体"/>
                <w:sz w:val="24"/>
                <w:szCs w:val="24"/>
              </w:rPr>
              <w:t>否。评委会推荐3名中标候选人。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8" w:hRule="atLeast"/>
          <w:jc w:val="center"/>
        </w:trPr>
        <w:tc>
          <w:tcPr>
            <w:tcW w:w="9879" w:type="dxa"/>
            <w:gridSpan w:val="3"/>
            <w:tcBorders>
              <w:top w:val="single" w:color="auto" w:sz="4" w:space="0"/>
              <w:left w:val="single" w:color="auto" w:sz="4" w:space="0"/>
              <w:right w:val="single" w:color="auto" w:sz="4" w:space="0"/>
            </w:tcBorders>
            <w:vAlign w:val="center"/>
          </w:tcPr>
          <w:p>
            <w:pPr>
              <w:rPr>
                <w:rFonts w:ascii="宋体" w:hAnsi="宋体" w:cs="宋体"/>
                <w:sz w:val="24"/>
                <w:szCs w:val="24"/>
              </w:rPr>
            </w:pPr>
            <w:r>
              <w:rPr>
                <w:rFonts w:hint="eastAsia" w:ascii="宋体" w:hAnsi="宋体" w:cs="宋体"/>
                <w:sz w:val="24"/>
                <w:szCs w:val="24"/>
              </w:rPr>
              <w:t>注：本招标文件前后不符的，以招标文件</w:t>
            </w:r>
            <w:r>
              <w:rPr>
                <w:rFonts w:hint="eastAsia" w:ascii="宋体" w:hAnsi="宋体" w:cs="宋体"/>
                <w:sz w:val="24"/>
                <w:szCs w:val="24"/>
                <w:u w:val="single"/>
              </w:rPr>
              <w:t>供应商须知前附表</w:t>
            </w:r>
            <w:r>
              <w:rPr>
                <w:rFonts w:hint="eastAsia" w:ascii="宋体" w:hAnsi="宋体" w:cs="宋体"/>
                <w:sz w:val="24"/>
                <w:szCs w:val="24"/>
              </w:rPr>
              <w:t>为准</w:t>
            </w:r>
          </w:p>
        </w:tc>
      </w:tr>
    </w:tbl>
    <w:p>
      <w:pPr>
        <w:pStyle w:val="6"/>
        <w:ind w:firstLine="480" w:firstLineChars="200"/>
        <w:jc w:val="left"/>
        <w:rPr>
          <w:rFonts w:ascii="宋体" w:hAnsi="宋体" w:cs="宋体"/>
          <w:sz w:val="24"/>
        </w:rPr>
      </w:pPr>
      <w:bookmarkStart w:id="8" w:name="_Toc11324"/>
      <w:bookmarkEnd w:id="8"/>
      <w:r>
        <w:rPr>
          <w:rFonts w:hint="eastAsia" w:ascii="宋体" w:hAnsi="宋体" w:cs="宋体"/>
          <w:sz w:val="24"/>
        </w:rPr>
        <w:t xml:space="preserve">1.总则 </w:t>
      </w:r>
    </w:p>
    <w:p>
      <w:pPr>
        <w:adjustRightInd w:val="0"/>
        <w:snapToGrid w:val="0"/>
        <w:spacing w:line="440" w:lineRule="exact"/>
        <w:ind w:right="31" w:rightChars="15" w:firstLine="480" w:firstLineChars="200"/>
        <w:rPr>
          <w:rFonts w:ascii="宋体" w:hAnsi="宋体" w:cs="宋体"/>
          <w:b/>
          <w:bCs/>
          <w:sz w:val="24"/>
          <w:szCs w:val="24"/>
        </w:rPr>
      </w:pPr>
      <w:r>
        <w:rPr>
          <w:rFonts w:hint="eastAsia" w:ascii="宋体" w:hAnsi="宋体" w:cs="宋体"/>
          <w:b/>
          <w:bCs/>
          <w:sz w:val="24"/>
          <w:szCs w:val="24"/>
        </w:rPr>
        <w:t>1.1 项目概况</w:t>
      </w:r>
    </w:p>
    <w:p>
      <w:pPr>
        <w:adjustRightInd w:val="0"/>
        <w:snapToGrid w:val="0"/>
        <w:spacing w:line="440" w:lineRule="exact"/>
        <w:ind w:right="31" w:rightChars="15" w:firstLine="480" w:firstLineChars="200"/>
        <w:rPr>
          <w:rFonts w:ascii="宋体" w:hAnsi="宋体" w:cs="宋体"/>
          <w:sz w:val="24"/>
          <w:szCs w:val="24"/>
        </w:rPr>
      </w:pPr>
      <w:r>
        <w:rPr>
          <w:rFonts w:hint="eastAsia" w:ascii="宋体" w:hAnsi="宋体" w:cs="宋体"/>
          <w:sz w:val="24"/>
          <w:szCs w:val="24"/>
        </w:rPr>
        <w:t>1.1.1</w:t>
      </w:r>
      <w:r>
        <w:rPr>
          <w:rFonts w:hint="eastAsia" w:ascii="宋体" w:hAnsi="宋体" w:cs="宋体"/>
          <w:kern w:val="0"/>
          <w:sz w:val="24"/>
          <w:szCs w:val="24"/>
        </w:rPr>
        <w:t>根据《中华人民共和国政府采购法》等有关法律、法规和规章的规定，本项目已具备招标条件，现对本项目进行公开招标。</w:t>
      </w:r>
    </w:p>
    <w:p>
      <w:pPr>
        <w:adjustRightInd w:val="0"/>
        <w:snapToGrid w:val="0"/>
        <w:spacing w:line="440" w:lineRule="exact"/>
        <w:ind w:firstLine="480" w:firstLineChars="200"/>
        <w:jc w:val="left"/>
        <w:rPr>
          <w:rFonts w:ascii="宋体" w:hAnsi="宋体" w:cs="宋体"/>
          <w:sz w:val="24"/>
          <w:szCs w:val="24"/>
        </w:rPr>
      </w:pPr>
      <w:r>
        <w:rPr>
          <w:rFonts w:hint="eastAsia" w:ascii="宋体" w:hAnsi="宋体" w:cs="宋体"/>
          <w:sz w:val="24"/>
          <w:szCs w:val="24"/>
        </w:rPr>
        <w:t>1.1.2 本项目采购人、采购代理机构、项目名称：见“供应商须知前附表”。</w:t>
      </w:r>
    </w:p>
    <w:p>
      <w:pPr>
        <w:adjustRightInd w:val="0"/>
        <w:snapToGrid w:val="0"/>
        <w:spacing w:line="440" w:lineRule="exact"/>
        <w:ind w:right="31" w:rightChars="15" w:firstLine="480" w:firstLineChars="200"/>
        <w:rPr>
          <w:rFonts w:ascii="宋体" w:hAnsi="宋体" w:cs="宋体"/>
          <w:b/>
          <w:bCs/>
          <w:sz w:val="24"/>
          <w:szCs w:val="24"/>
        </w:rPr>
      </w:pPr>
      <w:r>
        <w:rPr>
          <w:rFonts w:hint="eastAsia" w:ascii="宋体" w:hAnsi="宋体" w:cs="宋体"/>
          <w:b/>
          <w:bCs/>
          <w:sz w:val="24"/>
          <w:szCs w:val="24"/>
        </w:rPr>
        <w:t>1.2 资金来源和落实情况</w:t>
      </w:r>
    </w:p>
    <w:p>
      <w:pPr>
        <w:adjustRightInd w:val="0"/>
        <w:snapToGrid w:val="0"/>
        <w:spacing w:line="440" w:lineRule="exact"/>
        <w:ind w:right="31" w:rightChars="15" w:firstLine="480" w:firstLineChars="200"/>
        <w:rPr>
          <w:rFonts w:ascii="宋体" w:hAnsi="宋体" w:cs="宋体"/>
          <w:sz w:val="24"/>
          <w:szCs w:val="24"/>
        </w:rPr>
      </w:pPr>
      <w:r>
        <w:rPr>
          <w:rFonts w:hint="eastAsia" w:ascii="宋体" w:hAnsi="宋体" w:cs="宋体"/>
          <w:sz w:val="24"/>
          <w:szCs w:val="24"/>
        </w:rPr>
        <w:t>1.2.1 本项目的资金来源、资金落实情况：见“供应商须知前附表”。</w:t>
      </w:r>
    </w:p>
    <w:p>
      <w:pPr>
        <w:adjustRightInd w:val="0"/>
        <w:snapToGrid w:val="0"/>
        <w:spacing w:line="440" w:lineRule="exact"/>
        <w:ind w:right="31" w:rightChars="15" w:firstLine="480" w:firstLineChars="200"/>
        <w:rPr>
          <w:rFonts w:ascii="宋体" w:hAnsi="宋体" w:cs="宋体"/>
          <w:b/>
          <w:bCs/>
          <w:sz w:val="24"/>
          <w:szCs w:val="24"/>
        </w:rPr>
      </w:pPr>
      <w:r>
        <w:rPr>
          <w:rFonts w:hint="eastAsia" w:ascii="宋体" w:hAnsi="宋体" w:cs="宋体"/>
          <w:b/>
          <w:bCs/>
          <w:sz w:val="24"/>
          <w:szCs w:val="24"/>
        </w:rPr>
        <w:t>1.3 招标范围和供货期</w:t>
      </w:r>
    </w:p>
    <w:p>
      <w:pPr>
        <w:adjustRightInd w:val="0"/>
        <w:snapToGrid w:val="0"/>
        <w:spacing w:line="440" w:lineRule="exact"/>
        <w:ind w:right="31" w:rightChars="15" w:firstLine="480" w:firstLineChars="200"/>
        <w:rPr>
          <w:rFonts w:ascii="宋体" w:hAnsi="宋体" w:cs="宋体"/>
          <w:sz w:val="24"/>
          <w:szCs w:val="24"/>
        </w:rPr>
      </w:pPr>
      <w:r>
        <w:rPr>
          <w:rFonts w:hint="eastAsia" w:ascii="宋体" w:hAnsi="宋体" w:cs="宋体"/>
          <w:sz w:val="24"/>
          <w:szCs w:val="24"/>
        </w:rPr>
        <w:t xml:space="preserve">1.3.1本次采购范围及供货期：见“供应商须知前附表”。 </w:t>
      </w:r>
    </w:p>
    <w:p>
      <w:pPr>
        <w:adjustRightInd w:val="0"/>
        <w:snapToGrid w:val="0"/>
        <w:spacing w:line="440" w:lineRule="exact"/>
        <w:ind w:right="31" w:rightChars="15" w:firstLine="480" w:firstLineChars="200"/>
        <w:rPr>
          <w:rFonts w:ascii="宋体" w:hAnsi="宋体" w:cs="宋体"/>
          <w:b/>
          <w:bCs/>
          <w:sz w:val="24"/>
          <w:szCs w:val="24"/>
        </w:rPr>
      </w:pPr>
      <w:r>
        <w:rPr>
          <w:rFonts w:hint="eastAsia" w:ascii="宋体" w:hAnsi="宋体" w:cs="宋体"/>
          <w:b/>
          <w:bCs/>
          <w:sz w:val="24"/>
          <w:szCs w:val="24"/>
        </w:rPr>
        <w:t>1.4 供应商资格要求</w:t>
      </w:r>
    </w:p>
    <w:p>
      <w:pPr>
        <w:adjustRightInd w:val="0"/>
        <w:snapToGrid w:val="0"/>
        <w:spacing w:line="440" w:lineRule="exact"/>
        <w:ind w:right="31" w:rightChars="15" w:firstLine="480" w:firstLineChars="200"/>
        <w:rPr>
          <w:rFonts w:ascii="宋体" w:hAnsi="宋体" w:cs="宋体"/>
          <w:sz w:val="24"/>
          <w:szCs w:val="24"/>
        </w:rPr>
      </w:pPr>
      <w:r>
        <w:rPr>
          <w:rFonts w:hint="eastAsia" w:ascii="宋体" w:hAnsi="宋体" w:cs="宋体"/>
          <w:sz w:val="24"/>
          <w:szCs w:val="24"/>
        </w:rPr>
        <w:t>1.4.1本项目对供应商资质条件的要求：见“供应商须知前附表”。</w:t>
      </w:r>
    </w:p>
    <w:p>
      <w:pPr>
        <w:adjustRightInd w:val="0"/>
        <w:snapToGrid w:val="0"/>
        <w:spacing w:line="440" w:lineRule="exact"/>
        <w:ind w:right="31" w:rightChars="15" w:firstLine="480" w:firstLineChars="200"/>
        <w:rPr>
          <w:rFonts w:ascii="宋体" w:hAnsi="宋体" w:cs="宋体"/>
          <w:sz w:val="24"/>
          <w:szCs w:val="24"/>
        </w:rPr>
      </w:pPr>
      <w:r>
        <w:rPr>
          <w:rFonts w:hint="eastAsia" w:ascii="宋体" w:hAnsi="宋体" w:cs="宋体"/>
          <w:sz w:val="24"/>
          <w:szCs w:val="24"/>
        </w:rPr>
        <w:t>1.4.2 按“供应商须知前附表”规定不接受联合体投标。</w:t>
      </w:r>
    </w:p>
    <w:p>
      <w:pPr>
        <w:adjustRightInd w:val="0"/>
        <w:snapToGrid w:val="0"/>
        <w:spacing w:line="440" w:lineRule="exact"/>
        <w:ind w:right="31" w:rightChars="15" w:firstLine="480" w:firstLineChars="200"/>
        <w:rPr>
          <w:rFonts w:ascii="宋体" w:hAnsi="宋体" w:cs="宋体"/>
          <w:sz w:val="24"/>
          <w:szCs w:val="24"/>
        </w:rPr>
      </w:pPr>
      <w:r>
        <w:rPr>
          <w:rFonts w:hint="eastAsia" w:ascii="宋体" w:hAnsi="宋体" w:cs="宋体"/>
          <w:sz w:val="24"/>
          <w:szCs w:val="24"/>
        </w:rPr>
        <w:t>1.4.3 供应商不得存在下列任何一种情形：</w:t>
      </w:r>
    </w:p>
    <w:p>
      <w:pPr>
        <w:adjustRightInd w:val="0"/>
        <w:snapToGrid w:val="0"/>
        <w:spacing w:line="440" w:lineRule="exact"/>
        <w:ind w:right="31" w:rightChars="15" w:firstLine="480" w:firstLineChars="200"/>
        <w:rPr>
          <w:rFonts w:ascii="宋体" w:hAnsi="宋体" w:cs="宋体"/>
          <w:sz w:val="24"/>
          <w:szCs w:val="24"/>
        </w:rPr>
      </w:pPr>
      <w:r>
        <w:rPr>
          <w:rFonts w:hint="eastAsia" w:ascii="宋体" w:hAnsi="宋体" w:cs="宋体"/>
          <w:sz w:val="24"/>
          <w:szCs w:val="24"/>
        </w:rPr>
        <w:t>（1）为招标人不具有独立法人资格的附属机构（单位）；</w:t>
      </w:r>
    </w:p>
    <w:p>
      <w:pPr>
        <w:adjustRightInd w:val="0"/>
        <w:snapToGrid w:val="0"/>
        <w:spacing w:line="440" w:lineRule="exact"/>
        <w:ind w:right="31" w:rightChars="15" w:firstLine="480" w:firstLineChars="200"/>
        <w:rPr>
          <w:rFonts w:ascii="宋体" w:hAnsi="宋体" w:cs="宋体"/>
          <w:sz w:val="24"/>
          <w:szCs w:val="24"/>
        </w:rPr>
      </w:pPr>
      <w:r>
        <w:rPr>
          <w:rFonts w:hint="eastAsia" w:ascii="宋体" w:hAnsi="宋体" w:cs="宋体"/>
          <w:sz w:val="24"/>
          <w:szCs w:val="24"/>
        </w:rPr>
        <w:t>（2）为本项目的代建人；</w:t>
      </w:r>
    </w:p>
    <w:p>
      <w:pPr>
        <w:adjustRightInd w:val="0"/>
        <w:snapToGrid w:val="0"/>
        <w:spacing w:line="440" w:lineRule="exact"/>
        <w:ind w:right="31" w:rightChars="15" w:firstLine="480" w:firstLineChars="200"/>
        <w:rPr>
          <w:rFonts w:ascii="宋体" w:hAnsi="宋体" w:cs="宋体"/>
          <w:sz w:val="24"/>
          <w:szCs w:val="24"/>
        </w:rPr>
      </w:pPr>
      <w:r>
        <w:rPr>
          <w:rFonts w:hint="eastAsia" w:ascii="宋体" w:hAnsi="宋体" w:cs="宋体"/>
          <w:sz w:val="24"/>
          <w:szCs w:val="24"/>
        </w:rPr>
        <w:t>（3）为本项目提供招标代理服务的；</w:t>
      </w:r>
    </w:p>
    <w:p>
      <w:pPr>
        <w:adjustRightInd w:val="0"/>
        <w:snapToGrid w:val="0"/>
        <w:spacing w:line="440" w:lineRule="exact"/>
        <w:ind w:right="31" w:rightChars="15" w:firstLine="480" w:firstLineChars="200"/>
        <w:rPr>
          <w:rFonts w:ascii="宋体" w:hAnsi="宋体" w:cs="宋体"/>
          <w:sz w:val="24"/>
          <w:szCs w:val="24"/>
        </w:rPr>
      </w:pPr>
      <w:r>
        <w:rPr>
          <w:rFonts w:hint="eastAsia" w:ascii="宋体" w:hAnsi="宋体" w:cs="宋体"/>
          <w:sz w:val="24"/>
          <w:szCs w:val="24"/>
        </w:rPr>
        <w:t>（4）与本项目的代建人或招标代理机构同为一个法定代表人的；</w:t>
      </w:r>
    </w:p>
    <w:p>
      <w:pPr>
        <w:adjustRightInd w:val="0"/>
        <w:snapToGrid w:val="0"/>
        <w:spacing w:line="440" w:lineRule="exact"/>
        <w:ind w:right="31" w:rightChars="15" w:firstLine="480" w:firstLineChars="200"/>
        <w:rPr>
          <w:rFonts w:ascii="宋体" w:hAnsi="宋体" w:cs="宋体"/>
          <w:sz w:val="24"/>
          <w:szCs w:val="24"/>
        </w:rPr>
      </w:pPr>
      <w:r>
        <w:rPr>
          <w:rFonts w:hint="eastAsia" w:ascii="宋体" w:hAnsi="宋体" w:cs="宋体"/>
          <w:sz w:val="24"/>
          <w:szCs w:val="24"/>
        </w:rPr>
        <w:t>（5）本招标项目的代建人或招标代理机构相互控股或参股的；</w:t>
      </w:r>
    </w:p>
    <w:p>
      <w:pPr>
        <w:adjustRightInd w:val="0"/>
        <w:snapToGrid w:val="0"/>
        <w:spacing w:line="440" w:lineRule="exact"/>
        <w:ind w:right="31" w:rightChars="15" w:firstLine="480" w:firstLineChars="200"/>
        <w:rPr>
          <w:rFonts w:ascii="宋体" w:hAnsi="宋体" w:cs="宋体"/>
          <w:sz w:val="24"/>
          <w:szCs w:val="24"/>
        </w:rPr>
      </w:pPr>
      <w:r>
        <w:rPr>
          <w:rFonts w:hint="eastAsia" w:ascii="宋体" w:hAnsi="宋体" w:cs="宋体"/>
          <w:sz w:val="24"/>
          <w:szCs w:val="24"/>
        </w:rPr>
        <w:t>（6）与本招标项目的代建人或招标代理机构相互任职或工作的；</w:t>
      </w:r>
    </w:p>
    <w:p>
      <w:pPr>
        <w:adjustRightInd w:val="0"/>
        <w:snapToGrid w:val="0"/>
        <w:spacing w:line="440" w:lineRule="exact"/>
        <w:ind w:right="31" w:rightChars="15" w:firstLine="480" w:firstLineChars="200"/>
        <w:rPr>
          <w:rFonts w:ascii="宋体" w:hAnsi="宋体" w:cs="宋体"/>
          <w:sz w:val="24"/>
          <w:szCs w:val="24"/>
        </w:rPr>
      </w:pPr>
      <w:r>
        <w:rPr>
          <w:rFonts w:hint="eastAsia" w:ascii="宋体" w:hAnsi="宋体" w:cs="宋体"/>
          <w:sz w:val="24"/>
          <w:szCs w:val="24"/>
        </w:rPr>
        <w:t>（7）被责令停业的；</w:t>
      </w:r>
    </w:p>
    <w:p>
      <w:pPr>
        <w:adjustRightInd w:val="0"/>
        <w:snapToGrid w:val="0"/>
        <w:spacing w:line="440" w:lineRule="exact"/>
        <w:ind w:right="31" w:rightChars="15" w:firstLine="480" w:firstLineChars="200"/>
        <w:rPr>
          <w:rFonts w:ascii="宋体" w:hAnsi="宋体" w:cs="宋体"/>
          <w:sz w:val="24"/>
          <w:szCs w:val="24"/>
        </w:rPr>
      </w:pPr>
      <w:r>
        <w:rPr>
          <w:rFonts w:hint="eastAsia" w:ascii="宋体" w:hAnsi="宋体" w:cs="宋体"/>
          <w:sz w:val="24"/>
          <w:szCs w:val="24"/>
        </w:rPr>
        <w:t>（8）财产被接管或冻结的；</w:t>
      </w:r>
    </w:p>
    <w:p>
      <w:pPr>
        <w:adjustRightInd w:val="0"/>
        <w:snapToGrid w:val="0"/>
        <w:spacing w:line="440" w:lineRule="exact"/>
        <w:ind w:right="31" w:rightChars="15" w:firstLine="480" w:firstLineChars="200"/>
        <w:rPr>
          <w:rFonts w:ascii="宋体" w:hAnsi="宋体" w:cs="宋体"/>
          <w:sz w:val="24"/>
          <w:szCs w:val="24"/>
        </w:rPr>
      </w:pPr>
      <w:r>
        <w:rPr>
          <w:rFonts w:hint="eastAsia" w:ascii="宋体" w:hAnsi="宋体" w:cs="宋体"/>
          <w:sz w:val="24"/>
          <w:szCs w:val="24"/>
        </w:rPr>
        <w:t>（9）经评标委员会认定会对承担本招标项目造成重大影响的正在诉讼的案件；</w:t>
      </w:r>
    </w:p>
    <w:p>
      <w:pPr>
        <w:adjustRightInd w:val="0"/>
        <w:snapToGrid w:val="0"/>
        <w:spacing w:line="440" w:lineRule="exact"/>
        <w:ind w:right="31" w:rightChars="15" w:firstLine="480" w:firstLineChars="200"/>
        <w:rPr>
          <w:rFonts w:ascii="宋体" w:hAnsi="宋体" w:cs="宋体"/>
          <w:sz w:val="24"/>
          <w:szCs w:val="24"/>
        </w:rPr>
      </w:pPr>
      <w:r>
        <w:rPr>
          <w:rFonts w:hint="eastAsia" w:ascii="宋体" w:hAnsi="宋体" w:cs="宋体"/>
          <w:sz w:val="24"/>
          <w:szCs w:val="24"/>
        </w:rPr>
        <w:t>（10）被省级及以上主管部门取消项目所在地的投标资格或禁止进入该区域建设市场且处于有效期内；</w:t>
      </w:r>
    </w:p>
    <w:p>
      <w:pPr>
        <w:adjustRightInd w:val="0"/>
        <w:snapToGrid w:val="0"/>
        <w:spacing w:line="440" w:lineRule="exact"/>
        <w:ind w:right="31" w:rightChars="15" w:firstLine="480" w:firstLineChars="200"/>
        <w:rPr>
          <w:rFonts w:ascii="宋体" w:hAnsi="宋体" w:cs="宋体"/>
          <w:sz w:val="24"/>
          <w:szCs w:val="24"/>
        </w:rPr>
      </w:pPr>
      <w:r>
        <w:rPr>
          <w:rFonts w:hint="eastAsia" w:ascii="宋体" w:hAnsi="宋体" w:cs="宋体"/>
          <w:sz w:val="24"/>
          <w:szCs w:val="24"/>
        </w:rPr>
        <w:t>（11）为投资参股本招标项目的法人单位。</w:t>
      </w:r>
    </w:p>
    <w:p>
      <w:pPr>
        <w:adjustRightInd w:val="0"/>
        <w:snapToGrid w:val="0"/>
        <w:spacing w:line="440" w:lineRule="exact"/>
        <w:ind w:firstLine="480" w:firstLineChars="200"/>
        <w:rPr>
          <w:rFonts w:ascii="宋体" w:hAnsi="宋体" w:cs="宋体"/>
          <w:b/>
          <w:bCs/>
          <w:sz w:val="24"/>
          <w:szCs w:val="24"/>
        </w:rPr>
      </w:pPr>
      <w:r>
        <w:rPr>
          <w:rFonts w:hint="eastAsia" w:ascii="宋体" w:hAnsi="宋体" w:cs="宋体"/>
          <w:b/>
          <w:bCs/>
          <w:sz w:val="24"/>
          <w:szCs w:val="24"/>
        </w:rPr>
        <w:t>1.5 费用承担</w:t>
      </w:r>
    </w:p>
    <w:p>
      <w:pPr>
        <w:widowControl/>
        <w:topLinePunct/>
        <w:adjustRightInd w:val="0"/>
        <w:snapToGrid w:val="0"/>
        <w:spacing w:line="440" w:lineRule="exact"/>
        <w:ind w:firstLine="480" w:firstLineChars="200"/>
        <w:rPr>
          <w:rFonts w:ascii="宋体" w:hAnsi="宋体" w:cs="宋体"/>
          <w:kern w:val="0"/>
          <w:sz w:val="24"/>
          <w:szCs w:val="24"/>
        </w:rPr>
      </w:pPr>
      <w:r>
        <w:rPr>
          <w:rFonts w:hint="eastAsia" w:ascii="宋体" w:hAnsi="宋体" w:cs="宋体"/>
          <w:kern w:val="0"/>
          <w:sz w:val="24"/>
          <w:szCs w:val="24"/>
        </w:rPr>
        <w:t>1.5.1供应商应承担其投标文件编制与递交所涉及的一切费用，招标人和招标代理机构对上述费用均不承担任何责任；</w:t>
      </w:r>
    </w:p>
    <w:p>
      <w:pPr>
        <w:widowControl/>
        <w:topLinePunct/>
        <w:adjustRightInd w:val="0"/>
        <w:snapToGrid w:val="0"/>
        <w:spacing w:line="440" w:lineRule="exact"/>
        <w:ind w:firstLine="480" w:firstLineChars="200"/>
        <w:rPr>
          <w:rFonts w:ascii="宋体" w:hAnsi="宋体" w:cs="宋体"/>
          <w:kern w:val="0"/>
          <w:sz w:val="24"/>
          <w:szCs w:val="24"/>
        </w:rPr>
      </w:pPr>
      <w:r>
        <w:rPr>
          <w:rFonts w:hint="eastAsia" w:ascii="宋体" w:hAnsi="宋体" w:cs="宋体"/>
          <w:kern w:val="0"/>
          <w:sz w:val="24"/>
          <w:szCs w:val="24"/>
        </w:rPr>
        <w:t>1.5.2本项目招标代理服务费，由中标单位支付。</w:t>
      </w:r>
    </w:p>
    <w:p>
      <w:pPr>
        <w:adjustRightInd w:val="0"/>
        <w:snapToGrid w:val="0"/>
        <w:spacing w:line="440" w:lineRule="exact"/>
        <w:ind w:firstLine="480" w:firstLineChars="200"/>
        <w:rPr>
          <w:rFonts w:ascii="宋体" w:hAnsi="宋体" w:cs="宋体"/>
          <w:b/>
          <w:bCs/>
          <w:sz w:val="24"/>
          <w:szCs w:val="24"/>
        </w:rPr>
      </w:pPr>
      <w:r>
        <w:rPr>
          <w:rFonts w:hint="eastAsia" w:ascii="宋体" w:hAnsi="宋体" w:cs="宋体"/>
          <w:b/>
          <w:bCs/>
          <w:sz w:val="24"/>
          <w:szCs w:val="24"/>
        </w:rPr>
        <w:t>1.6 保密</w:t>
      </w:r>
    </w:p>
    <w:p>
      <w:pPr>
        <w:adjustRightInd w:val="0"/>
        <w:snapToGrid w:val="0"/>
        <w:spacing w:line="440" w:lineRule="exact"/>
        <w:ind w:right="31" w:rightChars="15" w:firstLine="480" w:firstLineChars="200"/>
        <w:rPr>
          <w:rFonts w:ascii="宋体" w:hAnsi="宋体" w:cs="宋体"/>
          <w:sz w:val="24"/>
          <w:szCs w:val="24"/>
        </w:rPr>
      </w:pPr>
      <w:r>
        <w:rPr>
          <w:rFonts w:hint="eastAsia" w:ascii="宋体" w:hAnsi="宋体" w:cs="宋体"/>
          <w:sz w:val="24"/>
          <w:szCs w:val="24"/>
        </w:rPr>
        <w:t>参与招标投标活动的各方应对招标文件和投标文件中的商业和技术等秘密保密，违者应对由此造成的后果承担法律责任。</w:t>
      </w:r>
    </w:p>
    <w:p>
      <w:pPr>
        <w:adjustRightInd w:val="0"/>
        <w:snapToGrid w:val="0"/>
        <w:spacing w:line="440" w:lineRule="exact"/>
        <w:ind w:firstLine="480" w:firstLineChars="200"/>
        <w:rPr>
          <w:rFonts w:ascii="宋体" w:hAnsi="宋体" w:cs="宋体"/>
          <w:b/>
          <w:bCs/>
          <w:sz w:val="24"/>
          <w:szCs w:val="24"/>
        </w:rPr>
      </w:pPr>
      <w:r>
        <w:rPr>
          <w:rFonts w:hint="eastAsia" w:ascii="宋体" w:hAnsi="宋体" w:cs="宋体"/>
          <w:b/>
          <w:bCs/>
          <w:sz w:val="24"/>
          <w:szCs w:val="24"/>
        </w:rPr>
        <w:t>1.7 语言文字</w:t>
      </w:r>
    </w:p>
    <w:p>
      <w:pPr>
        <w:adjustRightInd w:val="0"/>
        <w:snapToGrid w:val="0"/>
        <w:spacing w:line="440" w:lineRule="exact"/>
        <w:ind w:right="31" w:rightChars="15" w:firstLine="480" w:firstLineChars="200"/>
        <w:rPr>
          <w:rFonts w:ascii="宋体" w:hAnsi="宋体" w:cs="宋体"/>
          <w:sz w:val="24"/>
          <w:szCs w:val="24"/>
        </w:rPr>
      </w:pPr>
      <w:r>
        <w:rPr>
          <w:rFonts w:hint="eastAsia" w:ascii="宋体" w:hAnsi="宋体" w:cs="宋体"/>
          <w:sz w:val="24"/>
          <w:szCs w:val="24"/>
        </w:rPr>
        <w:t>除专用术语外，与招标投标有关的语言均使用中文。必要时专用术语应附有中文注释。</w:t>
      </w:r>
    </w:p>
    <w:p>
      <w:pPr>
        <w:adjustRightInd w:val="0"/>
        <w:snapToGrid w:val="0"/>
        <w:spacing w:line="440" w:lineRule="exact"/>
        <w:ind w:firstLine="480" w:firstLineChars="200"/>
        <w:rPr>
          <w:rFonts w:ascii="宋体" w:hAnsi="宋体" w:cs="宋体"/>
          <w:b/>
          <w:bCs/>
          <w:sz w:val="24"/>
          <w:szCs w:val="24"/>
        </w:rPr>
      </w:pPr>
      <w:r>
        <w:rPr>
          <w:rFonts w:hint="eastAsia" w:ascii="宋体" w:hAnsi="宋体" w:cs="宋体"/>
          <w:b/>
          <w:bCs/>
          <w:sz w:val="24"/>
          <w:szCs w:val="24"/>
        </w:rPr>
        <w:t>1.8 计量单位</w:t>
      </w:r>
    </w:p>
    <w:p>
      <w:pPr>
        <w:adjustRightInd w:val="0"/>
        <w:snapToGrid w:val="0"/>
        <w:spacing w:line="440" w:lineRule="exact"/>
        <w:ind w:right="31" w:rightChars="15" w:firstLine="480" w:firstLineChars="200"/>
        <w:rPr>
          <w:rFonts w:ascii="宋体" w:hAnsi="宋体" w:cs="宋体"/>
          <w:sz w:val="24"/>
          <w:szCs w:val="24"/>
        </w:rPr>
      </w:pPr>
      <w:r>
        <w:rPr>
          <w:rFonts w:hint="eastAsia" w:ascii="宋体" w:hAnsi="宋体" w:cs="宋体"/>
          <w:sz w:val="24"/>
          <w:szCs w:val="24"/>
        </w:rPr>
        <w:t>所有计量均采用中华人民共和国法定计量单位。</w:t>
      </w:r>
    </w:p>
    <w:p>
      <w:pPr>
        <w:adjustRightInd w:val="0"/>
        <w:snapToGrid w:val="0"/>
        <w:spacing w:line="440" w:lineRule="exact"/>
        <w:ind w:firstLine="480" w:firstLineChars="200"/>
        <w:rPr>
          <w:rFonts w:ascii="宋体" w:hAnsi="宋体" w:cs="宋体"/>
          <w:b/>
          <w:bCs/>
          <w:sz w:val="24"/>
          <w:szCs w:val="24"/>
        </w:rPr>
      </w:pPr>
      <w:r>
        <w:rPr>
          <w:rFonts w:hint="eastAsia" w:ascii="宋体" w:hAnsi="宋体" w:cs="宋体"/>
          <w:b/>
          <w:bCs/>
          <w:sz w:val="24"/>
          <w:szCs w:val="24"/>
        </w:rPr>
        <w:t>1.9</w:t>
      </w:r>
      <w:r>
        <w:rPr>
          <w:rFonts w:hint="eastAsia" w:ascii="宋体" w:hAnsi="宋体" w:cs="宋体"/>
          <w:b/>
          <w:bCs/>
          <w:sz w:val="24"/>
          <w:szCs w:val="24"/>
        </w:rPr>
        <w:tab/>
      </w:r>
      <w:r>
        <w:rPr>
          <w:rFonts w:hint="eastAsia" w:ascii="宋体" w:hAnsi="宋体" w:cs="宋体"/>
          <w:b/>
          <w:bCs/>
          <w:sz w:val="24"/>
          <w:szCs w:val="24"/>
        </w:rPr>
        <w:t>踏勘现场</w:t>
      </w:r>
    </w:p>
    <w:p>
      <w:pPr>
        <w:adjustRightInd w:val="0"/>
        <w:snapToGrid w:val="0"/>
        <w:spacing w:line="440" w:lineRule="exact"/>
        <w:ind w:firstLine="480" w:firstLineChars="200"/>
        <w:rPr>
          <w:rFonts w:ascii="宋体" w:hAnsi="宋体" w:cs="宋体"/>
          <w:sz w:val="24"/>
          <w:szCs w:val="24"/>
        </w:rPr>
      </w:pPr>
      <w:r>
        <w:rPr>
          <w:rFonts w:hint="eastAsia" w:ascii="宋体" w:hAnsi="宋体" w:cs="宋体"/>
          <w:sz w:val="24"/>
          <w:szCs w:val="24"/>
        </w:rPr>
        <w:t>不组织，供应商自行踏勘。</w:t>
      </w:r>
    </w:p>
    <w:p>
      <w:pPr>
        <w:adjustRightInd w:val="0"/>
        <w:snapToGrid w:val="0"/>
        <w:spacing w:line="440" w:lineRule="exact"/>
        <w:ind w:firstLine="480" w:firstLineChars="200"/>
        <w:rPr>
          <w:rFonts w:ascii="宋体" w:hAnsi="宋体" w:cs="宋体"/>
          <w:b/>
          <w:bCs/>
          <w:sz w:val="24"/>
          <w:szCs w:val="24"/>
        </w:rPr>
      </w:pPr>
      <w:r>
        <w:rPr>
          <w:rFonts w:hint="eastAsia" w:ascii="宋体" w:hAnsi="宋体" w:cs="宋体"/>
          <w:b/>
          <w:bCs/>
          <w:sz w:val="24"/>
          <w:szCs w:val="24"/>
        </w:rPr>
        <w:t>1.10</w:t>
      </w:r>
      <w:r>
        <w:rPr>
          <w:rFonts w:hint="eastAsia" w:ascii="宋体" w:hAnsi="宋体" w:cs="宋体"/>
          <w:b/>
          <w:bCs/>
          <w:sz w:val="24"/>
          <w:szCs w:val="24"/>
        </w:rPr>
        <w:tab/>
      </w:r>
      <w:r>
        <w:rPr>
          <w:rFonts w:hint="eastAsia" w:ascii="宋体" w:hAnsi="宋体" w:cs="宋体"/>
          <w:b/>
          <w:bCs/>
          <w:sz w:val="24"/>
          <w:szCs w:val="24"/>
        </w:rPr>
        <w:t>投标预备会</w:t>
      </w:r>
    </w:p>
    <w:p>
      <w:pPr>
        <w:adjustRightInd w:val="0"/>
        <w:snapToGrid w:val="0"/>
        <w:spacing w:line="440" w:lineRule="exact"/>
        <w:ind w:firstLine="480" w:firstLineChars="200"/>
        <w:rPr>
          <w:rFonts w:ascii="宋体" w:hAnsi="宋体" w:cs="宋体"/>
          <w:sz w:val="24"/>
          <w:szCs w:val="24"/>
        </w:rPr>
      </w:pPr>
      <w:r>
        <w:rPr>
          <w:rFonts w:hint="eastAsia" w:ascii="宋体" w:hAnsi="宋体" w:cs="宋体"/>
          <w:sz w:val="24"/>
          <w:szCs w:val="24"/>
        </w:rPr>
        <w:t>不召开。</w:t>
      </w:r>
    </w:p>
    <w:p>
      <w:pPr>
        <w:adjustRightInd w:val="0"/>
        <w:snapToGrid w:val="0"/>
        <w:spacing w:line="440" w:lineRule="exact"/>
        <w:ind w:firstLine="480" w:firstLineChars="200"/>
        <w:rPr>
          <w:rFonts w:ascii="宋体" w:hAnsi="宋体" w:cs="宋体"/>
          <w:b/>
          <w:bCs/>
          <w:sz w:val="24"/>
          <w:szCs w:val="24"/>
        </w:rPr>
      </w:pPr>
      <w:r>
        <w:rPr>
          <w:rFonts w:hint="eastAsia" w:ascii="宋体" w:hAnsi="宋体" w:cs="宋体"/>
          <w:b/>
          <w:bCs/>
          <w:sz w:val="24"/>
          <w:szCs w:val="24"/>
        </w:rPr>
        <w:t>1.11 分包</w:t>
      </w:r>
    </w:p>
    <w:p>
      <w:pPr>
        <w:adjustRightInd w:val="0"/>
        <w:snapToGrid w:val="0"/>
        <w:spacing w:line="440" w:lineRule="exact"/>
        <w:ind w:right="31" w:rightChars="15" w:firstLine="480" w:firstLineChars="200"/>
        <w:rPr>
          <w:rFonts w:ascii="宋体" w:hAnsi="宋体" w:cs="宋体"/>
          <w:sz w:val="24"/>
          <w:szCs w:val="24"/>
        </w:rPr>
      </w:pPr>
      <w:r>
        <w:rPr>
          <w:rFonts w:hint="eastAsia" w:ascii="宋体" w:hAnsi="宋体" w:cs="宋体"/>
          <w:sz w:val="24"/>
          <w:szCs w:val="24"/>
        </w:rPr>
        <w:t>本项目严禁转包和违规分包，且不得再次分包。</w:t>
      </w:r>
    </w:p>
    <w:p>
      <w:pPr>
        <w:pStyle w:val="6"/>
        <w:ind w:firstLine="480" w:firstLineChars="200"/>
        <w:jc w:val="left"/>
        <w:rPr>
          <w:rFonts w:ascii="宋体" w:hAnsi="宋体" w:cs="宋体"/>
          <w:sz w:val="24"/>
        </w:rPr>
      </w:pPr>
      <w:r>
        <w:rPr>
          <w:rFonts w:hint="eastAsia" w:ascii="宋体" w:hAnsi="宋体" w:cs="宋体"/>
          <w:sz w:val="24"/>
        </w:rPr>
        <w:t>2.招标文件</w:t>
      </w:r>
    </w:p>
    <w:p>
      <w:pPr>
        <w:adjustRightInd w:val="0"/>
        <w:snapToGrid w:val="0"/>
        <w:spacing w:line="440" w:lineRule="exact"/>
        <w:ind w:firstLine="480" w:firstLineChars="200"/>
        <w:rPr>
          <w:rFonts w:ascii="宋体" w:hAnsi="宋体" w:cs="宋体"/>
          <w:b/>
          <w:bCs/>
          <w:sz w:val="24"/>
          <w:szCs w:val="24"/>
        </w:rPr>
      </w:pPr>
      <w:r>
        <w:rPr>
          <w:rFonts w:hint="eastAsia" w:ascii="宋体" w:hAnsi="宋体" w:cs="宋体"/>
          <w:b/>
          <w:bCs/>
          <w:sz w:val="24"/>
          <w:szCs w:val="24"/>
        </w:rPr>
        <w:t>2.1 招标文件的组成</w:t>
      </w:r>
    </w:p>
    <w:p>
      <w:pPr>
        <w:adjustRightInd w:val="0"/>
        <w:snapToGrid w:val="0"/>
        <w:spacing w:line="440" w:lineRule="exact"/>
        <w:ind w:right="31" w:rightChars="15" w:firstLine="480" w:firstLineChars="200"/>
        <w:rPr>
          <w:rFonts w:ascii="宋体" w:hAnsi="宋体" w:cs="宋体"/>
          <w:sz w:val="24"/>
          <w:szCs w:val="24"/>
        </w:rPr>
      </w:pPr>
      <w:r>
        <w:rPr>
          <w:rFonts w:hint="eastAsia" w:ascii="宋体" w:hAnsi="宋体" w:cs="宋体"/>
          <w:sz w:val="24"/>
          <w:szCs w:val="24"/>
        </w:rPr>
        <w:t>本招标文件包括：</w:t>
      </w:r>
    </w:p>
    <w:p>
      <w:pPr>
        <w:adjustRightInd w:val="0"/>
        <w:snapToGrid w:val="0"/>
        <w:spacing w:line="440" w:lineRule="exact"/>
        <w:ind w:right="31" w:rightChars="15" w:firstLine="480" w:firstLineChars="200"/>
        <w:rPr>
          <w:rFonts w:ascii="宋体" w:hAnsi="宋体" w:cs="宋体"/>
          <w:sz w:val="24"/>
          <w:szCs w:val="24"/>
        </w:rPr>
      </w:pPr>
      <w:r>
        <w:rPr>
          <w:rFonts w:hint="eastAsia" w:ascii="宋体" w:hAnsi="宋体" w:cs="宋体"/>
          <w:sz w:val="24"/>
          <w:szCs w:val="24"/>
        </w:rPr>
        <w:t>（1）招标公告；</w:t>
      </w:r>
    </w:p>
    <w:p>
      <w:pPr>
        <w:adjustRightInd w:val="0"/>
        <w:snapToGrid w:val="0"/>
        <w:spacing w:line="440" w:lineRule="exact"/>
        <w:ind w:right="31" w:rightChars="15" w:firstLine="480" w:firstLineChars="200"/>
        <w:rPr>
          <w:rFonts w:ascii="宋体" w:hAnsi="宋体" w:cs="宋体"/>
          <w:sz w:val="24"/>
          <w:szCs w:val="24"/>
        </w:rPr>
      </w:pPr>
      <w:r>
        <w:rPr>
          <w:rFonts w:hint="eastAsia" w:ascii="宋体" w:hAnsi="宋体" w:cs="宋体"/>
          <w:sz w:val="24"/>
          <w:szCs w:val="24"/>
        </w:rPr>
        <w:t>（2）供应商须知；</w:t>
      </w:r>
    </w:p>
    <w:p>
      <w:pPr>
        <w:adjustRightInd w:val="0"/>
        <w:snapToGrid w:val="0"/>
        <w:spacing w:line="440" w:lineRule="exact"/>
        <w:ind w:right="31" w:rightChars="15" w:firstLine="480" w:firstLineChars="200"/>
        <w:rPr>
          <w:rFonts w:ascii="宋体" w:hAnsi="宋体" w:cs="宋体"/>
          <w:sz w:val="24"/>
          <w:szCs w:val="24"/>
        </w:rPr>
      </w:pPr>
      <w:r>
        <w:rPr>
          <w:rFonts w:hint="eastAsia" w:ascii="宋体" w:hAnsi="宋体" w:cs="宋体"/>
          <w:sz w:val="24"/>
          <w:szCs w:val="24"/>
        </w:rPr>
        <w:t xml:space="preserve">（3）采购清单； </w:t>
      </w:r>
    </w:p>
    <w:p>
      <w:pPr>
        <w:adjustRightInd w:val="0"/>
        <w:snapToGrid w:val="0"/>
        <w:spacing w:line="440" w:lineRule="exact"/>
        <w:ind w:right="31" w:rightChars="15" w:firstLine="480" w:firstLineChars="200"/>
        <w:rPr>
          <w:rFonts w:ascii="宋体" w:hAnsi="宋体" w:cs="宋体"/>
          <w:sz w:val="24"/>
          <w:szCs w:val="24"/>
        </w:rPr>
      </w:pPr>
      <w:r>
        <w:rPr>
          <w:rFonts w:hint="eastAsia" w:ascii="宋体" w:hAnsi="宋体" w:cs="宋体"/>
          <w:sz w:val="24"/>
          <w:szCs w:val="24"/>
        </w:rPr>
        <w:t>（4）合同条款及格式；</w:t>
      </w:r>
    </w:p>
    <w:p>
      <w:pPr>
        <w:adjustRightInd w:val="0"/>
        <w:snapToGrid w:val="0"/>
        <w:spacing w:line="440" w:lineRule="exact"/>
        <w:ind w:right="31" w:rightChars="15" w:firstLine="480" w:firstLineChars="200"/>
        <w:rPr>
          <w:rFonts w:ascii="宋体" w:hAnsi="宋体" w:cs="宋体"/>
          <w:sz w:val="24"/>
          <w:szCs w:val="24"/>
        </w:rPr>
      </w:pPr>
      <w:r>
        <w:rPr>
          <w:rFonts w:hint="eastAsia" w:ascii="宋体" w:hAnsi="宋体" w:cs="宋体"/>
          <w:sz w:val="24"/>
          <w:szCs w:val="24"/>
        </w:rPr>
        <w:t>（5）投标文件格式；</w:t>
      </w:r>
    </w:p>
    <w:p>
      <w:pPr>
        <w:adjustRightInd w:val="0"/>
        <w:snapToGrid w:val="0"/>
        <w:spacing w:line="440" w:lineRule="exact"/>
        <w:ind w:firstLine="480" w:firstLineChars="200"/>
        <w:rPr>
          <w:rFonts w:ascii="宋体" w:hAnsi="宋体" w:cs="宋体"/>
          <w:b/>
          <w:bCs/>
          <w:sz w:val="24"/>
          <w:szCs w:val="24"/>
        </w:rPr>
      </w:pPr>
      <w:r>
        <w:rPr>
          <w:rFonts w:hint="eastAsia" w:ascii="宋体" w:hAnsi="宋体" w:cs="宋体"/>
          <w:b/>
          <w:bCs/>
          <w:sz w:val="24"/>
          <w:szCs w:val="24"/>
        </w:rPr>
        <w:t>2.2 招标文件的澄清</w:t>
      </w:r>
    </w:p>
    <w:p>
      <w:pPr>
        <w:adjustRightInd w:val="0"/>
        <w:snapToGrid w:val="0"/>
        <w:spacing w:line="440" w:lineRule="exact"/>
        <w:ind w:right="31" w:rightChars="15" w:firstLine="480" w:firstLineChars="200"/>
        <w:rPr>
          <w:rFonts w:ascii="宋体" w:hAnsi="宋体" w:cs="宋体"/>
          <w:sz w:val="24"/>
          <w:szCs w:val="24"/>
        </w:rPr>
      </w:pPr>
      <w:r>
        <w:rPr>
          <w:rFonts w:hint="eastAsia" w:ascii="宋体" w:hAnsi="宋体" w:cs="宋体"/>
          <w:sz w:val="24"/>
          <w:szCs w:val="24"/>
        </w:rPr>
        <w:t>2.2.1 供应商应仔细阅读和检查招标文件的全部内容。如发现缺页或附件不全，应及时向招标人提出，以便补齐。如有疑问，应在质疑期限内要求招标人对招标文件予以澄清。</w:t>
      </w:r>
    </w:p>
    <w:p>
      <w:pPr>
        <w:adjustRightInd w:val="0"/>
        <w:snapToGrid w:val="0"/>
        <w:spacing w:line="440" w:lineRule="exact"/>
        <w:ind w:right="31" w:rightChars="15" w:firstLine="480" w:firstLineChars="200"/>
        <w:rPr>
          <w:rFonts w:ascii="宋体" w:hAnsi="宋体" w:cs="宋体"/>
          <w:sz w:val="24"/>
          <w:szCs w:val="24"/>
        </w:rPr>
      </w:pPr>
      <w:r>
        <w:rPr>
          <w:rFonts w:hint="eastAsia" w:ascii="宋体" w:hAnsi="宋体" w:cs="宋体"/>
          <w:sz w:val="24"/>
          <w:szCs w:val="24"/>
        </w:rPr>
        <w:t>2.2.2招标文件的澄清将在供应商须知前附表规定的投标截止时间15天前在网上通知所有购买招标文件的供应商，但不指明澄清问题的来源。如果澄清的内容可能影响投标文件编制的，发出的时间距投标截止时间不足15天，相应延长投标截止时间。</w:t>
      </w:r>
    </w:p>
    <w:p>
      <w:pPr>
        <w:adjustRightInd w:val="0"/>
        <w:snapToGrid w:val="0"/>
        <w:spacing w:line="440" w:lineRule="exact"/>
        <w:ind w:firstLine="480" w:firstLineChars="200"/>
        <w:rPr>
          <w:rFonts w:ascii="宋体" w:hAnsi="宋体" w:cs="宋体"/>
          <w:b/>
          <w:bCs/>
          <w:sz w:val="24"/>
          <w:szCs w:val="24"/>
        </w:rPr>
      </w:pPr>
      <w:r>
        <w:rPr>
          <w:rFonts w:hint="eastAsia" w:ascii="宋体" w:hAnsi="宋体" w:cs="宋体"/>
          <w:b/>
          <w:bCs/>
          <w:sz w:val="24"/>
          <w:szCs w:val="24"/>
        </w:rPr>
        <w:t>2.3 招标文件的修改</w:t>
      </w:r>
    </w:p>
    <w:p>
      <w:pPr>
        <w:adjustRightInd w:val="0"/>
        <w:snapToGrid w:val="0"/>
        <w:spacing w:line="440" w:lineRule="exact"/>
        <w:ind w:right="31" w:rightChars="15" w:firstLine="480" w:firstLineChars="200"/>
        <w:rPr>
          <w:rFonts w:ascii="宋体" w:hAnsi="宋体" w:cs="宋体"/>
          <w:sz w:val="24"/>
          <w:szCs w:val="24"/>
        </w:rPr>
      </w:pPr>
      <w:r>
        <w:rPr>
          <w:rFonts w:hint="eastAsia" w:ascii="宋体" w:hAnsi="宋体" w:cs="宋体"/>
          <w:sz w:val="24"/>
          <w:szCs w:val="24"/>
        </w:rPr>
        <w:t>在投标截止时间15天前，招标人可以书面形式修改招标文件。如果修改招标文件的时间距投标截止时间不足15天，相应延长投标截止时间。</w:t>
      </w:r>
    </w:p>
    <w:p>
      <w:pPr>
        <w:pStyle w:val="6"/>
        <w:ind w:firstLine="480" w:firstLineChars="200"/>
        <w:jc w:val="left"/>
        <w:rPr>
          <w:rFonts w:ascii="宋体" w:hAnsi="宋体" w:cs="宋体"/>
          <w:sz w:val="24"/>
        </w:rPr>
      </w:pPr>
      <w:r>
        <w:rPr>
          <w:rFonts w:hint="eastAsia" w:ascii="宋体" w:hAnsi="宋体" w:cs="宋体"/>
          <w:sz w:val="24"/>
        </w:rPr>
        <w:t>3.投标文件</w:t>
      </w:r>
    </w:p>
    <w:p>
      <w:pPr>
        <w:adjustRightInd w:val="0"/>
        <w:snapToGrid w:val="0"/>
        <w:spacing w:line="440" w:lineRule="exact"/>
        <w:ind w:firstLine="480" w:firstLineChars="200"/>
        <w:rPr>
          <w:rFonts w:ascii="宋体" w:hAnsi="宋体" w:cs="宋体"/>
          <w:b/>
          <w:bCs/>
          <w:sz w:val="24"/>
          <w:szCs w:val="24"/>
        </w:rPr>
      </w:pPr>
      <w:r>
        <w:rPr>
          <w:rFonts w:hint="eastAsia" w:ascii="宋体" w:hAnsi="宋体" w:cs="宋体"/>
          <w:b/>
          <w:bCs/>
          <w:sz w:val="24"/>
          <w:szCs w:val="24"/>
        </w:rPr>
        <w:t>3.1 投标文件的组成</w:t>
      </w:r>
    </w:p>
    <w:p>
      <w:pPr>
        <w:adjustRightInd w:val="0"/>
        <w:snapToGrid w:val="0"/>
        <w:spacing w:line="440" w:lineRule="exact"/>
        <w:ind w:firstLine="480" w:firstLineChars="200"/>
        <w:rPr>
          <w:rFonts w:ascii="宋体" w:hAnsi="宋体" w:cs="宋体"/>
          <w:sz w:val="24"/>
          <w:szCs w:val="24"/>
        </w:rPr>
      </w:pPr>
      <w:r>
        <w:rPr>
          <w:rFonts w:hint="eastAsia" w:ascii="宋体" w:hAnsi="宋体" w:cs="宋体"/>
          <w:sz w:val="24"/>
          <w:szCs w:val="24"/>
        </w:rPr>
        <w:t>（1）投标函及投标函附录</w:t>
      </w:r>
    </w:p>
    <w:p>
      <w:pPr>
        <w:adjustRightInd w:val="0"/>
        <w:snapToGrid w:val="0"/>
        <w:spacing w:line="440" w:lineRule="exact"/>
        <w:ind w:firstLine="480" w:firstLineChars="200"/>
        <w:rPr>
          <w:rFonts w:ascii="宋体" w:hAnsi="宋体" w:cs="宋体"/>
          <w:sz w:val="24"/>
          <w:szCs w:val="24"/>
        </w:rPr>
      </w:pPr>
      <w:r>
        <w:rPr>
          <w:rFonts w:hint="eastAsia" w:ascii="宋体" w:hAnsi="宋体" w:cs="宋体"/>
          <w:sz w:val="24"/>
          <w:szCs w:val="24"/>
        </w:rPr>
        <w:t>（2）分项报价明细表</w:t>
      </w:r>
    </w:p>
    <w:p>
      <w:pPr>
        <w:adjustRightInd w:val="0"/>
        <w:snapToGrid w:val="0"/>
        <w:spacing w:line="440" w:lineRule="exact"/>
        <w:ind w:firstLine="480" w:firstLineChars="200"/>
        <w:rPr>
          <w:rFonts w:ascii="宋体" w:hAnsi="宋体" w:cs="宋体"/>
          <w:sz w:val="24"/>
          <w:szCs w:val="24"/>
        </w:rPr>
      </w:pPr>
      <w:r>
        <w:rPr>
          <w:rFonts w:hint="eastAsia" w:ascii="宋体" w:hAnsi="宋体" w:cs="宋体"/>
          <w:sz w:val="24"/>
          <w:szCs w:val="24"/>
        </w:rPr>
        <w:t>（3）法定代表人身份证明</w:t>
      </w:r>
    </w:p>
    <w:p>
      <w:pPr>
        <w:adjustRightInd w:val="0"/>
        <w:snapToGrid w:val="0"/>
        <w:spacing w:line="440" w:lineRule="exact"/>
        <w:ind w:firstLine="480" w:firstLineChars="200"/>
        <w:rPr>
          <w:rFonts w:ascii="宋体" w:hAnsi="宋体" w:cs="宋体"/>
          <w:sz w:val="24"/>
          <w:szCs w:val="24"/>
        </w:rPr>
      </w:pPr>
      <w:r>
        <w:rPr>
          <w:rFonts w:hint="eastAsia" w:ascii="宋体" w:hAnsi="宋体" w:cs="宋体"/>
          <w:sz w:val="24"/>
          <w:szCs w:val="24"/>
        </w:rPr>
        <w:t>（4）授权委托书</w:t>
      </w:r>
    </w:p>
    <w:p>
      <w:pPr>
        <w:adjustRightInd w:val="0"/>
        <w:snapToGrid w:val="0"/>
        <w:spacing w:line="440" w:lineRule="exact"/>
        <w:ind w:firstLine="480" w:firstLineChars="200"/>
        <w:rPr>
          <w:rFonts w:ascii="宋体" w:hAnsi="宋体" w:cs="宋体"/>
          <w:sz w:val="24"/>
          <w:szCs w:val="24"/>
        </w:rPr>
      </w:pPr>
      <w:r>
        <w:rPr>
          <w:rFonts w:hint="eastAsia" w:ascii="宋体" w:hAnsi="宋体" w:cs="宋体"/>
          <w:sz w:val="24"/>
          <w:szCs w:val="24"/>
        </w:rPr>
        <w:t>（5）技术部分</w:t>
      </w:r>
    </w:p>
    <w:p>
      <w:pPr>
        <w:adjustRightInd w:val="0"/>
        <w:snapToGrid w:val="0"/>
        <w:spacing w:line="440" w:lineRule="exact"/>
        <w:ind w:firstLine="480" w:firstLineChars="200"/>
        <w:rPr>
          <w:rFonts w:ascii="宋体" w:hAnsi="宋体" w:cs="宋体"/>
          <w:sz w:val="24"/>
          <w:szCs w:val="24"/>
        </w:rPr>
      </w:pPr>
      <w:r>
        <w:rPr>
          <w:rFonts w:hint="eastAsia" w:ascii="宋体" w:hAnsi="宋体" w:cs="宋体"/>
          <w:sz w:val="24"/>
          <w:szCs w:val="24"/>
        </w:rPr>
        <w:t>（6）资格审查资料</w:t>
      </w:r>
    </w:p>
    <w:p>
      <w:pPr>
        <w:adjustRightInd w:val="0"/>
        <w:snapToGrid w:val="0"/>
        <w:spacing w:line="440" w:lineRule="exact"/>
        <w:ind w:firstLine="480" w:firstLineChars="200"/>
        <w:rPr>
          <w:rFonts w:ascii="宋体" w:hAnsi="宋体" w:cs="宋体"/>
          <w:sz w:val="24"/>
          <w:szCs w:val="24"/>
        </w:rPr>
      </w:pPr>
      <w:r>
        <w:rPr>
          <w:rFonts w:hint="eastAsia" w:ascii="宋体" w:hAnsi="宋体" w:cs="宋体"/>
          <w:sz w:val="24"/>
          <w:szCs w:val="24"/>
        </w:rPr>
        <w:t>（7）服务方案及承诺</w:t>
      </w:r>
    </w:p>
    <w:p>
      <w:pPr>
        <w:adjustRightInd w:val="0"/>
        <w:snapToGrid w:val="0"/>
        <w:spacing w:line="440" w:lineRule="exact"/>
        <w:ind w:firstLine="480" w:firstLineChars="200"/>
        <w:rPr>
          <w:rFonts w:ascii="宋体" w:hAnsi="宋体" w:cs="宋体"/>
          <w:sz w:val="24"/>
          <w:szCs w:val="24"/>
        </w:rPr>
      </w:pPr>
      <w:r>
        <w:rPr>
          <w:rFonts w:hint="eastAsia" w:ascii="宋体" w:hAnsi="宋体" w:cs="宋体"/>
          <w:sz w:val="24"/>
          <w:szCs w:val="24"/>
        </w:rPr>
        <w:t>（8）反商业贿赂承诺书</w:t>
      </w:r>
    </w:p>
    <w:p>
      <w:pPr>
        <w:adjustRightInd w:val="0"/>
        <w:snapToGrid w:val="0"/>
        <w:spacing w:line="440" w:lineRule="exact"/>
        <w:ind w:firstLine="480" w:firstLineChars="200"/>
        <w:rPr>
          <w:rFonts w:ascii="宋体" w:hAnsi="宋体" w:cs="宋体"/>
          <w:sz w:val="24"/>
          <w:szCs w:val="24"/>
        </w:rPr>
      </w:pPr>
      <w:r>
        <w:rPr>
          <w:rFonts w:hint="eastAsia" w:ascii="宋体" w:hAnsi="宋体" w:cs="宋体"/>
          <w:sz w:val="24"/>
          <w:szCs w:val="24"/>
        </w:rPr>
        <w:t>（9）投标诚信承诺</w:t>
      </w:r>
    </w:p>
    <w:p>
      <w:pPr>
        <w:adjustRightInd w:val="0"/>
        <w:snapToGrid w:val="0"/>
        <w:spacing w:line="440" w:lineRule="exact"/>
        <w:ind w:firstLine="480" w:firstLineChars="200"/>
        <w:rPr>
          <w:rFonts w:ascii="宋体" w:hAnsi="宋体" w:cs="宋体"/>
          <w:sz w:val="24"/>
          <w:szCs w:val="24"/>
        </w:rPr>
      </w:pPr>
      <w:r>
        <w:rPr>
          <w:rFonts w:hint="eastAsia" w:ascii="宋体" w:hAnsi="宋体" w:cs="宋体"/>
          <w:sz w:val="24"/>
          <w:szCs w:val="24"/>
        </w:rPr>
        <w:t>（10）供应商认为需要提交的其他资料</w:t>
      </w:r>
    </w:p>
    <w:p>
      <w:pPr>
        <w:adjustRightInd w:val="0"/>
        <w:snapToGrid w:val="0"/>
        <w:spacing w:line="440" w:lineRule="exact"/>
        <w:ind w:firstLine="480" w:firstLineChars="200"/>
        <w:rPr>
          <w:rFonts w:ascii="宋体" w:hAnsi="宋体" w:cs="宋体"/>
          <w:b/>
          <w:bCs/>
          <w:sz w:val="24"/>
          <w:szCs w:val="24"/>
        </w:rPr>
      </w:pPr>
      <w:r>
        <w:rPr>
          <w:rFonts w:hint="eastAsia" w:ascii="宋体" w:hAnsi="宋体" w:cs="宋体"/>
          <w:b/>
          <w:bCs/>
          <w:sz w:val="24"/>
          <w:szCs w:val="24"/>
        </w:rPr>
        <w:t>3.2 投标报价</w:t>
      </w:r>
    </w:p>
    <w:p>
      <w:pPr>
        <w:adjustRightInd w:val="0"/>
        <w:snapToGrid w:val="0"/>
        <w:spacing w:line="440" w:lineRule="exact"/>
        <w:ind w:right="31" w:rightChars="15" w:firstLine="480" w:firstLineChars="200"/>
        <w:rPr>
          <w:rFonts w:ascii="宋体" w:hAnsi="宋体" w:cs="宋体"/>
          <w:b/>
          <w:bCs/>
          <w:sz w:val="24"/>
          <w:szCs w:val="24"/>
        </w:rPr>
      </w:pPr>
      <w:r>
        <w:rPr>
          <w:rFonts w:hint="eastAsia" w:ascii="宋体" w:hAnsi="宋体" w:cs="宋体"/>
          <w:b/>
          <w:bCs/>
          <w:sz w:val="24"/>
          <w:szCs w:val="24"/>
        </w:rPr>
        <w:t>3.2.1本项目设置招标最高限价，供应商的投标报价超出招标最高限价的，按废标处理。</w:t>
      </w:r>
    </w:p>
    <w:p>
      <w:pPr>
        <w:adjustRightInd w:val="0"/>
        <w:snapToGrid w:val="0"/>
        <w:spacing w:line="440" w:lineRule="exact"/>
        <w:ind w:right="31" w:rightChars="15" w:firstLine="480" w:firstLineChars="200"/>
        <w:rPr>
          <w:rFonts w:ascii="宋体" w:hAnsi="宋体" w:cs="宋体"/>
          <w:sz w:val="24"/>
          <w:szCs w:val="24"/>
        </w:rPr>
      </w:pPr>
      <w:r>
        <w:rPr>
          <w:rFonts w:hint="eastAsia" w:ascii="宋体" w:hAnsi="宋体" w:cs="宋体"/>
          <w:sz w:val="24"/>
          <w:szCs w:val="24"/>
        </w:rPr>
        <w:t>3.2.2供应商的投标报价应参考国家相关收费标准，结合本项目实际情况和自身实力按照市场价自主合理报价。</w:t>
      </w:r>
    </w:p>
    <w:p>
      <w:pPr>
        <w:adjustRightInd w:val="0"/>
        <w:snapToGrid w:val="0"/>
        <w:spacing w:line="440" w:lineRule="exact"/>
        <w:ind w:firstLine="480" w:firstLineChars="200"/>
        <w:rPr>
          <w:rFonts w:ascii="宋体" w:hAnsi="宋体" w:cs="宋体"/>
          <w:b/>
          <w:bCs/>
          <w:sz w:val="24"/>
          <w:szCs w:val="24"/>
        </w:rPr>
      </w:pPr>
      <w:r>
        <w:rPr>
          <w:rFonts w:hint="eastAsia" w:ascii="宋体" w:hAnsi="宋体" w:cs="宋体"/>
          <w:b/>
          <w:bCs/>
          <w:sz w:val="24"/>
          <w:szCs w:val="24"/>
        </w:rPr>
        <w:t>3.3 投标有效期</w:t>
      </w:r>
    </w:p>
    <w:p>
      <w:pPr>
        <w:adjustRightInd w:val="0"/>
        <w:snapToGrid w:val="0"/>
        <w:spacing w:line="440" w:lineRule="exact"/>
        <w:ind w:right="31" w:rightChars="15" w:firstLine="480" w:firstLineChars="200"/>
        <w:rPr>
          <w:rFonts w:ascii="宋体" w:hAnsi="宋体" w:cs="宋体"/>
          <w:sz w:val="24"/>
          <w:szCs w:val="24"/>
        </w:rPr>
      </w:pPr>
      <w:r>
        <w:rPr>
          <w:rFonts w:hint="eastAsia" w:ascii="宋体" w:hAnsi="宋体" w:cs="宋体"/>
          <w:sz w:val="24"/>
          <w:szCs w:val="24"/>
        </w:rPr>
        <w:t>3.3.1 在“供应商须知前附表”规定的投标有效期内，供应商不得要求撤销或修改其投标文件。</w:t>
      </w:r>
    </w:p>
    <w:p>
      <w:pPr>
        <w:adjustRightInd w:val="0"/>
        <w:snapToGrid w:val="0"/>
        <w:spacing w:line="440" w:lineRule="exact"/>
        <w:ind w:right="31" w:rightChars="15" w:firstLine="480" w:firstLineChars="200"/>
        <w:rPr>
          <w:rFonts w:ascii="宋体" w:hAnsi="宋体" w:cs="宋体"/>
          <w:sz w:val="24"/>
          <w:szCs w:val="24"/>
        </w:rPr>
      </w:pPr>
      <w:r>
        <w:rPr>
          <w:rFonts w:hint="eastAsia" w:ascii="宋体" w:hAnsi="宋体" w:cs="宋体"/>
          <w:sz w:val="24"/>
          <w:szCs w:val="24"/>
        </w:rPr>
        <w:t>3.3.2在特殊情况下，招标人可与供应商协商延长投标文件的有效期。这种要求和答复都应以书面形式进行。同意延长有效期的供应商除按照招标人要求修改投标文件有效期外，不能修改投标文件的其他内容。</w:t>
      </w:r>
    </w:p>
    <w:p>
      <w:pPr>
        <w:adjustRightInd w:val="0"/>
        <w:snapToGrid w:val="0"/>
        <w:spacing w:line="440" w:lineRule="exact"/>
        <w:ind w:firstLine="480" w:firstLineChars="200"/>
        <w:rPr>
          <w:rFonts w:ascii="宋体" w:hAnsi="宋体" w:cs="宋体"/>
          <w:b/>
          <w:bCs/>
          <w:sz w:val="24"/>
          <w:szCs w:val="24"/>
        </w:rPr>
      </w:pPr>
      <w:r>
        <w:rPr>
          <w:rFonts w:hint="eastAsia" w:ascii="宋体" w:hAnsi="宋体" w:cs="宋体"/>
          <w:b/>
          <w:bCs/>
          <w:sz w:val="24"/>
          <w:szCs w:val="24"/>
        </w:rPr>
        <w:t>3.4 投标保证金</w:t>
      </w:r>
    </w:p>
    <w:p>
      <w:pPr>
        <w:adjustRightInd w:val="0"/>
        <w:snapToGrid w:val="0"/>
        <w:spacing w:line="440" w:lineRule="exact"/>
        <w:ind w:right="31" w:rightChars="15" w:firstLine="480" w:firstLineChars="200"/>
        <w:rPr>
          <w:rFonts w:ascii="宋体" w:hAnsi="宋体" w:cs="宋体"/>
          <w:sz w:val="24"/>
          <w:szCs w:val="24"/>
        </w:rPr>
      </w:pPr>
      <w:r>
        <w:rPr>
          <w:rFonts w:hint="eastAsia" w:ascii="宋体" w:hAnsi="宋体" w:cs="宋体"/>
          <w:sz w:val="24"/>
          <w:szCs w:val="24"/>
        </w:rPr>
        <w:t>本项目无需交纳投标保证金。</w:t>
      </w:r>
    </w:p>
    <w:p>
      <w:pPr>
        <w:adjustRightInd w:val="0"/>
        <w:snapToGrid w:val="0"/>
        <w:spacing w:line="440" w:lineRule="exact"/>
        <w:ind w:firstLine="480" w:firstLineChars="200"/>
        <w:rPr>
          <w:rFonts w:ascii="宋体" w:hAnsi="宋体" w:cs="宋体"/>
          <w:b/>
          <w:bCs/>
          <w:sz w:val="24"/>
          <w:szCs w:val="24"/>
        </w:rPr>
      </w:pPr>
      <w:r>
        <w:rPr>
          <w:rFonts w:hint="eastAsia" w:ascii="宋体" w:hAnsi="宋体" w:cs="宋体"/>
          <w:b/>
          <w:bCs/>
          <w:sz w:val="24"/>
          <w:szCs w:val="24"/>
        </w:rPr>
        <w:t>3.5 投标文件的编制</w:t>
      </w:r>
    </w:p>
    <w:p>
      <w:pPr>
        <w:adjustRightInd w:val="0"/>
        <w:snapToGrid w:val="0"/>
        <w:spacing w:line="440" w:lineRule="exact"/>
        <w:ind w:right="31" w:rightChars="15" w:firstLine="480" w:firstLineChars="200"/>
        <w:rPr>
          <w:rFonts w:ascii="宋体" w:hAnsi="宋体" w:cs="宋体"/>
          <w:sz w:val="24"/>
          <w:szCs w:val="24"/>
        </w:rPr>
      </w:pPr>
      <w:r>
        <w:rPr>
          <w:rFonts w:hint="eastAsia" w:ascii="宋体" w:hAnsi="宋体" w:cs="宋体"/>
          <w:sz w:val="24"/>
          <w:szCs w:val="24"/>
        </w:rPr>
        <w:t>3.5.1投标文件应参考第五章“投标文件格式”进行编写，如有必要，可以增加附页，作为投标文件的组成部分。</w:t>
      </w:r>
    </w:p>
    <w:p>
      <w:pPr>
        <w:adjustRightInd w:val="0"/>
        <w:snapToGrid w:val="0"/>
        <w:spacing w:line="440" w:lineRule="exact"/>
        <w:ind w:right="31" w:rightChars="15" w:firstLine="480" w:firstLineChars="200"/>
        <w:rPr>
          <w:rFonts w:ascii="宋体" w:hAnsi="宋体" w:cs="宋体"/>
          <w:sz w:val="24"/>
          <w:szCs w:val="24"/>
        </w:rPr>
      </w:pPr>
      <w:r>
        <w:rPr>
          <w:rFonts w:hint="eastAsia" w:ascii="宋体" w:hAnsi="宋体" w:cs="宋体"/>
          <w:sz w:val="24"/>
          <w:szCs w:val="24"/>
        </w:rPr>
        <w:t>3.5.2 投标文件应当对招标文件有关供货期、投标有效期、技术要求、招标范围等实质性内容作出响应。</w:t>
      </w:r>
    </w:p>
    <w:p>
      <w:pPr>
        <w:adjustRightInd w:val="0"/>
        <w:snapToGrid w:val="0"/>
        <w:spacing w:line="440" w:lineRule="exact"/>
        <w:ind w:right="31" w:rightChars="15" w:firstLine="480" w:firstLineChars="200"/>
        <w:rPr>
          <w:rFonts w:ascii="宋体" w:hAnsi="宋体" w:cs="宋体"/>
          <w:sz w:val="24"/>
          <w:szCs w:val="24"/>
        </w:rPr>
      </w:pPr>
      <w:r>
        <w:rPr>
          <w:rFonts w:hint="eastAsia" w:ascii="宋体" w:hAnsi="宋体" w:cs="宋体"/>
          <w:sz w:val="24"/>
          <w:szCs w:val="24"/>
        </w:rPr>
        <w:t>3.5.3 如果投标文件由委托代理人签署，则供应商需提交法定代表人的授权委托书，授权委托书应按规定的方式出具，并由法定代表人和委托代理人签名或盖章。</w:t>
      </w:r>
    </w:p>
    <w:p>
      <w:pPr>
        <w:adjustRightInd w:val="0"/>
        <w:snapToGrid w:val="0"/>
        <w:spacing w:line="440" w:lineRule="exact"/>
        <w:ind w:right="31" w:rightChars="15" w:firstLine="480" w:firstLineChars="200"/>
        <w:rPr>
          <w:rFonts w:ascii="宋体" w:hAnsi="宋体" w:cs="宋体"/>
          <w:sz w:val="24"/>
          <w:szCs w:val="24"/>
        </w:rPr>
      </w:pPr>
      <w:r>
        <w:rPr>
          <w:rFonts w:hint="eastAsia" w:ascii="宋体" w:hAnsi="宋体" w:cs="宋体"/>
          <w:sz w:val="24"/>
          <w:szCs w:val="24"/>
        </w:rPr>
        <w:t>投标文件应尽量避免涂改、行间插字或删除。如果出现上述情况，改动之处应加电子签章或由供应商的法定代表人或其授权的代理人签字确认。</w:t>
      </w:r>
    </w:p>
    <w:p>
      <w:pPr>
        <w:pStyle w:val="6"/>
        <w:ind w:firstLine="480" w:firstLineChars="200"/>
        <w:jc w:val="left"/>
        <w:rPr>
          <w:rFonts w:ascii="宋体" w:hAnsi="宋体" w:cs="宋体"/>
          <w:sz w:val="24"/>
        </w:rPr>
      </w:pPr>
      <w:r>
        <w:rPr>
          <w:rFonts w:hint="eastAsia" w:ascii="宋体" w:hAnsi="宋体" w:cs="宋体"/>
          <w:sz w:val="24"/>
        </w:rPr>
        <w:t>4.投标文件的递交</w:t>
      </w:r>
    </w:p>
    <w:p>
      <w:pPr>
        <w:adjustRightInd w:val="0"/>
        <w:snapToGrid w:val="0"/>
        <w:spacing w:line="440" w:lineRule="exact"/>
        <w:ind w:right="31" w:rightChars="15" w:firstLine="480" w:firstLineChars="200"/>
        <w:rPr>
          <w:rFonts w:ascii="宋体" w:hAnsi="宋体" w:cs="宋体"/>
          <w:bCs/>
          <w:sz w:val="24"/>
          <w:szCs w:val="24"/>
        </w:rPr>
      </w:pPr>
      <w:r>
        <w:rPr>
          <w:rFonts w:hint="eastAsia" w:ascii="宋体" w:hAnsi="宋体" w:cs="宋体"/>
          <w:bCs/>
          <w:sz w:val="24"/>
          <w:szCs w:val="24"/>
        </w:rPr>
        <w:t>4.1本项目为全流程电子化交易项目，供应商只需要递交电子投标文件，不用再提供纸质投标文件。</w:t>
      </w:r>
    </w:p>
    <w:p>
      <w:pPr>
        <w:wordWrap w:val="0"/>
        <w:adjustRightInd w:val="0"/>
        <w:snapToGrid w:val="0"/>
        <w:spacing w:line="440" w:lineRule="exact"/>
        <w:ind w:right="31" w:rightChars="15" w:firstLine="480" w:firstLineChars="200"/>
        <w:rPr>
          <w:rFonts w:ascii="宋体" w:hAnsi="宋体" w:cs="宋体"/>
          <w:bCs/>
          <w:sz w:val="24"/>
          <w:szCs w:val="24"/>
        </w:rPr>
      </w:pPr>
      <w:r>
        <w:rPr>
          <w:rFonts w:hint="eastAsia" w:ascii="宋体" w:hAnsi="宋体" w:cs="宋体"/>
          <w:bCs/>
          <w:sz w:val="24"/>
          <w:szCs w:val="24"/>
        </w:rPr>
        <w:t>4.2加密电子投标文件(.file格式)应在招标文件规定的投标截止时间（开标时间）之前成功提交至全国公共资源交易平台（河南省•汝州市）交易系统（http://www.rzggzy.com:8070/ggzy/）。具体操作方法详见全国公共资源交易平台（河南省•汝州市）交易中心网站：http://www.rzggzy.com/djzgc/14171.jhtml</w:t>
      </w:r>
    </w:p>
    <w:p>
      <w:pPr>
        <w:adjustRightInd w:val="0"/>
        <w:snapToGrid w:val="0"/>
        <w:spacing w:line="440" w:lineRule="exact"/>
        <w:ind w:right="31" w:rightChars="15" w:firstLine="480" w:firstLineChars="200"/>
        <w:rPr>
          <w:rFonts w:ascii="宋体" w:hAnsi="宋体" w:cs="宋体"/>
          <w:sz w:val="24"/>
          <w:szCs w:val="24"/>
        </w:rPr>
      </w:pPr>
      <w:r>
        <w:rPr>
          <w:rFonts w:hint="eastAsia" w:ascii="宋体" w:hAnsi="宋体" w:cs="宋体"/>
          <w:bCs/>
          <w:sz w:val="24"/>
          <w:szCs w:val="24"/>
        </w:rPr>
        <w:t>4.3供应商应充分考虑到处理技术问题和上传数据等工作所需的时间问题，投标文件未在投标截止时间前成功上传的，其投标文件不予接收。</w:t>
      </w:r>
    </w:p>
    <w:p>
      <w:pPr>
        <w:pStyle w:val="6"/>
        <w:ind w:firstLine="480" w:firstLineChars="200"/>
        <w:jc w:val="left"/>
        <w:rPr>
          <w:rFonts w:ascii="宋体" w:hAnsi="宋体" w:cs="宋体"/>
          <w:sz w:val="24"/>
        </w:rPr>
      </w:pPr>
      <w:bookmarkStart w:id="9" w:name="_Toc525062087"/>
      <w:bookmarkEnd w:id="9"/>
      <w:bookmarkStart w:id="10" w:name="_Toc4523"/>
      <w:r>
        <w:rPr>
          <w:rFonts w:hint="eastAsia" w:ascii="宋体" w:hAnsi="宋体" w:cs="宋体"/>
          <w:sz w:val="24"/>
        </w:rPr>
        <w:t>5.开标及评标</w:t>
      </w:r>
      <w:bookmarkEnd w:id="10"/>
      <w:r>
        <w:rPr>
          <w:rFonts w:hint="eastAsia" w:ascii="宋体" w:hAnsi="宋体" w:cs="宋体"/>
          <w:sz w:val="24"/>
        </w:rPr>
        <w:t xml:space="preserve"> </w:t>
      </w:r>
    </w:p>
    <w:p>
      <w:pPr>
        <w:adjustRightInd w:val="0"/>
        <w:snapToGrid w:val="0"/>
        <w:spacing w:line="440" w:lineRule="exact"/>
        <w:ind w:firstLine="480" w:firstLineChars="200"/>
        <w:rPr>
          <w:rFonts w:ascii="宋体" w:hAnsi="宋体" w:cs="宋体"/>
          <w:b/>
          <w:bCs/>
          <w:sz w:val="24"/>
          <w:szCs w:val="24"/>
        </w:rPr>
      </w:pPr>
      <w:bookmarkStart w:id="11" w:name="_Toc525062088"/>
      <w:bookmarkEnd w:id="11"/>
      <w:bookmarkStart w:id="12" w:name="_Toc20808"/>
      <w:r>
        <w:rPr>
          <w:rFonts w:hint="eastAsia" w:ascii="宋体" w:hAnsi="宋体" w:cs="宋体"/>
          <w:b/>
          <w:bCs/>
          <w:sz w:val="24"/>
          <w:szCs w:val="24"/>
        </w:rPr>
        <w:t>5.1开标</w:t>
      </w:r>
      <w:bookmarkEnd w:id="12"/>
      <w:r>
        <w:rPr>
          <w:rFonts w:hint="eastAsia" w:ascii="宋体" w:hAnsi="宋体" w:cs="宋体"/>
          <w:b/>
          <w:bCs/>
          <w:sz w:val="24"/>
          <w:szCs w:val="24"/>
        </w:rPr>
        <w:t xml:space="preserve"> </w:t>
      </w:r>
    </w:p>
    <w:p>
      <w:pPr>
        <w:wordWrap w:val="0"/>
        <w:adjustRightInd w:val="0"/>
        <w:snapToGrid w:val="0"/>
        <w:spacing w:line="440" w:lineRule="exact"/>
        <w:ind w:right="31" w:rightChars="15" w:firstLine="480" w:firstLineChars="200"/>
        <w:rPr>
          <w:rFonts w:ascii="宋体" w:hAnsi="宋体" w:cs="宋体"/>
          <w:sz w:val="24"/>
          <w:szCs w:val="24"/>
        </w:rPr>
      </w:pPr>
      <w:r>
        <w:rPr>
          <w:rFonts w:hint="eastAsia" w:ascii="宋体" w:hAnsi="宋体" w:cs="宋体"/>
          <w:sz w:val="24"/>
          <w:szCs w:val="24"/>
        </w:rPr>
        <w:t>5.1.1招标人按招标文件规定的时间、地点主持公开开标，招标人代表及有关工作人员参加。</w:t>
      </w:r>
    </w:p>
    <w:p>
      <w:pPr>
        <w:wordWrap w:val="0"/>
        <w:adjustRightInd w:val="0"/>
        <w:snapToGrid w:val="0"/>
        <w:spacing w:line="440" w:lineRule="exact"/>
        <w:ind w:right="31" w:rightChars="15" w:firstLine="480" w:firstLineChars="200"/>
        <w:rPr>
          <w:rFonts w:ascii="宋体" w:hAnsi="宋体" w:cs="宋体"/>
          <w:sz w:val="24"/>
          <w:szCs w:val="24"/>
        </w:rPr>
      </w:pPr>
      <w:r>
        <w:rPr>
          <w:rFonts w:hint="eastAsia" w:ascii="宋体" w:hAnsi="宋体" w:cs="宋体"/>
          <w:sz w:val="24"/>
          <w:szCs w:val="24"/>
        </w:rPr>
        <w:t>5.1.2本项目采用“不见面”开标方式，供应商只需要递交电子投标文件，无需到达现场提交原件资料、无需到现场参加开标会议。</w:t>
      </w:r>
    </w:p>
    <w:p>
      <w:pPr>
        <w:wordWrap w:val="0"/>
        <w:adjustRightInd w:val="0"/>
        <w:snapToGrid w:val="0"/>
        <w:spacing w:line="440" w:lineRule="exact"/>
        <w:ind w:right="31" w:rightChars="15" w:firstLine="480" w:firstLineChars="200"/>
        <w:rPr>
          <w:rFonts w:ascii="宋体" w:hAnsi="宋体" w:cs="宋体"/>
          <w:sz w:val="24"/>
          <w:szCs w:val="24"/>
        </w:rPr>
      </w:pPr>
      <w:r>
        <w:rPr>
          <w:rFonts w:hint="eastAsia" w:ascii="宋体" w:hAnsi="宋体" w:cs="宋体"/>
          <w:sz w:val="24"/>
          <w:szCs w:val="24"/>
        </w:rPr>
        <w:t>供应商应当在开标时间前,登录开标大厅,在线准时参加开标活动并进行投标文件解密。（具体开标注意事项及操作指南详见http://www.rzggzy.com/zwjxz/10492.jhtml）。</w:t>
      </w:r>
    </w:p>
    <w:p>
      <w:pPr>
        <w:wordWrap w:val="0"/>
        <w:adjustRightInd w:val="0"/>
        <w:snapToGrid w:val="0"/>
        <w:spacing w:line="440" w:lineRule="exact"/>
        <w:ind w:firstLine="480" w:firstLineChars="200"/>
        <w:rPr>
          <w:rFonts w:ascii="宋体" w:hAnsi="宋体" w:cs="宋体"/>
          <w:b/>
          <w:bCs/>
          <w:sz w:val="24"/>
          <w:szCs w:val="24"/>
        </w:rPr>
      </w:pPr>
      <w:bookmarkStart w:id="13" w:name="_Toc322"/>
      <w:bookmarkEnd w:id="13"/>
      <w:bookmarkStart w:id="14" w:name="_Toc525062089"/>
      <w:r>
        <w:rPr>
          <w:rFonts w:hint="eastAsia" w:ascii="宋体" w:hAnsi="宋体" w:cs="宋体"/>
          <w:b/>
          <w:bCs/>
          <w:sz w:val="24"/>
          <w:szCs w:val="24"/>
        </w:rPr>
        <w:t>5.2 组建评标委员会</w:t>
      </w:r>
      <w:bookmarkEnd w:id="14"/>
    </w:p>
    <w:p>
      <w:pPr>
        <w:spacing w:line="440" w:lineRule="exact"/>
        <w:ind w:firstLine="480" w:firstLineChars="200"/>
        <w:rPr>
          <w:rFonts w:ascii="宋体" w:hAnsi="宋体" w:cs="宋体"/>
          <w:sz w:val="24"/>
          <w:szCs w:val="24"/>
        </w:rPr>
      </w:pPr>
      <w:r>
        <w:rPr>
          <w:rFonts w:hint="eastAsia" w:ascii="宋体" w:hAnsi="宋体" w:cs="宋体"/>
          <w:sz w:val="24"/>
          <w:szCs w:val="24"/>
        </w:rPr>
        <w:t xml:space="preserve">招标人根据有关法律法规和本招标文件的规定，结合本招标项目的特点组建评标委员会。评标委员会由业主代表2人和有关技术、经济等方面的专家5人组成，成员人数为7人。 </w:t>
      </w:r>
    </w:p>
    <w:p>
      <w:pPr>
        <w:adjustRightInd w:val="0"/>
        <w:snapToGrid w:val="0"/>
        <w:spacing w:line="440" w:lineRule="exact"/>
        <w:ind w:firstLine="480" w:firstLineChars="200"/>
        <w:rPr>
          <w:rFonts w:ascii="宋体" w:hAnsi="宋体" w:cs="宋体"/>
          <w:b/>
          <w:bCs/>
          <w:sz w:val="24"/>
          <w:szCs w:val="24"/>
        </w:rPr>
      </w:pPr>
      <w:bookmarkStart w:id="15" w:name="_Toc525062090"/>
      <w:bookmarkEnd w:id="15"/>
      <w:bookmarkStart w:id="16" w:name="_Toc11095"/>
      <w:r>
        <w:rPr>
          <w:rFonts w:hint="eastAsia" w:ascii="宋体" w:hAnsi="宋体" w:cs="宋体"/>
          <w:b/>
          <w:bCs/>
          <w:sz w:val="24"/>
          <w:szCs w:val="24"/>
        </w:rPr>
        <w:t>5.3 对投标文件的初审</w:t>
      </w:r>
      <w:bookmarkEnd w:id="16"/>
      <w:r>
        <w:rPr>
          <w:rFonts w:hint="eastAsia" w:ascii="宋体" w:hAnsi="宋体" w:cs="宋体"/>
          <w:b/>
          <w:bCs/>
          <w:sz w:val="24"/>
          <w:szCs w:val="24"/>
        </w:rPr>
        <w:t xml:space="preserve"> </w:t>
      </w:r>
    </w:p>
    <w:p>
      <w:pPr>
        <w:spacing w:line="440" w:lineRule="exact"/>
        <w:ind w:firstLine="480" w:firstLineChars="200"/>
        <w:rPr>
          <w:rFonts w:ascii="宋体" w:hAnsi="宋体" w:cs="宋体"/>
          <w:sz w:val="24"/>
          <w:szCs w:val="24"/>
        </w:rPr>
      </w:pPr>
      <w:r>
        <w:rPr>
          <w:rFonts w:hint="eastAsia" w:ascii="宋体" w:hAnsi="宋体" w:cs="宋体"/>
          <w:sz w:val="24"/>
          <w:szCs w:val="24"/>
        </w:rPr>
        <w:t xml:space="preserve">5.3.1 开标后，评标委员会将审查投标文件是否符合招标文件的基本要求：内容是否完整、资格证明文件是否齐全、有无计算错误、文件签署是否齐全。 </w:t>
      </w:r>
    </w:p>
    <w:p>
      <w:pPr>
        <w:spacing w:line="440" w:lineRule="exact"/>
        <w:ind w:firstLine="480" w:firstLineChars="200"/>
        <w:rPr>
          <w:rFonts w:ascii="宋体" w:hAnsi="宋体" w:cs="宋体"/>
          <w:sz w:val="24"/>
          <w:szCs w:val="24"/>
        </w:rPr>
      </w:pPr>
      <w:r>
        <w:rPr>
          <w:rFonts w:hint="eastAsia" w:ascii="宋体" w:hAnsi="宋体" w:cs="宋体"/>
          <w:sz w:val="24"/>
          <w:szCs w:val="24"/>
        </w:rPr>
        <w:t xml:space="preserve">5.3.2 在详细评标之前，评标委员会要审查每份投标文件是否实质上响应了招标文件的要求。 </w:t>
      </w:r>
    </w:p>
    <w:p>
      <w:pPr>
        <w:spacing w:line="440" w:lineRule="exact"/>
        <w:ind w:firstLine="480" w:firstLineChars="200"/>
        <w:rPr>
          <w:rFonts w:ascii="宋体" w:hAnsi="宋体" w:cs="宋体"/>
          <w:sz w:val="24"/>
          <w:szCs w:val="24"/>
        </w:rPr>
      </w:pPr>
      <w:r>
        <w:rPr>
          <w:rFonts w:hint="eastAsia" w:ascii="宋体" w:hAnsi="宋体" w:cs="宋体"/>
          <w:sz w:val="24"/>
          <w:szCs w:val="24"/>
        </w:rPr>
        <w:t xml:space="preserve">（1） 实质上响应的投标是指与招标文件的全部条款、条件和规格相符，没有重大偏离或保留。 </w:t>
      </w:r>
    </w:p>
    <w:p>
      <w:pPr>
        <w:spacing w:line="440" w:lineRule="exact"/>
        <w:ind w:firstLine="480" w:firstLineChars="200"/>
        <w:rPr>
          <w:rFonts w:ascii="宋体" w:hAnsi="宋体" w:cs="宋体"/>
          <w:sz w:val="24"/>
          <w:szCs w:val="24"/>
        </w:rPr>
      </w:pPr>
      <w:r>
        <w:rPr>
          <w:rFonts w:hint="eastAsia" w:ascii="宋体" w:hAnsi="宋体" w:cs="宋体"/>
          <w:sz w:val="24"/>
          <w:szCs w:val="24"/>
        </w:rPr>
        <w:t>（2） 重大偏离或保留包括但不限于： 不具备招标文件中规定资格要求的；不符合招标文件中规定的质量、完成时间要求的。</w:t>
      </w:r>
    </w:p>
    <w:p>
      <w:pPr>
        <w:spacing w:line="440" w:lineRule="exact"/>
        <w:ind w:firstLine="480" w:firstLineChars="200"/>
        <w:rPr>
          <w:rFonts w:ascii="宋体" w:hAnsi="宋体" w:cs="宋体"/>
          <w:sz w:val="24"/>
          <w:szCs w:val="24"/>
        </w:rPr>
      </w:pPr>
      <w:r>
        <w:rPr>
          <w:rFonts w:hint="eastAsia" w:ascii="宋体" w:hAnsi="宋体" w:cs="宋体"/>
          <w:sz w:val="24"/>
          <w:szCs w:val="24"/>
        </w:rPr>
        <w:t xml:space="preserve">（3） 重大偏离不允许在开标后修正，但评标委员会将允许修正投标中不构成重大偏离的地方，这些修正不会对其他实质上响应招标文件要求的供应商的竞争地位产生不公正的影响。 </w:t>
      </w:r>
    </w:p>
    <w:p>
      <w:pPr>
        <w:spacing w:line="440" w:lineRule="exact"/>
        <w:ind w:firstLine="480" w:firstLineChars="200"/>
        <w:rPr>
          <w:rFonts w:ascii="宋体" w:hAnsi="宋体" w:cs="宋体"/>
          <w:sz w:val="24"/>
          <w:szCs w:val="24"/>
        </w:rPr>
      </w:pPr>
      <w:r>
        <w:rPr>
          <w:rFonts w:hint="eastAsia" w:ascii="宋体" w:hAnsi="宋体" w:cs="宋体"/>
          <w:sz w:val="24"/>
          <w:szCs w:val="24"/>
        </w:rPr>
        <w:t xml:space="preserve">（4） 如果投标文件实质上没有响应招标文件的要求，评标委员会将予以拒绝，供应商不得再对投标文件进行任何修正从而使其投标成为实质上响应的投标。 </w:t>
      </w:r>
    </w:p>
    <w:p>
      <w:pPr>
        <w:spacing w:line="440" w:lineRule="exact"/>
        <w:ind w:firstLine="480" w:firstLineChars="200"/>
        <w:rPr>
          <w:rFonts w:ascii="宋体" w:hAnsi="宋体" w:cs="宋体"/>
          <w:sz w:val="24"/>
          <w:szCs w:val="24"/>
        </w:rPr>
      </w:pPr>
      <w:r>
        <w:rPr>
          <w:rFonts w:hint="eastAsia" w:ascii="宋体" w:hAnsi="宋体" w:cs="宋体"/>
          <w:sz w:val="24"/>
          <w:szCs w:val="24"/>
        </w:rPr>
        <w:t xml:space="preserve">5.3.3 初审中，对明显的文字和计算错误按下述原则修正： </w:t>
      </w:r>
    </w:p>
    <w:p>
      <w:pPr>
        <w:spacing w:line="440" w:lineRule="exact"/>
        <w:ind w:firstLine="480" w:firstLineChars="200"/>
        <w:rPr>
          <w:rFonts w:ascii="宋体" w:hAnsi="宋体" w:cs="宋体"/>
          <w:sz w:val="24"/>
          <w:szCs w:val="24"/>
        </w:rPr>
      </w:pPr>
      <w:r>
        <w:rPr>
          <w:rFonts w:hint="eastAsia" w:ascii="宋体" w:hAnsi="宋体" w:cs="宋体"/>
          <w:sz w:val="24"/>
          <w:szCs w:val="24"/>
        </w:rPr>
        <w:t xml:space="preserve">（1） 如果以文字表示的数据与数字表示的有差别，以文字为准修正数字。如果大小写金额不一致的，以大写金额为准。 </w:t>
      </w:r>
    </w:p>
    <w:p>
      <w:pPr>
        <w:spacing w:line="440" w:lineRule="exact"/>
        <w:ind w:firstLine="480" w:firstLineChars="200"/>
        <w:rPr>
          <w:rFonts w:ascii="宋体" w:hAnsi="宋体" w:cs="宋体"/>
          <w:sz w:val="24"/>
          <w:szCs w:val="24"/>
        </w:rPr>
      </w:pPr>
      <w:r>
        <w:rPr>
          <w:rFonts w:hint="eastAsia" w:ascii="宋体" w:hAnsi="宋体" w:cs="宋体"/>
          <w:sz w:val="24"/>
          <w:szCs w:val="24"/>
        </w:rPr>
        <w:t xml:space="preserve">（2） 调整后的数据应对供应商具有约束力，供应商不同意以上修正，其投标将被拒绝。 </w:t>
      </w:r>
    </w:p>
    <w:p>
      <w:pPr>
        <w:spacing w:line="440" w:lineRule="exact"/>
        <w:ind w:firstLine="480" w:firstLineChars="200"/>
        <w:rPr>
          <w:rFonts w:ascii="宋体" w:hAnsi="宋体" w:cs="宋体"/>
          <w:sz w:val="24"/>
          <w:szCs w:val="24"/>
        </w:rPr>
      </w:pPr>
      <w:r>
        <w:rPr>
          <w:rFonts w:hint="eastAsia" w:ascii="宋体" w:hAnsi="宋体" w:cs="宋体"/>
          <w:sz w:val="24"/>
          <w:szCs w:val="24"/>
        </w:rPr>
        <w:t xml:space="preserve">5.3.4 评标委员会对投标文件的判定，只依据投标文件本身，不依据任何外来证明。 </w:t>
      </w:r>
    </w:p>
    <w:p>
      <w:pPr>
        <w:spacing w:line="440" w:lineRule="exact"/>
        <w:ind w:firstLine="480" w:firstLineChars="200"/>
        <w:rPr>
          <w:rFonts w:ascii="宋体" w:hAnsi="宋体" w:cs="宋体"/>
          <w:sz w:val="24"/>
          <w:szCs w:val="24"/>
        </w:rPr>
      </w:pPr>
      <w:r>
        <w:rPr>
          <w:rFonts w:hint="eastAsia" w:ascii="宋体" w:hAnsi="宋体" w:cs="宋体"/>
          <w:sz w:val="24"/>
          <w:szCs w:val="24"/>
        </w:rPr>
        <w:t xml:space="preserve">5.3.5 投标的澄清 </w:t>
      </w:r>
    </w:p>
    <w:p>
      <w:pPr>
        <w:spacing w:line="440" w:lineRule="exact"/>
        <w:ind w:firstLine="480" w:firstLineChars="200"/>
        <w:rPr>
          <w:rFonts w:ascii="宋体" w:hAnsi="宋体" w:cs="宋体"/>
          <w:sz w:val="24"/>
          <w:szCs w:val="24"/>
        </w:rPr>
      </w:pPr>
      <w:r>
        <w:rPr>
          <w:rFonts w:hint="eastAsia" w:ascii="宋体" w:hAnsi="宋体" w:cs="宋体"/>
          <w:sz w:val="24"/>
          <w:szCs w:val="24"/>
        </w:rPr>
        <w:t xml:space="preserve">（1） 评标委员会有权要求供应商对投标文件中含义不明确、对同类问题表述不一致或者有明显文字和计算错误等内容作必要的澄清、说明或者补正，该要求应当采用书面形式，并由评标委员会专家签字。供应商必须按照评标委员会通知的内容和时间做出书面答复，该答复经法定代表人或供应商代表的签字认可，将作为投标文件内容的一部分。澄清、说明或者补正不得超出投标文件的范围或者改变投标文件的实质性内容。供应商拒不按照要求对投标文件进行澄清、说明或者补正的，评标委员会可拒绝该投标。 </w:t>
      </w:r>
    </w:p>
    <w:p>
      <w:pPr>
        <w:spacing w:line="440" w:lineRule="exact"/>
        <w:ind w:firstLine="480" w:firstLineChars="200"/>
        <w:rPr>
          <w:rFonts w:ascii="宋体" w:hAnsi="宋体" w:cs="宋体"/>
          <w:sz w:val="24"/>
          <w:szCs w:val="24"/>
        </w:rPr>
      </w:pPr>
      <w:r>
        <w:rPr>
          <w:rFonts w:hint="eastAsia" w:ascii="宋体" w:hAnsi="宋体" w:cs="宋体"/>
          <w:sz w:val="24"/>
          <w:szCs w:val="24"/>
        </w:rPr>
        <w:t>（2） 如评标委员会一致认为某个供应商的报价明显不合理，有降低质量、不能诚信履行的可能时，评标委员会有权决定是否要求该供应商作出书面说明并提供相关证明材料。若已要求，而该供应商未在规定期限内做出解释、作出的解释不合理或不能提供证明材料的，经评标委员会取得一致意见后，可拒绝该投标。若未决定要求该供应商作出书面说明并提供相关证明材料的，经评标委员会取得一致意见后，可直接拒绝该投标。</w:t>
      </w:r>
    </w:p>
    <w:p>
      <w:pPr>
        <w:pStyle w:val="6"/>
        <w:ind w:firstLine="480" w:firstLineChars="200"/>
        <w:jc w:val="left"/>
        <w:rPr>
          <w:rFonts w:ascii="宋体" w:hAnsi="宋体" w:cs="宋体"/>
          <w:sz w:val="24"/>
        </w:rPr>
      </w:pPr>
      <w:bookmarkStart w:id="17" w:name="_Toc525062091"/>
      <w:bookmarkEnd w:id="17"/>
      <w:bookmarkStart w:id="18" w:name="_Toc11196"/>
      <w:r>
        <w:rPr>
          <w:rFonts w:hint="eastAsia" w:ascii="宋体" w:hAnsi="宋体" w:cs="宋体"/>
          <w:sz w:val="24"/>
        </w:rPr>
        <w:t>6.评标</w:t>
      </w:r>
      <w:bookmarkEnd w:id="18"/>
    </w:p>
    <w:p>
      <w:pPr>
        <w:adjustRightInd w:val="0"/>
        <w:snapToGrid w:val="0"/>
        <w:spacing w:line="440" w:lineRule="exact"/>
        <w:ind w:firstLine="480" w:firstLineChars="200"/>
        <w:rPr>
          <w:rFonts w:ascii="宋体" w:hAnsi="宋体" w:cs="宋体"/>
          <w:b/>
          <w:bCs/>
          <w:sz w:val="24"/>
          <w:szCs w:val="24"/>
        </w:rPr>
      </w:pPr>
      <w:bookmarkStart w:id="19" w:name="_Toc525062092"/>
      <w:bookmarkEnd w:id="19"/>
      <w:bookmarkStart w:id="20" w:name="_Toc26764"/>
      <w:r>
        <w:rPr>
          <w:rFonts w:hint="eastAsia" w:ascii="宋体" w:hAnsi="宋体" w:cs="宋体"/>
          <w:b/>
          <w:bCs/>
          <w:sz w:val="24"/>
          <w:szCs w:val="24"/>
        </w:rPr>
        <w:t>6.1评审原则</w:t>
      </w:r>
      <w:bookmarkEnd w:id="20"/>
      <w:r>
        <w:rPr>
          <w:rFonts w:hint="eastAsia" w:ascii="宋体" w:hAnsi="宋体" w:cs="宋体"/>
          <w:b/>
          <w:bCs/>
          <w:sz w:val="24"/>
          <w:szCs w:val="24"/>
        </w:rPr>
        <w:t xml:space="preserve"> </w:t>
      </w:r>
    </w:p>
    <w:p>
      <w:pPr>
        <w:adjustRightInd w:val="0"/>
        <w:spacing w:line="440" w:lineRule="exact"/>
        <w:ind w:firstLine="480" w:firstLineChars="200"/>
        <w:rPr>
          <w:rFonts w:ascii="宋体" w:hAnsi="宋体" w:cs="宋体"/>
          <w:sz w:val="24"/>
          <w:szCs w:val="24"/>
        </w:rPr>
      </w:pPr>
      <w:r>
        <w:rPr>
          <w:rFonts w:hint="eastAsia" w:ascii="宋体" w:hAnsi="宋体" w:cs="宋体"/>
          <w:sz w:val="24"/>
          <w:szCs w:val="24"/>
        </w:rPr>
        <w:t xml:space="preserve">（1）按照招标文件的要求和条件进行，招标文件由招标人或代理机构解释； </w:t>
      </w:r>
    </w:p>
    <w:p>
      <w:pPr>
        <w:adjustRightInd w:val="0"/>
        <w:spacing w:line="440" w:lineRule="exact"/>
        <w:ind w:firstLine="480" w:firstLineChars="200"/>
        <w:rPr>
          <w:rFonts w:ascii="宋体" w:hAnsi="宋体" w:cs="宋体"/>
          <w:sz w:val="24"/>
          <w:szCs w:val="24"/>
        </w:rPr>
      </w:pPr>
      <w:r>
        <w:rPr>
          <w:rFonts w:hint="eastAsia" w:ascii="宋体" w:hAnsi="宋体" w:cs="宋体"/>
          <w:sz w:val="24"/>
          <w:szCs w:val="24"/>
        </w:rPr>
        <w:t xml:space="preserve">（2）评标委员会只对实质上响应招标文件的投标进行评价和比较； </w:t>
      </w:r>
    </w:p>
    <w:p>
      <w:pPr>
        <w:spacing w:line="440" w:lineRule="exact"/>
        <w:ind w:firstLine="480" w:firstLineChars="200"/>
        <w:rPr>
          <w:rFonts w:ascii="宋体" w:hAnsi="宋体" w:cs="宋体"/>
          <w:sz w:val="24"/>
          <w:szCs w:val="24"/>
        </w:rPr>
      </w:pPr>
      <w:r>
        <w:rPr>
          <w:rFonts w:hint="eastAsia" w:ascii="宋体" w:hAnsi="宋体" w:cs="宋体"/>
          <w:sz w:val="24"/>
          <w:szCs w:val="24"/>
        </w:rPr>
        <w:t>（3）评标委员会在评审时主要根据投标报价，同时根据各项技术和服务因素对供应商实力和投标售后服务等方面进行综合评价。</w:t>
      </w:r>
    </w:p>
    <w:p>
      <w:pPr>
        <w:adjustRightInd w:val="0"/>
        <w:snapToGrid w:val="0"/>
        <w:spacing w:line="440" w:lineRule="exact"/>
        <w:ind w:firstLine="480" w:firstLineChars="200"/>
        <w:rPr>
          <w:rFonts w:ascii="宋体" w:hAnsi="宋体" w:cs="宋体"/>
          <w:b/>
          <w:bCs/>
          <w:sz w:val="24"/>
          <w:szCs w:val="24"/>
        </w:rPr>
      </w:pPr>
      <w:bookmarkStart w:id="21" w:name="_Toc2640"/>
      <w:bookmarkEnd w:id="21"/>
      <w:bookmarkStart w:id="22" w:name="_Toc525062093"/>
      <w:r>
        <w:rPr>
          <w:rFonts w:hint="eastAsia" w:ascii="宋体" w:hAnsi="宋体" w:cs="宋体"/>
          <w:b/>
          <w:bCs/>
          <w:sz w:val="24"/>
          <w:szCs w:val="24"/>
        </w:rPr>
        <w:t>6.2 评标程序</w:t>
      </w:r>
      <w:bookmarkEnd w:id="22"/>
    </w:p>
    <w:p>
      <w:pPr>
        <w:adjustRightInd w:val="0"/>
        <w:spacing w:line="440" w:lineRule="exact"/>
        <w:ind w:firstLine="480" w:firstLineChars="200"/>
        <w:rPr>
          <w:rFonts w:ascii="宋体" w:hAnsi="宋体" w:cs="宋体"/>
          <w:sz w:val="24"/>
          <w:szCs w:val="24"/>
        </w:rPr>
      </w:pPr>
      <w:r>
        <w:rPr>
          <w:rFonts w:hint="eastAsia" w:ascii="宋体" w:hAnsi="宋体" w:cs="宋体"/>
          <w:sz w:val="24"/>
          <w:szCs w:val="24"/>
        </w:rPr>
        <w:t>（1）资格性审查</w:t>
      </w:r>
    </w:p>
    <w:p>
      <w:pPr>
        <w:adjustRightInd w:val="0"/>
        <w:spacing w:line="440" w:lineRule="exact"/>
        <w:ind w:firstLine="480" w:firstLineChars="200"/>
        <w:rPr>
          <w:rFonts w:ascii="宋体" w:hAnsi="宋体" w:cs="宋体"/>
          <w:sz w:val="24"/>
          <w:szCs w:val="24"/>
        </w:rPr>
      </w:pPr>
      <w:r>
        <w:rPr>
          <w:rFonts w:hint="eastAsia" w:ascii="宋体" w:hAnsi="宋体" w:cs="宋体"/>
          <w:sz w:val="24"/>
          <w:szCs w:val="24"/>
        </w:rPr>
        <w:t>采购人或代理机构依据《政府采购货物和服务招标投标管理办法》 87号令的规定，公开招标采购项目开标结束后，采购人或者采购代理机构应当依法对供应商的资格进行审查，合格供应商不足3家的，不得评标。根据第二章供应商须知“供应商资格要求”中涉及资料须于开标前上传到会员诚信库系统，供应商可通过汝州市公共资源交易中心平台对会员诚信库直接进行变更维护，变更信息提交即时生效。</w:t>
      </w:r>
    </w:p>
    <w:p>
      <w:pPr>
        <w:adjustRightInd w:val="0"/>
        <w:spacing w:line="440" w:lineRule="exact"/>
        <w:ind w:firstLine="480" w:firstLineChars="200"/>
        <w:rPr>
          <w:rFonts w:ascii="宋体" w:hAnsi="宋体" w:cs="宋体"/>
          <w:sz w:val="24"/>
          <w:szCs w:val="24"/>
        </w:rPr>
      </w:pPr>
      <w:r>
        <w:rPr>
          <w:rFonts w:hint="eastAsia" w:ascii="宋体" w:hAnsi="宋体" w:cs="宋体"/>
          <w:sz w:val="24"/>
          <w:szCs w:val="24"/>
        </w:rPr>
        <w:t>供应商资格审查指标有一项不合格即为未通过资格审查。</w:t>
      </w:r>
    </w:p>
    <w:p>
      <w:pPr>
        <w:adjustRightInd w:val="0"/>
        <w:spacing w:line="440" w:lineRule="exact"/>
        <w:ind w:firstLine="480" w:firstLineChars="200"/>
        <w:jc w:val="center"/>
        <w:rPr>
          <w:rFonts w:ascii="宋体" w:hAnsi="宋体" w:cs="宋体"/>
          <w:sz w:val="24"/>
          <w:szCs w:val="24"/>
        </w:rPr>
      </w:pPr>
      <w:r>
        <w:rPr>
          <w:rFonts w:hint="eastAsia" w:ascii="宋体" w:hAnsi="宋体" w:cs="宋体"/>
          <w:sz w:val="24"/>
          <w:szCs w:val="24"/>
        </w:rPr>
        <w:t>资格评审标准</w:t>
      </w:r>
    </w:p>
    <w:tbl>
      <w:tblPr>
        <w:tblStyle w:val="46"/>
        <w:tblW w:w="9317" w:type="dxa"/>
        <w:tblInd w:w="224" w:type="dxa"/>
        <w:tblLayout w:type="fixed"/>
        <w:tblCellMar>
          <w:top w:w="0" w:type="dxa"/>
          <w:left w:w="0" w:type="dxa"/>
          <w:bottom w:w="0" w:type="dxa"/>
          <w:right w:w="113" w:type="dxa"/>
        </w:tblCellMar>
      </w:tblPr>
      <w:tblGrid>
        <w:gridCol w:w="1243"/>
        <w:gridCol w:w="1570"/>
        <w:gridCol w:w="6504"/>
      </w:tblGrid>
      <w:tr>
        <w:tblPrEx>
          <w:tblCellMar>
            <w:top w:w="0" w:type="dxa"/>
            <w:left w:w="0" w:type="dxa"/>
            <w:bottom w:w="0" w:type="dxa"/>
            <w:right w:w="113" w:type="dxa"/>
          </w:tblCellMar>
        </w:tblPrEx>
        <w:trPr>
          <w:trHeight w:val="670" w:hRule="atLeast"/>
        </w:trPr>
        <w:tc>
          <w:tcPr>
            <w:tcW w:w="1243" w:type="dxa"/>
            <w:vMerge w:val="restart"/>
            <w:tcBorders>
              <w:top w:val="single" w:color="auto" w:sz="4" w:space="0"/>
              <w:left w:val="single" w:color="auto" w:sz="4" w:space="0"/>
              <w:right w:val="single" w:color="auto" w:sz="4" w:space="0"/>
            </w:tcBorders>
            <w:vAlign w:val="center"/>
          </w:tcPr>
          <w:p>
            <w:pPr>
              <w:pStyle w:val="66"/>
              <w:kinsoku w:val="0"/>
              <w:overflowPunct w:val="0"/>
              <w:spacing w:line="316" w:lineRule="auto"/>
              <w:ind w:left="233" w:right="224"/>
              <w:jc w:val="center"/>
              <w:rPr>
                <w:rFonts w:hAnsi="宋体"/>
              </w:rPr>
            </w:pPr>
            <w:r>
              <w:rPr>
                <w:rFonts w:hint="eastAsia" w:hAnsi="宋体"/>
              </w:rPr>
              <w:t>资格评审标准</w:t>
            </w:r>
          </w:p>
        </w:tc>
        <w:tc>
          <w:tcPr>
            <w:tcW w:w="1570" w:type="dxa"/>
            <w:tcBorders>
              <w:top w:val="single" w:color="auto" w:sz="4" w:space="0"/>
              <w:left w:val="single" w:color="auto" w:sz="4" w:space="0"/>
              <w:bottom w:val="single" w:color="auto" w:sz="4" w:space="0"/>
              <w:right w:val="single" w:color="auto" w:sz="4" w:space="0"/>
            </w:tcBorders>
            <w:vAlign w:val="center"/>
          </w:tcPr>
          <w:p>
            <w:pPr>
              <w:pStyle w:val="66"/>
              <w:kinsoku w:val="0"/>
              <w:overflowPunct w:val="0"/>
              <w:spacing w:before="116"/>
              <w:ind w:left="122" w:right="97"/>
              <w:jc w:val="center"/>
              <w:rPr>
                <w:rFonts w:hAnsi="宋体"/>
              </w:rPr>
            </w:pPr>
            <w:r>
              <w:rPr>
                <w:rFonts w:hint="eastAsia" w:hAnsi="宋体"/>
              </w:rPr>
              <w:t>营业执照</w:t>
            </w:r>
          </w:p>
        </w:tc>
        <w:tc>
          <w:tcPr>
            <w:tcW w:w="6504" w:type="dxa"/>
            <w:tcBorders>
              <w:top w:val="single" w:color="auto" w:sz="4" w:space="0"/>
              <w:left w:val="single" w:color="auto" w:sz="4" w:space="0"/>
              <w:bottom w:val="single" w:color="auto" w:sz="4" w:space="0"/>
              <w:right w:val="single" w:color="auto" w:sz="4" w:space="0"/>
            </w:tcBorders>
            <w:vAlign w:val="center"/>
          </w:tcPr>
          <w:p>
            <w:pPr>
              <w:pStyle w:val="66"/>
              <w:kinsoku w:val="0"/>
              <w:overflowPunct w:val="0"/>
              <w:spacing w:before="116"/>
              <w:ind w:left="107"/>
              <w:rPr>
                <w:rFonts w:hAnsi="宋体"/>
              </w:rPr>
            </w:pPr>
            <w:r>
              <w:rPr>
                <w:rFonts w:hint="eastAsia" w:hAnsi="宋体"/>
              </w:rPr>
              <w:t>具有独立承担民事责任的能力，具备有效的营业执照、组织机构代码证、税务登记证或三证合一的营业执照</w:t>
            </w:r>
          </w:p>
        </w:tc>
      </w:tr>
      <w:tr>
        <w:tblPrEx>
          <w:tblCellMar>
            <w:top w:w="0" w:type="dxa"/>
            <w:left w:w="0" w:type="dxa"/>
            <w:bottom w:w="0" w:type="dxa"/>
            <w:right w:w="113" w:type="dxa"/>
          </w:tblCellMar>
        </w:tblPrEx>
        <w:trPr>
          <w:trHeight w:val="714" w:hRule="atLeast"/>
        </w:trPr>
        <w:tc>
          <w:tcPr>
            <w:tcW w:w="1243" w:type="dxa"/>
            <w:vMerge w:val="continue"/>
            <w:tcBorders>
              <w:left w:val="single" w:color="auto" w:sz="4" w:space="0"/>
              <w:right w:val="single" w:color="auto" w:sz="4" w:space="0"/>
            </w:tcBorders>
            <w:vAlign w:val="center"/>
          </w:tcPr>
          <w:p>
            <w:pPr>
              <w:widowControl/>
              <w:jc w:val="left"/>
              <w:rPr>
                <w:rFonts w:ascii="宋体" w:hAnsi="宋体" w:cs="宋体"/>
                <w:kern w:val="0"/>
                <w:sz w:val="24"/>
                <w:szCs w:val="24"/>
              </w:rPr>
            </w:pPr>
          </w:p>
        </w:tc>
        <w:tc>
          <w:tcPr>
            <w:tcW w:w="1570" w:type="dxa"/>
            <w:tcBorders>
              <w:top w:val="single" w:color="auto" w:sz="4" w:space="0"/>
              <w:left w:val="single" w:color="auto" w:sz="4" w:space="0"/>
              <w:bottom w:val="single" w:color="auto" w:sz="4" w:space="0"/>
              <w:right w:val="single" w:color="auto" w:sz="4" w:space="0"/>
            </w:tcBorders>
            <w:vAlign w:val="center"/>
          </w:tcPr>
          <w:p>
            <w:pPr>
              <w:pStyle w:val="66"/>
              <w:kinsoku w:val="0"/>
              <w:overflowPunct w:val="0"/>
              <w:spacing w:before="116"/>
              <w:ind w:left="122" w:right="97"/>
              <w:jc w:val="center"/>
              <w:rPr>
                <w:rFonts w:hAnsi="宋体"/>
              </w:rPr>
            </w:pPr>
            <w:r>
              <w:rPr>
                <w:rFonts w:hint="eastAsia" w:hAnsi="宋体"/>
              </w:rPr>
              <w:t>企业资质</w:t>
            </w:r>
          </w:p>
        </w:tc>
        <w:tc>
          <w:tcPr>
            <w:tcW w:w="6504" w:type="dxa"/>
            <w:tcBorders>
              <w:top w:val="single" w:color="auto" w:sz="4" w:space="0"/>
              <w:left w:val="single" w:color="auto" w:sz="4" w:space="0"/>
              <w:bottom w:val="single" w:color="auto" w:sz="4" w:space="0"/>
              <w:right w:val="single" w:color="auto" w:sz="4" w:space="0"/>
            </w:tcBorders>
            <w:vAlign w:val="center"/>
          </w:tcPr>
          <w:p>
            <w:pPr>
              <w:pStyle w:val="66"/>
              <w:kinsoku w:val="0"/>
              <w:overflowPunct w:val="0"/>
              <w:spacing w:before="116"/>
              <w:ind w:left="107"/>
              <w:rPr>
                <w:rFonts w:hAnsi="宋体"/>
              </w:rPr>
            </w:pPr>
            <w:r>
              <w:rPr>
                <w:rFonts w:hint="eastAsia" w:hAnsi="宋体"/>
              </w:rPr>
              <w:t>生产企业具有国家食品药品监督管理部门颁发的相对应的医疗器械生产许可证、医疗器械注册证；代理商（经销商）需提供第三类医疗器械经营许可证</w:t>
            </w:r>
          </w:p>
        </w:tc>
      </w:tr>
      <w:tr>
        <w:tblPrEx>
          <w:tblCellMar>
            <w:top w:w="0" w:type="dxa"/>
            <w:left w:w="0" w:type="dxa"/>
            <w:bottom w:w="0" w:type="dxa"/>
            <w:right w:w="113" w:type="dxa"/>
          </w:tblCellMar>
        </w:tblPrEx>
        <w:trPr>
          <w:trHeight w:val="860" w:hRule="atLeast"/>
        </w:trPr>
        <w:tc>
          <w:tcPr>
            <w:tcW w:w="1243" w:type="dxa"/>
            <w:vMerge w:val="continue"/>
            <w:tcBorders>
              <w:left w:val="single" w:color="auto" w:sz="4" w:space="0"/>
              <w:right w:val="single" w:color="auto" w:sz="4" w:space="0"/>
            </w:tcBorders>
            <w:vAlign w:val="center"/>
          </w:tcPr>
          <w:p>
            <w:pPr>
              <w:widowControl/>
              <w:jc w:val="left"/>
              <w:rPr>
                <w:rFonts w:ascii="宋体" w:hAnsi="宋体" w:cs="宋体"/>
                <w:kern w:val="0"/>
                <w:sz w:val="24"/>
                <w:szCs w:val="24"/>
              </w:rPr>
            </w:pPr>
          </w:p>
        </w:tc>
        <w:tc>
          <w:tcPr>
            <w:tcW w:w="1570" w:type="dxa"/>
            <w:tcBorders>
              <w:top w:val="single" w:color="auto" w:sz="4" w:space="0"/>
              <w:left w:val="single" w:color="auto" w:sz="4" w:space="0"/>
              <w:bottom w:val="single" w:color="auto" w:sz="4" w:space="0"/>
              <w:right w:val="single" w:color="auto" w:sz="4" w:space="0"/>
            </w:tcBorders>
            <w:vAlign w:val="center"/>
          </w:tcPr>
          <w:p>
            <w:pPr>
              <w:pStyle w:val="66"/>
              <w:kinsoku w:val="0"/>
              <w:overflowPunct w:val="0"/>
              <w:spacing w:before="116"/>
              <w:ind w:left="122" w:right="92"/>
              <w:jc w:val="center"/>
              <w:rPr>
                <w:rFonts w:hAnsi="宋体"/>
              </w:rPr>
            </w:pPr>
            <w:r>
              <w:rPr>
                <w:rFonts w:hint="eastAsia" w:hAnsi="宋体"/>
              </w:rPr>
              <w:t>财务状况</w:t>
            </w:r>
          </w:p>
        </w:tc>
        <w:tc>
          <w:tcPr>
            <w:tcW w:w="6504" w:type="dxa"/>
            <w:tcBorders>
              <w:top w:val="single" w:color="auto" w:sz="4" w:space="0"/>
              <w:left w:val="single" w:color="auto" w:sz="4" w:space="0"/>
              <w:bottom w:val="single" w:color="auto" w:sz="4" w:space="0"/>
              <w:right w:val="single" w:color="auto" w:sz="4" w:space="0"/>
            </w:tcBorders>
            <w:vAlign w:val="center"/>
          </w:tcPr>
          <w:p>
            <w:pPr>
              <w:pStyle w:val="66"/>
              <w:kinsoku w:val="0"/>
              <w:overflowPunct w:val="0"/>
              <w:spacing w:before="116"/>
              <w:ind w:left="107"/>
              <w:rPr>
                <w:rFonts w:hAnsi="宋体"/>
              </w:rPr>
            </w:pPr>
            <w:r>
              <w:rPr>
                <w:rFonts w:hint="eastAsia" w:hAnsi="宋体"/>
              </w:rPr>
              <w:t>提供2022年度经审计合格的财务审计报告，若供应商为新成立企业，提供近三个月财务报表或其基本户开户银行出具的资信证明</w:t>
            </w:r>
          </w:p>
        </w:tc>
      </w:tr>
      <w:tr>
        <w:tblPrEx>
          <w:tblCellMar>
            <w:top w:w="0" w:type="dxa"/>
            <w:left w:w="0" w:type="dxa"/>
            <w:bottom w:w="0" w:type="dxa"/>
            <w:right w:w="113" w:type="dxa"/>
          </w:tblCellMar>
        </w:tblPrEx>
        <w:trPr>
          <w:trHeight w:val="860" w:hRule="atLeast"/>
        </w:trPr>
        <w:tc>
          <w:tcPr>
            <w:tcW w:w="1243" w:type="dxa"/>
            <w:vMerge w:val="continue"/>
            <w:tcBorders>
              <w:left w:val="single" w:color="auto" w:sz="4" w:space="0"/>
              <w:right w:val="single" w:color="auto" w:sz="4" w:space="0"/>
            </w:tcBorders>
            <w:vAlign w:val="center"/>
          </w:tcPr>
          <w:p>
            <w:pPr>
              <w:widowControl/>
              <w:jc w:val="left"/>
              <w:rPr>
                <w:rFonts w:ascii="宋体" w:hAnsi="宋体" w:cs="宋体"/>
                <w:kern w:val="0"/>
                <w:sz w:val="24"/>
                <w:szCs w:val="24"/>
              </w:rPr>
            </w:pPr>
          </w:p>
        </w:tc>
        <w:tc>
          <w:tcPr>
            <w:tcW w:w="1570" w:type="dxa"/>
            <w:tcBorders>
              <w:top w:val="single" w:color="auto" w:sz="4" w:space="0"/>
              <w:left w:val="single" w:color="auto" w:sz="4" w:space="0"/>
              <w:bottom w:val="single" w:color="auto" w:sz="4" w:space="0"/>
              <w:right w:val="single" w:color="auto" w:sz="4" w:space="0"/>
            </w:tcBorders>
            <w:vAlign w:val="center"/>
          </w:tcPr>
          <w:p>
            <w:pPr>
              <w:pStyle w:val="66"/>
              <w:kinsoku w:val="0"/>
              <w:overflowPunct w:val="0"/>
              <w:spacing w:before="116"/>
              <w:ind w:left="122" w:right="97"/>
              <w:jc w:val="center"/>
              <w:rPr>
                <w:rFonts w:hAnsi="宋体"/>
              </w:rPr>
            </w:pPr>
            <w:r>
              <w:rPr>
                <w:rFonts w:hint="eastAsia" w:hAnsi="宋体"/>
              </w:rPr>
              <w:t>税收和社保</w:t>
            </w:r>
          </w:p>
        </w:tc>
        <w:tc>
          <w:tcPr>
            <w:tcW w:w="6504" w:type="dxa"/>
            <w:tcBorders>
              <w:top w:val="single" w:color="auto" w:sz="4" w:space="0"/>
              <w:left w:val="single" w:color="auto" w:sz="4" w:space="0"/>
              <w:bottom w:val="single" w:color="auto" w:sz="4" w:space="0"/>
              <w:right w:val="single" w:color="auto" w:sz="4" w:space="0"/>
            </w:tcBorders>
            <w:vAlign w:val="center"/>
          </w:tcPr>
          <w:p>
            <w:pPr>
              <w:pStyle w:val="66"/>
              <w:kinsoku w:val="0"/>
              <w:overflowPunct w:val="0"/>
              <w:spacing w:before="116"/>
              <w:ind w:left="107"/>
              <w:rPr>
                <w:rFonts w:hAnsi="宋体"/>
              </w:rPr>
            </w:pPr>
            <w:r>
              <w:rPr>
                <w:rFonts w:hint="eastAsia" w:hAnsi="宋体"/>
              </w:rPr>
              <w:t>2023年1月以来任意一个月的公司纳税证明和社保缴纳证明</w:t>
            </w:r>
          </w:p>
        </w:tc>
      </w:tr>
      <w:tr>
        <w:tblPrEx>
          <w:tblCellMar>
            <w:top w:w="0" w:type="dxa"/>
            <w:left w:w="0" w:type="dxa"/>
            <w:bottom w:w="0" w:type="dxa"/>
            <w:right w:w="113" w:type="dxa"/>
          </w:tblCellMar>
        </w:tblPrEx>
        <w:trPr>
          <w:trHeight w:val="688" w:hRule="atLeast"/>
        </w:trPr>
        <w:tc>
          <w:tcPr>
            <w:tcW w:w="1243" w:type="dxa"/>
            <w:vMerge w:val="continue"/>
            <w:tcBorders>
              <w:left w:val="single" w:color="auto" w:sz="4" w:space="0"/>
              <w:right w:val="single" w:color="auto" w:sz="4" w:space="0"/>
            </w:tcBorders>
            <w:vAlign w:val="center"/>
          </w:tcPr>
          <w:p>
            <w:pPr>
              <w:widowControl/>
              <w:jc w:val="left"/>
              <w:rPr>
                <w:rFonts w:ascii="宋体" w:hAnsi="宋体" w:cs="宋体"/>
                <w:kern w:val="0"/>
                <w:sz w:val="24"/>
                <w:szCs w:val="24"/>
              </w:rPr>
            </w:pPr>
          </w:p>
        </w:tc>
        <w:tc>
          <w:tcPr>
            <w:tcW w:w="1570" w:type="dxa"/>
            <w:tcBorders>
              <w:top w:val="single" w:color="auto" w:sz="4" w:space="0"/>
              <w:left w:val="single" w:color="auto" w:sz="4" w:space="0"/>
              <w:bottom w:val="single" w:color="auto" w:sz="4" w:space="0"/>
              <w:right w:val="single" w:color="auto" w:sz="4" w:space="0"/>
            </w:tcBorders>
            <w:vAlign w:val="center"/>
          </w:tcPr>
          <w:p>
            <w:pPr>
              <w:pStyle w:val="66"/>
              <w:kinsoku w:val="0"/>
              <w:overflowPunct w:val="0"/>
              <w:spacing w:before="116"/>
              <w:ind w:left="122" w:right="92"/>
              <w:jc w:val="center"/>
              <w:rPr>
                <w:rFonts w:hAnsi="宋体"/>
              </w:rPr>
            </w:pPr>
            <w:r>
              <w:rPr>
                <w:rFonts w:hint="eastAsia" w:hAnsi="宋体"/>
              </w:rPr>
              <w:t>无重大违法记录声明</w:t>
            </w:r>
          </w:p>
        </w:tc>
        <w:tc>
          <w:tcPr>
            <w:tcW w:w="6504" w:type="dxa"/>
            <w:tcBorders>
              <w:top w:val="single" w:color="auto" w:sz="4" w:space="0"/>
              <w:left w:val="single" w:color="auto" w:sz="4" w:space="0"/>
              <w:bottom w:val="single" w:color="auto" w:sz="4" w:space="0"/>
              <w:right w:val="single" w:color="auto" w:sz="4" w:space="0"/>
            </w:tcBorders>
            <w:vAlign w:val="center"/>
          </w:tcPr>
          <w:p>
            <w:pPr>
              <w:pStyle w:val="66"/>
              <w:kinsoku w:val="0"/>
              <w:overflowPunct w:val="0"/>
              <w:spacing w:before="116"/>
              <w:ind w:left="107"/>
              <w:rPr>
                <w:rFonts w:hAnsi="宋体"/>
              </w:rPr>
            </w:pPr>
            <w:r>
              <w:rPr>
                <w:rFonts w:hint="eastAsia" w:hAnsi="宋体"/>
              </w:rPr>
              <w:t>参加政府采购活动近三年内在经营活动中没有重大违法记录的书面声明</w:t>
            </w:r>
          </w:p>
        </w:tc>
      </w:tr>
      <w:tr>
        <w:tblPrEx>
          <w:tblCellMar>
            <w:top w:w="0" w:type="dxa"/>
            <w:left w:w="0" w:type="dxa"/>
            <w:bottom w:w="0" w:type="dxa"/>
            <w:right w:w="113" w:type="dxa"/>
          </w:tblCellMar>
        </w:tblPrEx>
        <w:trPr>
          <w:trHeight w:val="688" w:hRule="atLeast"/>
        </w:trPr>
        <w:tc>
          <w:tcPr>
            <w:tcW w:w="1243" w:type="dxa"/>
            <w:vMerge w:val="continue"/>
            <w:tcBorders>
              <w:left w:val="single" w:color="auto" w:sz="4" w:space="0"/>
              <w:right w:val="single" w:color="auto" w:sz="4" w:space="0"/>
            </w:tcBorders>
            <w:vAlign w:val="center"/>
          </w:tcPr>
          <w:p>
            <w:pPr>
              <w:widowControl/>
              <w:jc w:val="left"/>
              <w:rPr>
                <w:rFonts w:ascii="宋体" w:hAnsi="宋体" w:cs="宋体"/>
                <w:kern w:val="0"/>
                <w:sz w:val="24"/>
                <w:szCs w:val="24"/>
              </w:rPr>
            </w:pPr>
          </w:p>
        </w:tc>
        <w:tc>
          <w:tcPr>
            <w:tcW w:w="1570" w:type="dxa"/>
            <w:tcBorders>
              <w:top w:val="single" w:color="auto" w:sz="4" w:space="0"/>
              <w:left w:val="single" w:color="auto" w:sz="4" w:space="0"/>
              <w:bottom w:val="single" w:color="auto" w:sz="4" w:space="0"/>
              <w:right w:val="single" w:color="auto" w:sz="4" w:space="0"/>
            </w:tcBorders>
            <w:vAlign w:val="center"/>
          </w:tcPr>
          <w:p>
            <w:pPr>
              <w:pStyle w:val="66"/>
              <w:kinsoku w:val="0"/>
              <w:overflowPunct w:val="0"/>
              <w:spacing w:before="116"/>
              <w:ind w:left="122" w:right="92"/>
              <w:jc w:val="center"/>
              <w:rPr>
                <w:rFonts w:hAnsi="宋体"/>
              </w:rPr>
            </w:pPr>
            <w:r>
              <w:rPr>
                <w:rFonts w:hint="eastAsia" w:hAnsi="宋体"/>
              </w:rPr>
              <w:t>履行合同</w:t>
            </w:r>
          </w:p>
        </w:tc>
        <w:tc>
          <w:tcPr>
            <w:tcW w:w="6504" w:type="dxa"/>
            <w:tcBorders>
              <w:top w:val="single" w:color="auto" w:sz="4" w:space="0"/>
              <w:left w:val="single" w:color="auto" w:sz="4" w:space="0"/>
              <w:bottom w:val="single" w:color="auto" w:sz="4" w:space="0"/>
              <w:right w:val="single" w:color="auto" w:sz="4" w:space="0"/>
            </w:tcBorders>
            <w:vAlign w:val="center"/>
          </w:tcPr>
          <w:p>
            <w:pPr>
              <w:pStyle w:val="66"/>
              <w:kinsoku w:val="0"/>
              <w:overflowPunct w:val="0"/>
              <w:spacing w:before="116"/>
              <w:ind w:left="107"/>
              <w:rPr>
                <w:rFonts w:hAnsi="宋体"/>
              </w:rPr>
            </w:pPr>
            <w:r>
              <w:rPr>
                <w:rFonts w:hint="eastAsia" w:hAnsi="宋体"/>
              </w:rPr>
              <w:t>具有履行合同所必需的设备和专业技术能力（提供承诺函,格式自拟）</w:t>
            </w:r>
          </w:p>
        </w:tc>
      </w:tr>
      <w:tr>
        <w:tblPrEx>
          <w:tblCellMar>
            <w:top w:w="0" w:type="dxa"/>
            <w:left w:w="0" w:type="dxa"/>
            <w:bottom w:w="0" w:type="dxa"/>
            <w:right w:w="113" w:type="dxa"/>
          </w:tblCellMar>
        </w:tblPrEx>
        <w:trPr>
          <w:trHeight w:val="688" w:hRule="atLeast"/>
        </w:trPr>
        <w:tc>
          <w:tcPr>
            <w:tcW w:w="1243" w:type="dxa"/>
            <w:vMerge w:val="continue"/>
            <w:tcBorders>
              <w:left w:val="single" w:color="auto" w:sz="4" w:space="0"/>
              <w:right w:val="single" w:color="auto" w:sz="4" w:space="0"/>
            </w:tcBorders>
            <w:vAlign w:val="center"/>
          </w:tcPr>
          <w:p>
            <w:pPr>
              <w:widowControl/>
              <w:jc w:val="left"/>
              <w:rPr>
                <w:rFonts w:ascii="宋体" w:hAnsi="宋体" w:cs="宋体"/>
                <w:kern w:val="0"/>
                <w:sz w:val="24"/>
                <w:szCs w:val="24"/>
              </w:rPr>
            </w:pPr>
          </w:p>
        </w:tc>
        <w:tc>
          <w:tcPr>
            <w:tcW w:w="1570" w:type="dxa"/>
            <w:tcBorders>
              <w:top w:val="single" w:color="auto" w:sz="4" w:space="0"/>
              <w:left w:val="single" w:color="auto" w:sz="4" w:space="0"/>
              <w:bottom w:val="single" w:color="auto" w:sz="4" w:space="0"/>
              <w:right w:val="single" w:color="auto" w:sz="4" w:space="0"/>
            </w:tcBorders>
            <w:vAlign w:val="center"/>
          </w:tcPr>
          <w:p>
            <w:pPr>
              <w:pStyle w:val="66"/>
              <w:kinsoku w:val="0"/>
              <w:overflowPunct w:val="0"/>
              <w:spacing w:before="116"/>
              <w:ind w:left="122" w:right="92"/>
              <w:jc w:val="center"/>
              <w:rPr>
                <w:rFonts w:hAnsi="宋体"/>
              </w:rPr>
            </w:pPr>
            <w:r>
              <w:rPr>
                <w:rFonts w:hint="eastAsia" w:hAnsi="宋体"/>
              </w:rPr>
              <w:t>信用中国</w:t>
            </w:r>
          </w:p>
        </w:tc>
        <w:tc>
          <w:tcPr>
            <w:tcW w:w="6504" w:type="dxa"/>
            <w:tcBorders>
              <w:top w:val="single" w:color="auto" w:sz="4" w:space="0"/>
              <w:left w:val="single" w:color="auto" w:sz="4" w:space="0"/>
              <w:bottom w:val="single" w:color="auto" w:sz="4" w:space="0"/>
              <w:right w:val="single" w:color="auto" w:sz="4" w:space="0"/>
            </w:tcBorders>
            <w:vAlign w:val="center"/>
          </w:tcPr>
          <w:p>
            <w:pPr>
              <w:pStyle w:val="66"/>
              <w:kinsoku w:val="0"/>
              <w:overflowPunct w:val="0"/>
              <w:spacing w:before="116"/>
              <w:ind w:left="107"/>
              <w:rPr>
                <w:rFonts w:hAnsi="宋体"/>
              </w:rPr>
            </w:pPr>
            <w:r>
              <w:rPr>
                <w:rFonts w:hint="eastAsia" w:hAnsi="宋体"/>
              </w:rPr>
              <w:t>提供“中国执行信息公开网”网站的“失信被执行人”、“信用中国”网站的“重大税收违法失信主体”、“中国政府采购”网站的“政府采购严重违法失信行为记录名单”。（执行财库【2016】125 号文）查询网页截图</w:t>
            </w:r>
          </w:p>
        </w:tc>
      </w:tr>
      <w:tr>
        <w:tblPrEx>
          <w:tblCellMar>
            <w:top w:w="0" w:type="dxa"/>
            <w:left w:w="0" w:type="dxa"/>
            <w:bottom w:w="0" w:type="dxa"/>
            <w:right w:w="113" w:type="dxa"/>
          </w:tblCellMar>
        </w:tblPrEx>
        <w:trPr>
          <w:trHeight w:val="688" w:hRule="atLeast"/>
        </w:trPr>
        <w:tc>
          <w:tcPr>
            <w:tcW w:w="1243" w:type="dxa"/>
            <w:vMerge w:val="continue"/>
            <w:tcBorders>
              <w:left w:val="single" w:color="auto" w:sz="4" w:space="0"/>
              <w:bottom w:val="single" w:color="auto" w:sz="4" w:space="0"/>
              <w:right w:val="single" w:color="auto" w:sz="4" w:space="0"/>
            </w:tcBorders>
            <w:vAlign w:val="center"/>
          </w:tcPr>
          <w:p>
            <w:pPr>
              <w:widowControl/>
              <w:jc w:val="left"/>
              <w:rPr>
                <w:rFonts w:ascii="宋体" w:hAnsi="宋体" w:cs="宋体"/>
                <w:kern w:val="0"/>
                <w:sz w:val="24"/>
                <w:szCs w:val="24"/>
              </w:rPr>
            </w:pPr>
          </w:p>
        </w:tc>
        <w:tc>
          <w:tcPr>
            <w:tcW w:w="1570" w:type="dxa"/>
            <w:tcBorders>
              <w:top w:val="single" w:color="auto" w:sz="4" w:space="0"/>
              <w:left w:val="single" w:color="auto" w:sz="4" w:space="0"/>
              <w:bottom w:val="single" w:color="auto" w:sz="4" w:space="0"/>
              <w:right w:val="single" w:color="auto" w:sz="4" w:space="0"/>
            </w:tcBorders>
            <w:vAlign w:val="center"/>
          </w:tcPr>
          <w:p>
            <w:pPr>
              <w:pStyle w:val="66"/>
              <w:kinsoku w:val="0"/>
              <w:overflowPunct w:val="0"/>
              <w:spacing w:before="116"/>
              <w:ind w:left="122" w:right="92"/>
              <w:jc w:val="center"/>
              <w:rPr>
                <w:rFonts w:hAnsi="宋体"/>
              </w:rPr>
            </w:pPr>
            <w:r>
              <w:rPr>
                <w:rFonts w:hint="eastAsia" w:hAnsi="宋体"/>
              </w:rPr>
              <w:t>其他要求</w:t>
            </w:r>
          </w:p>
        </w:tc>
        <w:tc>
          <w:tcPr>
            <w:tcW w:w="6504" w:type="dxa"/>
            <w:tcBorders>
              <w:top w:val="single" w:color="auto" w:sz="4" w:space="0"/>
              <w:left w:val="single" w:color="auto" w:sz="4" w:space="0"/>
              <w:bottom w:val="single" w:color="auto" w:sz="4" w:space="0"/>
              <w:right w:val="single" w:color="auto" w:sz="4" w:space="0"/>
            </w:tcBorders>
            <w:vAlign w:val="center"/>
          </w:tcPr>
          <w:p>
            <w:pPr>
              <w:pStyle w:val="66"/>
              <w:kinsoku w:val="0"/>
              <w:overflowPunct w:val="0"/>
              <w:spacing w:before="116"/>
              <w:ind w:left="107"/>
              <w:rPr>
                <w:rFonts w:hAnsi="宋体"/>
              </w:rPr>
            </w:pPr>
            <w:r>
              <w:rPr>
                <w:rFonts w:hint="eastAsia" w:hAnsi="宋体"/>
              </w:rPr>
              <w:t>不接受联合体投标</w:t>
            </w:r>
          </w:p>
        </w:tc>
      </w:tr>
    </w:tbl>
    <w:p>
      <w:pPr>
        <w:adjustRightInd w:val="0"/>
        <w:spacing w:line="440" w:lineRule="exact"/>
        <w:ind w:firstLine="480" w:firstLineChars="200"/>
        <w:rPr>
          <w:rFonts w:ascii="宋体" w:hAnsi="宋体" w:cs="宋体"/>
          <w:sz w:val="24"/>
          <w:szCs w:val="24"/>
        </w:rPr>
      </w:pPr>
      <w:r>
        <w:rPr>
          <w:rFonts w:hint="eastAsia" w:ascii="宋体" w:hAnsi="宋体" w:cs="宋体"/>
          <w:sz w:val="24"/>
          <w:szCs w:val="24"/>
        </w:rPr>
        <w:t>（2）符合性审查</w:t>
      </w:r>
    </w:p>
    <w:p>
      <w:pPr>
        <w:adjustRightInd w:val="0"/>
        <w:spacing w:line="440" w:lineRule="exact"/>
        <w:ind w:firstLine="480" w:firstLineChars="200"/>
        <w:rPr>
          <w:rFonts w:ascii="宋体" w:hAnsi="宋体" w:cs="宋体"/>
          <w:sz w:val="24"/>
          <w:szCs w:val="24"/>
        </w:rPr>
      </w:pPr>
      <w:r>
        <w:rPr>
          <w:rFonts w:hint="eastAsia" w:ascii="宋体" w:hAnsi="宋体" w:cs="宋体"/>
          <w:sz w:val="24"/>
          <w:szCs w:val="24"/>
        </w:rPr>
        <w:t>通过资格审查的投标单位，由评标专家进行评审。评委会根据招标文件，对投标文件进行符合性审查。</w:t>
      </w:r>
    </w:p>
    <w:p>
      <w:pPr>
        <w:spacing w:line="440" w:lineRule="exact"/>
        <w:ind w:firstLine="480" w:firstLineChars="200"/>
        <w:rPr>
          <w:rFonts w:ascii="宋体" w:hAnsi="宋体" w:cs="宋体"/>
          <w:sz w:val="24"/>
          <w:szCs w:val="24"/>
        </w:rPr>
      </w:pPr>
      <w:r>
        <w:rPr>
          <w:rFonts w:hint="eastAsia" w:ascii="宋体" w:hAnsi="宋体" w:cs="宋体"/>
          <w:sz w:val="24"/>
          <w:szCs w:val="24"/>
        </w:rPr>
        <w:t>在评标过程中，评委会发现供应商以他人名义投标、串通投标、以行贿手段谋取中标或者以其他弄虚作假方式投标的，应否决其投标。</w:t>
      </w:r>
    </w:p>
    <w:p>
      <w:pPr>
        <w:spacing w:line="440" w:lineRule="exact"/>
        <w:ind w:firstLine="480" w:firstLineChars="200"/>
        <w:rPr>
          <w:rFonts w:ascii="宋体" w:hAnsi="宋体" w:cs="宋体"/>
          <w:sz w:val="24"/>
          <w:szCs w:val="24"/>
        </w:rPr>
      </w:pPr>
      <w:r>
        <w:rPr>
          <w:rFonts w:hint="eastAsia" w:ascii="宋体" w:hAnsi="宋体" w:cs="宋体"/>
          <w:sz w:val="24"/>
          <w:szCs w:val="24"/>
        </w:rPr>
        <w:t>细微偏差是指投标文件在实质上响应招标文件要求，但在个别地方存在漏项或者提供了不完整的技术信息和数据等情况，并且补正这些遗漏或者不完整不会对其他供应商造成不公平的结果。评委会书面要求存在细微偏差的供应商在评标结束前予以补正。</w:t>
      </w:r>
    </w:p>
    <w:p>
      <w:pPr>
        <w:spacing w:line="440" w:lineRule="exact"/>
        <w:ind w:firstLine="480" w:firstLineChars="200"/>
        <w:rPr>
          <w:rFonts w:ascii="宋体" w:hAnsi="宋体" w:cs="宋体"/>
          <w:sz w:val="24"/>
          <w:szCs w:val="24"/>
        </w:rPr>
      </w:pPr>
      <w:r>
        <w:rPr>
          <w:rFonts w:hint="eastAsia" w:ascii="宋体" w:hAnsi="宋体" w:cs="宋体"/>
          <w:sz w:val="24"/>
          <w:szCs w:val="24"/>
        </w:rPr>
        <w:t>（3）评委会可以用书面方式要求供应商对投标文件中含义不明确、对同类问题表达不一致或者有明显文字和计算错误的内容作必要的澄清、署名或者补正。供应商的澄清、说明或者有补正的须以书面方式并不得超出投标文件的范围或者改变投标文件的实质性内容；</w:t>
      </w:r>
    </w:p>
    <w:p>
      <w:pPr>
        <w:spacing w:line="440" w:lineRule="exact"/>
        <w:ind w:firstLine="480" w:firstLineChars="200"/>
        <w:rPr>
          <w:rFonts w:ascii="宋体" w:hAnsi="宋体" w:cs="宋体"/>
          <w:sz w:val="24"/>
          <w:szCs w:val="24"/>
        </w:rPr>
      </w:pPr>
      <w:r>
        <w:rPr>
          <w:rFonts w:hint="eastAsia" w:ascii="宋体" w:hAnsi="宋体" w:cs="宋体"/>
          <w:sz w:val="24"/>
          <w:szCs w:val="24"/>
        </w:rPr>
        <w:t>（4）按照招标文件中规定的评标办法和标准,对资格性审查和符合性审查合格的投标文件进行评审、打分。</w:t>
      </w:r>
    </w:p>
    <w:p>
      <w:pPr>
        <w:spacing w:line="440" w:lineRule="exact"/>
        <w:ind w:firstLine="480" w:firstLineChars="200"/>
        <w:rPr>
          <w:rFonts w:ascii="宋体" w:hAnsi="宋体" w:cs="宋体"/>
          <w:sz w:val="24"/>
          <w:szCs w:val="24"/>
        </w:rPr>
      </w:pPr>
      <w:r>
        <w:rPr>
          <w:rFonts w:hint="eastAsia" w:ascii="宋体" w:hAnsi="宋体" w:cs="宋体"/>
          <w:sz w:val="24"/>
          <w:szCs w:val="24"/>
        </w:rPr>
        <w:t>（5）评委会在评标过程中发现的问题，应当及时作出处理或者向招标人提出处理建议，并作出书面记录；</w:t>
      </w:r>
    </w:p>
    <w:p>
      <w:pPr>
        <w:spacing w:line="440" w:lineRule="exact"/>
        <w:ind w:firstLine="480" w:firstLineChars="200"/>
        <w:rPr>
          <w:rFonts w:ascii="宋体" w:hAnsi="宋体" w:cs="宋体"/>
          <w:sz w:val="24"/>
          <w:szCs w:val="24"/>
        </w:rPr>
      </w:pPr>
      <w:r>
        <w:rPr>
          <w:rFonts w:hint="eastAsia" w:ascii="宋体" w:hAnsi="宋体" w:cs="宋体"/>
          <w:sz w:val="24"/>
          <w:szCs w:val="24"/>
        </w:rPr>
        <w:t>（6）评委会编写评标报告，根据评标得分高低进行排序，根据最终得分高低，从高到低向招标人推荐前3名为中标候选人。</w:t>
      </w:r>
    </w:p>
    <w:p>
      <w:pPr>
        <w:pStyle w:val="6"/>
        <w:ind w:firstLine="480" w:firstLineChars="200"/>
        <w:jc w:val="left"/>
        <w:rPr>
          <w:rFonts w:ascii="宋体" w:hAnsi="宋体" w:cs="宋体"/>
          <w:sz w:val="24"/>
        </w:rPr>
      </w:pPr>
      <w:r>
        <w:rPr>
          <w:rFonts w:hint="eastAsia" w:ascii="宋体" w:hAnsi="宋体" w:cs="宋体"/>
          <w:sz w:val="24"/>
        </w:rPr>
        <w:t>7.中标通知</w:t>
      </w:r>
    </w:p>
    <w:p>
      <w:pPr>
        <w:adjustRightInd w:val="0"/>
        <w:snapToGrid w:val="0"/>
        <w:spacing w:line="440" w:lineRule="exact"/>
        <w:ind w:right="31" w:rightChars="15" w:firstLine="480" w:firstLineChars="200"/>
        <w:rPr>
          <w:rFonts w:ascii="宋体" w:hAnsi="宋体" w:cs="宋体"/>
          <w:sz w:val="24"/>
          <w:szCs w:val="24"/>
        </w:rPr>
      </w:pPr>
      <w:r>
        <w:rPr>
          <w:rFonts w:hint="eastAsia" w:ascii="宋体" w:hAnsi="宋体" w:cs="宋体"/>
          <w:sz w:val="24"/>
          <w:szCs w:val="24"/>
        </w:rPr>
        <w:t>在本章第3.3款规定的投标有效期内，招标人以书面形式向中标人发出中标通知书，同时将中标结果通知未中标的供应商。</w:t>
      </w:r>
    </w:p>
    <w:p>
      <w:pPr>
        <w:pStyle w:val="6"/>
        <w:ind w:firstLine="480" w:firstLineChars="200"/>
        <w:jc w:val="left"/>
        <w:rPr>
          <w:rFonts w:ascii="宋体" w:hAnsi="宋体" w:cs="宋体"/>
          <w:sz w:val="24"/>
        </w:rPr>
      </w:pPr>
      <w:r>
        <w:rPr>
          <w:rFonts w:hint="eastAsia" w:ascii="宋体" w:hAnsi="宋体" w:cs="宋体"/>
          <w:sz w:val="24"/>
        </w:rPr>
        <w:t>8.合同签订</w:t>
      </w:r>
    </w:p>
    <w:p>
      <w:pPr>
        <w:adjustRightInd w:val="0"/>
        <w:snapToGrid w:val="0"/>
        <w:spacing w:line="440" w:lineRule="exact"/>
        <w:ind w:right="31" w:rightChars="15" w:firstLine="480" w:firstLineChars="200"/>
        <w:rPr>
          <w:rFonts w:ascii="宋体" w:hAnsi="宋体" w:cs="宋体"/>
          <w:sz w:val="24"/>
          <w:szCs w:val="24"/>
        </w:rPr>
      </w:pPr>
      <w:r>
        <w:rPr>
          <w:rFonts w:hint="eastAsia" w:ascii="宋体" w:hAnsi="宋体" w:cs="宋体"/>
          <w:sz w:val="24"/>
          <w:szCs w:val="24"/>
        </w:rPr>
        <w:t>8.1 招标人和中标人应当自中标通知书发出之日起15天内，根据招标文件和中标人的投标文件订立书面合同。中标人无正当理由拒签合同的，招标人取消其中标资格。</w:t>
      </w:r>
    </w:p>
    <w:p>
      <w:pPr>
        <w:adjustRightInd w:val="0"/>
        <w:snapToGrid w:val="0"/>
        <w:spacing w:line="440" w:lineRule="exact"/>
        <w:ind w:right="31" w:rightChars="15" w:firstLine="480" w:firstLineChars="200"/>
        <w:rPr>
          <w:rFonts w:ascii="宋体" w:hAnsi="宋体" w:cs="宋体"/>
          <w:sz w:val="24"/>
          <w:szCs w:val="24"/>
        </w:rPr>
      </w:pPr>
      <w:r>
        <w:rPr>
          <w:rFonts w:hint="eastAsia" w:ascii="宋体" w:hAnsi="宋体" w:cs="宋体"/>
          <w:sz w:val="24"/>
          <w:szCs w:val="24"/>
        </w:rPr>
        <w:t>8.2 合同协议书经双方法定代表人或其授权的代理人签署并加电子签章后生效。</w:t>
      </w:r>
    </w:p>
    <w:p>
      <w:pPr>
        <w:pStyle w:val="6"/>
        <w:ind w:firstLine="480" w:firstLineChars="200"/>
        <w:jc w:val="left"/>
        <w:rPr>
          <w:rFonts w:ascii="宋体" w:hAnsi="宋体" w:cs="宋体"/>
          <w:sz w:val="24"/>
        </w:rPr>
      </w:pPr>
      <w:r>
        <w:rPr>
          <w:rFonts w:hint="eastAsia" w:ascii="宋体" w:hAnsi="宋体" w:cs="宋体"/>
          <w:sz w:val="24"/>
        </w:rPr>
        <w:t>9.重新招标</w:t>
      </w:r>
    </w:p>
    <w:p>
      <w:pPr>
        <w:adjustRightInd w:val="0"/>
        <w:snapToGrid w:val="0"/>
        <w:spacing w:line="440" w:lineRule="exact"/>
        <w:ind w:right="31" w:rightChars="15" w:firstLine="480" w:firstLineChars="200"/>
        <w:rPr>
          <w:rFonts w:ascii="宋体" w:hAnsi="宋体" w:cs="宋体"/>
          <w:sz w:val="24"/>
          <w:szCs w:val="24"/>
        </w:rPr>
      </w:pPr>
      <w:r>
        <w:rPr>
          <w:rFonts w:hint="eastAsia" w:ascii="宋体" w:hAnsi="宋体" w:cs="宋体"/>
          <w:sz w:val="24"/>
          <w:szCs w:val="24"/>
        </w:rPr>
        <w:t>有下列情形之一的，招标人将重新招标：</w:t>
      </w:r>
    </w:p>
    <w:p>
      <w:pPr>
        <w:adjustRightInd w:val="0"/>
        <w:snapToGrid w:val="0"/>
        <w:spacing w:line="440" w:lineRule="exact"/>
        <w:ind w:right="31" w:rightChars="15" w:firstLine="480" w:firstLineChars="200"/>
        <w:rPr>
          <w:rFonts w:ascii="宋体" w:hAnsi="宋体" w:cs="宋体"/>
          <w:sz w:val="24"/>
          <w:szCs w:val="24"/>
        </w:rPr>
      </w:pPr>
      <w:r>
        <w:rPr>
          <w:rFonts w:hint="eastAsia" w:ascii="宋体" w:hAnsi="宋体" w:cs="宋体"/>
          <w:sz w:val="24"/>
          <w:szCs w:val="24"/>
        </w:rPr>
        <w:t>（1）投标截止时间止，供应商少于3个的；</w:t>
      </w:r>
    </w:p>
    <w:p>
      <w:pPr>
        <w:adjustRightInd w:val="0"/>
        <w:snapToGrid w:val="0"/>
        <w:spacing w:line="440" w:lineRule="exact"/>
        <w:ind w:right="31" w:rightChars="15" w:firstLine="480" w:firstLineChars="200"/>
        <w:rPr>
          <w:rFonts w:ascii="宋体" w:hAnsi="宋体" w:cs="宋体"/>
          <w:sz w:val="24"/>
          <w:szCs w:val="24"/>
        </w:rPr>
      </w:pPr>
      <w:r>
        <w:rPr>
          <w:rFonts w:hint="eastAsia" w:ascii="宋体" w:hAnsi="宋体" w:cs="宋体"/>
          <w:sz w:val="24"/>
          <w:szCs w:val="24"/>
        </w:rPr>
        <w:t>（2）经评标委员会评审后否决所有投标的；</w:t>
      </w:r>
    </w:p>
    <w:p>
      <w:pPr>
        <w:pStyle w:val="6"/>
        <w:ind w:firstLine="480" w:firstLineChars="200"/>
        <w:jc w:val="left"/>
        <w:rPr>
          <w:rFonts w:ascii="宋体" w:hAnsi="宋体" w:cs="宋体"/>
          <w:sz w:val="24"/>
        </w:rPr>
      </w:pPr>
      <w:r>
        <w:rPr>
          <w:rFonts w:hint="eastAsia" w:ascii="宋体" w:hAnsi="宋体" w:cs="宋体"/>
          <w:sz w:val="24"/>
        </w:rPr>
        <w:t>10.纪律和监督</w:t>
      </w:r>
    </w:p>
    <w:p>
      <w:pPr>
        <w:adjustRightInd w:val="0"/>
        <w:snapToGrid w:val="0"/>
        <w:spacing w:line="440" w:lineRule="exact"/>
        <w:ind w:firstLine="480" w:firstLineChars="200"/>
        <w:rPr>
          <w:rFonts w:ascii="宋体" w:hAnsi="宋体" w:cs="宋体"/>
          <w:b/>
          <w:bCs/>
          <w:sz w:val="24"/>
          <w:szCs w:val="24"/>
        </w:rPr>
      </w:pPr>
      <w:r>
        <w:rPr>
          <w:rFonts w:hint="eastAsia" w:ascii="宋体" w:hAnsi="宋体" w:cs="宋体"/>
          <w:b/>
          <w:bCs/>
          <w:sz w:val="24"/>
          <w:szCs w:val="24"/>
        </w:rPr>
        <w:t>10.1 对招标人的纪律要求</w:t>
      </w:r>
    </w:p>
    <w:p>
      <w:pPr>
        <w:adjustRightInd w:val="0"/>
        <w:snapToGrid w:val="0"/>
        <w:spacing w:line="440" w:lineRule="exact"/>
        <w:ind w:right="31" w:rightChars="15" w:firstLine="480" w:firstLineChars="200"/>
        <w:rPr>
          <w:rFonts w:ascii="宋体" w:hAnsi="宋体" w:cs="宋体"/>
          <w:sz w:val="24"/>
          <w:szCs w:val="24"/>
        </w:rPr>
      </w:pPr>
      <w:r>
        <w:rPr>
          <w:rFonts w:hint="eastAsia" w:ascii="宋体" w:hAnsi="宋体" w:cs="宋体"/>
          <w:sz w:val="24"/>
          <w:szCs w:val="24"/>
        </w:rPr>
        <w:t>招标人不得泄漏招标投标活动中应当保密的情况和资料，不得与供应商串通损害国家利益、社会公共利益或者他人合法权益。</w:t>
      </w:r>
    </w:p>
    <w:p>
      <w:pPr>
        <w:adjustRightInd w:val="0"/>
        <w:snapToGrid w:val="0"/>
        <w:spacing w:line="440" w:lineRule="exact"/>
        <w:ind w:firstLine="480" w:firstLineChars="200"/>
        <w:rPr>
          <w:rFonts w:ascii="宋体" w:hAnsi="宋体" w:cs="宋体"/>
          <w:b/>
          <w:bCs/>
          <w:sz w:val="24"/>
          <w:szCs w:val="24"/>
        </w:rPr>
      </w:pPr>
      <w:r>
        <w:rPr>
          <w:rFonts w:hint="eastAsia" w:ascii="宋体" w:hAnsi="宋体" w:cs="宋体"/>
          <w:b/>
          <w:bCs/>
          <w:sz w:val="24"/>
          <w:szCs w:val="24"/>
        </w:rPr>
        <w:t>10.2 对供应商的纪律要求</w:t>
      </w:r>
    </w:p>
    <w:p>
      <w:pPr>
        <w:adjustRightInd w:val="0"/>
        <w:snapToGrid w:val="0"/>
        <w:spacing w:line="440" w:lineRule="exact"/>
        <w:ind w:right="31" w:rightChars="15" w:firstLine="480" w:firstLineChars="200"/>
        <w:rPr>
          <w:rFonts w:ascii="宋体" w:hAnsi="宋体" w:cs="宋体"/>
          <w:sz w:val="24"/>
          <w:szCs w:val="24"/>
        </w:rPr>
      </w:pPr>
      <w:r>
        <w:rPr>
          <w:rFonts w:hint="eastAsia" w:ascii="宋体" w:hAnsi="宋体" w:cs="宋体"/>
          <w:sz w:val="24"/>
          <w:szCs w:val="24"/>
        </w:rPr>
        <w:t>供应商不得相互串通投标或者与招标人串通投标，不得向招标人或者评标委员会成员行贿谋取中标，不得以他人名义投标或者以其他方式弄虚作假骗取中标；供应商不得以任何方式干扰、影响评标工作。</w:t>
      </w:r>
    </w:p>
    <w:p>
      <w:pPr>
        <w:adjustRightInd w:val="0"/>
        <w:snapToGrid w:val="0"/>
        <w:spacing w:line="440" w:lineRule="exact"/>
        <w:ind w:firstLine="480" w:firstLineChars="200"/>
        <w:rPr>
          <w:rFonts w:ascii="宋体" w:hAnsi="宋体" w:cs="宋体"/>
          <w:b/>
          <w:bCs/>
          <w:sz w:val="24"/>
          <w:szCs w:val="24"/>
        </w:rPr>
      </w:pPr>
      <w:r>
        <w:rPr>
          <w:rFonts w:hint="eastAsia" w:ascii="宋体" w:hAnsi="宋体" w:cs="宋体"/>
          <w:b/>
          <w:bCs/>
          <w:sz w:val="24"/>
          <w:szCs w:val="24"/>
        </w:rPr>
        <w:t>10.3 对评标委员会成员的纪律要求</w:t>
      </w:r>
    </w:p>
    <w:p>
      <w:pPr>
        <w:adjustRightInd w:val="0"/>
        <w:snapToGrid w:val="0"/>
        <w:spacing w:line="440" w:lineRule="exact"/>
        <w:ind w:right="31" w:rightChars="15" w:firstLine="480" w:firstLineChars="200"/>
        <w:rPr>
          <w:rFonts w:ascii="宋体" w:hAnsi="宋体" w:cs="宋体"/>
          <w:sz w:val="24"/>
          <w:szCs w:val="24"/>
        </w:rPr>
      </w:pPr>
      <w:r>
        <w:rPr>
          <w:rFonts w:hint="eastAsia" w:ascii="宋体" w:hAnsi="宋体" w:cs="宋体"/>
          <w:sz w:val="24"/>
          <w:szCs w:val="24"/>
        </w:rPr>
        <w:t>评标委员会成员不得收受他人的财物或者其他好处，不得向他人透漏对投标文件的评审和比较、中标候选人的推荐情况以及评标有关的其他情况。在评标活动中，评标委员会成员不得擅离职守，影响评标程序正常进行，不得使用第11项“评标标准和办法”没有规定的评审因素和标准进行评标。</w:t>
      </w:r>
    </w:p>
    <w:p>
      <w:pPr>
        <w:adjustRightInd w:val="0"/>
        <w:snapToGrid w:val="0"/>
        <w:spacing w:line="440" w:lineRule="exact"/>
        <w:ind w:firstLine="480" w:firstLineChars="200"/>
        <w:rPr>
          <w:rFonts w:ascii="宋体" w:hAnsi="宋体" w:cs="宋体"/>
          <w:b/>
          <w:bCs/>
          <w:sz w:val="24"/>
          <w:szCs w:val="24"/>
        </w:rPr>
      </w:pPr>
      <w:r>
        <w:rPr>
          <w:rFonts w:hint="eastAsia" w:ascii="宋体" w:hAnsi="宋体" w:cs="宋体"/>
          <w:b/>
          <w:bCs/>
          <w:sz w:val="24"/>
          <w:szCs w:val="24"/>
        </w:rPr>
        <w:t>10.4 对与评标活动有关的工作人员的纪律要求</w:t>
      </w:r>
    </w:p>
    <w:p>
      <w:pPr>
        <w:adjustRightInd w:val="0"/>
        <w:snapToGrid w:val="0"/>
        <w:spacing w:line="440" w:lineRule="exact"/>
        <w:ind w:right="31" w:rightChars="15" w:firstLine="480" w:firstLineChars="200"/>
        <w:rPr>
          <w:rFonts w:ascii="宋体" w:hAnsi="宋体" w:cs="宋体"/>
          <w:sz w:val="24"/>
          <w:szCs w:val="24"/>
        </w:rPr>
      </w:pPr>
      <w:r>
        <w:rPr>
          <w:rFonts w:hint="eastAsia" w:ascii="宋体" w:hAnsi="宋体" w:cs="宋体"/>
          <w:sz w:val="24"/>
          <w:szCs w:val="24"/>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p>
    <w:p>
      <w:pPr>
        <w:adjustRightInd w:val="0"/>
        <w:snapToGrid w:val="0"/>
        <w:spacing w:line="440" w:lineRule="exact"/>
        <w:ind w:firstLine="480" w:firstLineChars="200"/>
        <w:rPr>
          <w:rFonts w:ascii="宋体" w:hAnsi="宋体" w:cs="宋体"/>
          <w:b/>
          <w:bCs/>
          <w:sz w:val="24"/>
          <w:szCs w:val="24"/>
        </w:rPr>
      </w:pPr>
      <w:r>
        <w:rPr>
          <w:rFonts w:hint="eastAsia" w:ascii="宋体" w:hAnsi="宋体" w:cs="宋体"/>
          <w:b/>
          <w:bCs/>
          <w:sz w:val="24"/>
          <w:szCs w:val="24"/>
        </w:rPr>
        <w:t>10.5 投诉</w:t>
      </w:r>
    </w:p>
    <w:p>
      <w:pPr>
        <w:adjustRightInd w:val="0"/>
        <w:snapToGrid w:val="0"/>
        <w:spacing w:line="440" w:lineRule="exact"/>
        <w:ind w:right="31" w:rightChars="15" w:firstLine="480" w:firstLineChars="200"/>
        <w:rPr>
          <w:rFonts w:ascii="宋体" w:hAnsi="宋体" w:cs="宋体"/>
          <w:sz w:val="24"/>
          <w:szCs w:val="24"/>
        </w:rPr>
      </w:pPr>
      <w:r>
        <w:rPr>
          <w:rFonts w:hint="eastAsia" w:ascii="宋体" w:hAnsi="宋体" w:cs="宋体"/>
          <w:sz w:val="24"/>
          <w:szCs w:val="24"/>
        </w:rPr>
        <w:t>供应商和其他利害关系人认为本次招标活动违反法律、法规和规章规定的，有权向有关行政监督部门投诉。</w:t>
      </w:r>
    </w:p>
    <w:p>
      <w:pPr>
        <w:adjustRightInd w:val="0"/>
        <w:snapToGrid w:val="0"/>
        <w:spacing w:line="440" w:lineRule="exact"/>
        <w:ind w:firstLine="480" w:firstLineChars="200"/>
        <w:rPr>
          <w:rFonts w:ascii="宋体" w:hAnsi="宋体" w:cs="宋体"/>
          <w:b/>
          <w:bCs/>
          <w:sz w:val="24"/>
          <w:szCs w:val="24"/>
        </w:rPr>
      </w:pPr>
      <w:r>
        <w:rPr>
          <w:rFonts w:hint="eastAsia" w:ascii="宋体" w:hAnsi="宋体" w:cs="宋体"/>
          <w:b/>
          <w:bCs/>
          <w:sz w:val="24"/>
          <w:szCs w:val="24"/>
        </w:rPr>
        <w:t>10.6其他规定</w:t>
      </w:r>
      <w:bookmarkStart w:id="23" w:name="_Toc525062094"/>
      <w:bookmarkEnd w:id="23"/>
      <w:bookmarkStart w:id="24" w:name="_Toc9689"/>
      <w:bookmarkEnd w:id="24"/>
    </w:p>
    <w:p>
      <w:pPr>
        <w:adjustRightInd w:val="0"/>
        <w:snapToGrid w:val="0"/>
        <w:spacing w:line="440" w:lineRule="exact"/>
        <w:ind w:firstLine="480" w:firstLineChars="200"/>
        <w:rPr>
          <w:rFonts w:ascii="宋体" w:hAnsi="宋体" w:cs="宋体"/>
          <w:sz w:val="24"/>
          <w:szCs w:val="24"/>
        </w:rPr>
      </w:pPr>
      <w:r>
        <w:rPr>
          <w:rFonts w:hint="eastAsia" w:ascii="宋体" w:hAnsi="宋体" w:cs="宋体"/>
          <w:sz w:val="24"/>
          <w:szCs w:val="24"/>
        </w:rPr>
        <w:t>无</w:t>
      </w:r>
    </w:p>
    <w:p>
      <w:pPr>
        <w:pStyle w:val="6"/>
        <w:ind w:firstLine="480" w:firstLineChars="200"/>
        <w:jc w:val="left"/>
        <w:rPr>
          <w:rFonts w:ascii="宋体" w:hAnsi="宋体" w:cs="宋体"/>
          <w:sz w:val="24"/>
        </w:rPr>
      </w:pPr>
      <w:r>
        <w:rPr>
          <w:rFonts w:hint="eastAsia" w:ascii="宋体" w:hAnsi="宋体" w:cs="宋体"/>
          <w:sz w:val="24"/>
        </w:rPr>
        <w:t>11. 评标标准和办法</w:t>
      </w:r>
    </w:p>
    <w:p>
      <w:pPr>
        <w:adjustRightInd w:val="0"/>
        <w:snapToGrid w:val="0"/>
        <w:spacing w:line="440" w:lineRule="exact"/>
        <w:ind w:firstLine="480" w:firstLineChars="200"/>
        <w:rPr>
          <w:rFonts w:ascii="宋体" w:hAnsi="宋体" w:cs="宋体"/>
          <w:b/>
          <w:bCs/>
          <w:sz w:val="24"/>
          <w:szCs w:val="24"/>
        </w:rPr>
      </w:pPr>
      <w:r>
        <w:rPr>
          <w:rFonts w:hint="eastAsia" w:ascii="宋体" w:hAnsi="宋体" w:cs="宋体"/>
          <w:b/>
          <w:bCs/>
          <w:sz w:val="24"/>
          <w:szCs w:val="24"/>
        </w:rPr>
        <w:t>11.1符合性审查</w:t>
      </w:r>
    </w:p>
    <w:tbl>
      <w:tblPr>
        <w:tblStyle w:val="46"/>
        <w:tblW w:w="9841" w:type="dxa"/>
        <w:tblInd w:w="-79" w:type="dxa"/>
        <w:tblLayout w:type="fixed"/>
        <w:tblCellMar>
          <w:top w:w="0" w:type="dxa"/>
          <w:left w:w="0" w:type="dxa"/>
          <w:bottom w:w="0" w:type="dxa"/>
          <w:right w:w="0" w:type="dxa"/>
        </w:tblCellMar>
      </w:tblPr>
      <w:tblGrid>
        <w:gridCol w:w="713"/>
        <w:gridCol w:w="1474"/>
        <w:gridCol w:w="2150"/>
        <w:gridCol w:w="5504"/>
      </w:tblGrid>
      <w:tr>
        <w:tblPrEx>
          <w:tblCellMar>
            <w:top w:w="0" w:type="dxa"/>
            <w:left w:w="0" w:type="dxa"/>
            <w:bottom w:w="0" w:type="dxa"/>
            <w:right w:w="0" w:type="dxa"/>
          </w:tblCellMar>
        </w:tblPrEx>
        <w:trPr>
          <w:trHeight w:val="534" w:hRule="atLeast"/>
        </w:trPr>
        <w:tc>
          <w:tcPr>
            <w:tcW w:w="713" w:type="dxa"/>
            <w:vMerge w:val="restart"/>
            <w:tcBorders>
              <w:top w:val="single" w:color="000000" w:sz="4" w:space="0"/>
              <w:left w:val="single" w:color="000000" w:sz="4" w:space="0"/>
              <w:bottom w:val="single" w:color="000000" w:sz="4" w:space="0"/>
              <w:right w:val="single" w:color="000000" w:sz="4" w:space="0"/>
            </w:tcBorders>
            <w:vAlign w:val="center"/>
          </w:tcPr>
          <w:p>
            <w:pPr>
              <w:pStyle w:val="66"/>
              <w:kinsoku w:val="0"/>
              <w:overflowPunct w:val="0"/>
              <w:ind w:left="106"/>
              <w:jc w:val="center"/>
              <w:rPr>
                <w:rFonts w:hAnsi="宋体"/>
              </w:rPr>
            </w:pPr>
            <w:r>
              <w:rPr>
                <w:rFonts w:hint="eastAsia" w:hAnsi="宋体"/>
              </w:rPr>
              <w:t>1</w:t>
            </w:r>
          </w:p>
        </w:tc>
        <w:tc>
          <w:tcPr>
            <w:tcW w:w="1474" w:type="dxa"/>
            <w:vMerge w:val="restart"/>
            <w:tcBorders>
              <w:top w:val="single" w:color="000000" w:sz="4" w:space="0"/>
              <w:left w:val="nil"/>
              <w:bottom w:val="single" w:color="000000" w:sz="4" w:space="0"/>
              <w:right w:val="single" w:color="000000" w:sz="4" w:space="0"/>
            </w:tcBorders>
            <w:vAlign w:val="center"/>
          </w:tcPr>
          <w:p>
            <w:pPr>
              <w:pStyle w:val="66"/>
              <w:kinsoku w:val="0"/>
              <w:overflowPunct w:val="0"/>
              <w:spacing w:before="1" w:line="316" w:lineRule="auto"/>
              <w:ind w:left="233" w:right="226"/>
              <w:jc w:val="center"/>
              <w:rPr>
                <w:rFonts w:hAnsi="宋体"/>
              </w:rPr>
            </w:pPr>
            <w:r>
              <w:rPr>
                <w:rFonts w:hint="eastAsia" w:hAnsi="宋体"/>
              </w:rPr>
              <w:t>形式评审标准</w:t>
            </w:r>
          </w:p>
        </w:tc>
        <w:tc>
          <w:tcPr>
            <w:tcW w:w="2150" w:type="dxa"/>
            <w:tcBorders>
              <w:top w:val="single" w:color="000000" w:sz="4" w:space="0"/>
              <w:left w:val="nil"/>
              <w:bottom w:val="single" w:color="000000" w:sz="4" w:space="0"/>
              <w:right w:val="single" w:color="000000" w:sz="4" w:space="0"/>
            </w:tcBorders>
            <w:vAlign w:val="center"/>
          </w:tcPr>
          <w:p>
            <w:pPr>
              <w:pStyle w:val="66"/>
              <w:kinsoku w:val="0"/>
              <w:overflowPunct w:val="0"/>
              <w:spacing w:before="50"/>
              <w:ind w:left="122" w:right="95"/>
              <w:jc w:val="center"/>
              <w:rPr>
                <w:rFonts w:hAnsi="宋体"/>
              </w:rPr>
            </w:pPr>
            <w:r>
              <w:rPr>
                <w:rFonts w:hint="eastAsia" w:hAnsi="宋体"/>
              </w:rPr>
              <w:t>供应商名称</w:t>
            </w:r>
          </w:p>
        </w:tc>
        <w:tc>
          <w:tcPr>
            <w:tcW w:w="5504" w:type="dxa"/>
            <w:tcBorders>
              <w:top w:val="single" w:color="000000" w:sz="4" w:space="0"/>
              <w:left w:val="nil"/>
              <w:bottom w:val="single" w:color="000000" w:sz="4" w:space="0"/>
              <w:right w:val="single" w:color="000000" w:sz="4" w:space="0"/>
            </w:tcBorders>
            <w:vAlign w:val="center"/>
          </w:tcPr>
          <w:p>
            <w:pPr>
              <w:pStyle w:val="66"/>
              <w:kinsoku w:val="0"/>
              <w:overflowPunct w:val="0"/>
              <w:spacing w:before="50"/>
              <w:ind w:left="107" w:right="95"/>
              <w:jc w:val="center"/>
              <w:rPr>
                <w:rFonts w:hAnsi="宋体"/>
              </w:rPr>
            </w:pPr>
            <w:r>
              <w:rPr>
                <w:rFonts w:hint="eastAsia" w:hAnsi="宋体"/>
              </w:rPr>
              <w:t>与营业执照一致</w:t>
            </w:r>
          </w:p>
        </w:tc>
      </w:tr>
      <w:tr>
        <w:tblPrEx>
          <w:tblCellMar>
            <w:top w:w="0" w:type="dxa"/>
            <w:left w:w="0" w:type="dxa"/>
            <w:bottom w:w="0" w:type="dxa"/>
            <w:right w:w="0" w:type="dxa"/>
          </w:tblCellMar>
        </w:tblPrEx>
        <w:trPr>
          <w:trHeight w:val="615" w:hRule="atLeast"/>
        </w:trPr>
        <w:tc>
          <w:tcPr>
            <w:tcW w:w="713"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kern w:val="0"/>
                <w:sz w:val="24"/>
                <w:szCs w:val="24"/>
              </w:rPr>
            </w:pPr>
          </w:p>
        </w:tc>
        <w:tc>
          <w:tcPr>
            <w:tcW w:w="1474" w:type="dxa"/>
            <w:vMerge w:val="continue"/>
            <w:tcBorders>
              <w:top w:val="single" w:color="000000" w:sz="4" w:space="0"/>
              <w:left w:val="nil"/>
              <w:bottom w:val="single" w:color="000000" w:sz="4" w:space="0"/>
              <w:right w:val="single" w:color="000000" w:sz="4" w:space="0"/>
            </w:tcBorders>
            <w:vAlign w:val="center"/>
          </w:tcPr>
          <w:p>
            <w:pPr>
              <w:widowControl/>
              <w:jc w:val="left"/>
              <w:rPr>
                <w:rFonts w:ascii="宋体" w:hAnsi="宋体" w:cs="宋体"/>
                <w:kern w:val="0"/>
                <w:sz w:val="24"/>
                <w:szCs w:val="24"/>
              </w:rPr>
            </w:pPr>
          </w:p>
        </w:tc>
        <w:tc>
          <w:tcPr>
            <w:tcW w:w="2150" w:type="dxa"/>
            <w:tcBorders>
              <w:top w:val="single" w:color="000000" w:sz="4" w:space="0"/>
              <w:left w:val="nil"/>
              <w:bottom w:val="single" w:color="000000" w:sz="4" w:space="0"/>
              <w:right w:val="single" w:color="000000" w:sz="4" w:space="0"/>
            </w:tcBorders>
            <w:vAlign w:val="center"/>
          </w:tcPr>
          <w:p>
            <w:pPr>
              <w:pStyle w:val="66"/>
              <w:kinsoku w:val="0"/>
              <w:overflowPunct w:val="0"/>
              <w:spacing w:before="50"/>
              <w:ind w:left="122" w:right="95"/>
              <w:jc w:val="center"/>
              <w:rPr>
                <w:rFonts w:hAnsi="宋体"/>
              </w:rPr>
            </w:pPr>
            <w:r>
              <w:rPr>
                <w:rFonts w:hint="eastAsia" w:hAnsi="宋体"/>
              </w:rPr>
              <w:t>投标函签字盖章</w:t>
            </w:r>
          </w:p>
        </w:tc>
        <w:tc>
          <w:tcPr>
            <w:tcW w:w="5504" w:type="dxa"/>
            <w:tcBorders>
              <w:top w:val="single" w:color="000000" w:sz="4" w:space="0"/>
              <w:left w:val="nil"/>
              <w:bottom w:val="single" w:color="000000" w:sz="4" w:space="0"/>
              <w:right w:val="single" w:color="000000" w:sz="4" w:space="0"/>
            </w:tcBorders>
            <w:vAlign w:val="center"/>
          </w:tcPr>
          <w:p>
            <w:pPr>
              <w:pStyle w:val="66"/>
              <w:kinsoku w:val="0"/>
              <w:overflowPunct w:val="0"/>
              <w:spacing w:before="52"/>
              <w:ind w:left="107"/>
              <w:jc w:val="center"/>
              <w:rPr>
                <w:rFonts w:hAnsi="宋体"/>
              </w:rPr>
            </w:pPr>
            <w:r>
              <w:rPr>
                <w:rFonts w:hint="eastAsia" w:hAnsi="宋体"/>
              </w:rPr>
              <w:t>有法定代表人或其委托代理人签字或盖章并加盖单位公章</w:t>
            </w:r>
          </w:p>
        </w:tc>
      </w:tr>
      <w:tr>
        <w:tblPrEx>
          <w:tblCellMar>
            <w:top w:w="0" w:type="dxa"/>
            <w:left w:w="0" w:type="dxa"/>
            <w:bottom w:w="0" w:type="dxa"/>
            <w:right w:w="0" w:type="dxa"/>
          </w:tblCellMar>
        </w:tblPrEx>
        <w:trPr>
          <w:trHeight w:val="714" w:hRule="atLeast"/>
        </w:trPr>
        <w:tc>
          <w:tcPr>
            <w:tcW w:w="713"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kern w:val="0"/>
                <w:sz w:val="24"/>
                <w:szCs w:val="24"/>
              </w:rPr>
            </w:pPr>
          </w:p>
        </w:tc>
        <w:tc>
          <w:tcPr>
            <w:tcW w:w="1474" w:type="dxa"/>
            <w:vMerge w:val="continue"/>
            <w:tcBorders>
              <w:top w:val="single" w:color="000000" w:sz="4" w:space="0"/>
              <w:left w:val="nil"/>
              <w:bottom w:val="single" w:color="000000" w:sz="4" w:space="0"/>
              <w:right w:val="single" w:color="000000" w:sz="4" w:space="0"/>
            </w:tcBorders>
            <w:vAlign w:val="center"/>
          </w:tcPr>
          <w:p>
            <w:pPr>
              <w:widowControl/>
              <w:jc w:val="left"/>
              <w:rPr>
                <w:rFonts w:ascii="宋体" w:hAnsi="宋体" w:cs="宋体"/>
                <w:kern w:val="0"/>
                <w:sz w:val="24"/>
                <w:szCs w:val="24"/>
              </w:rPr>
            </w:pPr>
          </w:p>
        </w:tc>
        <w:tc>
          <w:tcPr>
            <w:tcW w:w="2150" w:type="dxa"/>
            <w:tcBorders>
              <w:top w:val="single" w:color="000000" w:sz="4" w:space="0"/>
              <w:left w:val="nil"/>
              <w:bottom w:val="single" w:color="000000" w:sz="4" w:space="0"/>
              <w:right w:val="single" w:color="000000" w:sz="4" w:space="0"/>
            </w:tcBorders>
            <w:vAlign w:val="center"/>
          </w:tcPr>
          <w:p>
            <w:pPr>
              <w:pStyle w:val="66"/>
              <w:kinsoku w:val="0"/>
              <w:overflowPunct w:val="0"/>
              <w:spacing w:before="118"/>
              <w:ind w:left="122" w:right="95"/>
              <w:jc w:val="center"/>
              <w:rPr>
                <w:rFonts w:hAnsi="宋体"/>
              </w:rPr>
            </w:pPr>
            <w:r>
              <w:rPr>
                <w:rFonts w:hint="eastAsia" w:hAnsi="宋体"/>
              </w:rPr>
              <w:t>投标文件格式</w:t>
            </w:r>
          </w:p>
        </w:tc>
        <w:tc>
          <w:tcPr>
            <w:tcW w:w="5504" w:type="dxa"/>
            <w:tcBorders>
              <w:top w:val="single" w:color="000000" w:sz="4" w:space="0"/>
              <w:left w:val="nil"/>
              <w:bottom w:val="single" w:color="000000" w:sz="4" w:space="0"/>
              <w:right w:val="single" w:color="000000" w:sz="4" w:space="0"/>
            </w:tcBorders>
            <w:vAlign w:val="center"/>
          </w:tcPr>
          <w:p>
            <w:pPr>
              <w:pStyle w:val="66"/>
              <w:kinsoku w:val="0"/>
              <w:overflowPunct w:val="0"/>
              <w:spacing w:before="118"/>
              <w:ind w:left="107"/>
              <w:jc w:val="center"/>
              <w:rPr>
                <w:rFonts w:hAnsi="宋体"/>
              </w:rPr>
            </w:pPr>
            <w:r>
              <w:rPr>
                <w:rFonts w:hint="eastAsia" w:hAnsi="宋体"/>
              </w:rPr>
              <w:t>符合“投标文件格式”的要求</w:t>
            </w:r>
          </w:p>
        </w:tc>
      </w:tr>
      <w:tr>
        <w:tblPrEx>
          <w:tblCellMar>
            <w:top w:w="0" w:type="dxa"/>
            <w:left w:w="0" w:type="dxa"/>
            <w:bottom w:w="0" w:type="dxa"/>
            <w:right w:w="0" w:type="dxa"/>
          </w:tblCellMar>
        </w:tblPrEx>
        <w:trPr>
          <w:trHeight w:val="727" w:hRule="atLeast"/>
        </w:trPr>
        <w:tc>
          <w:tcPr>
            <w:tcW w:w="713"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kern w:val="0"/>
                <w:sz w:val="24"/>
                <w:szCs w:val="24"/>
              </w:rPr>
            </w:pPr>
          </w:p>
        </w:tc>
        <w:tc>
          <w:tcPr>
            <w:tcW w:w="1474" w:type="dxa"/>
            <w:vMerge w:val="continue"/>
            <w:tcBorders>
              <w:top w:val="single" w:color="000000" w:sz="4" w:space="0"/>
              <w:left w:val="nil"/>
              <w:bottom w:val="single" w:color="auto" w:sz="4" w:space="0"/>
              <w:right w:val="single" w:color="000000" w:sz="4" w:space="0"/>
            </w:tcBorders>
            <w:vAlign w:val="center"/>
          </w:tcPr>
          <w:p>
            <w:pPr>
              <w:widowControl/>
              <w:jc w:val="left"/>
              <w:rPr>
                <w:rFonts w:ascii="宋体" w:hAnsi="宋体" w:cs="宋体"/>
                <w:kern w:val="0"/>
                <w:sz w:val="24"/>
                <w:szCs w:val="24"/>
              </w:rPr>
            </w:pPr>
          </w:p>
        </w:tc>
        <w:tc>
          <w:tcPr>
            <w:tcW w:w="2150" w:type="dxa"/>
            <w:tcBorders>
              <w:top w:val="single" w:color="000000" w:sz="4" w:space="0"/>
              <w:left w:val="nil"/>
              <w:bottom w:val="single" w:color="auto" w:sz="4" w:space="0"/>
              <w:right w:val="single" w:color="000000" w:sz="4" w:space="0"/>
            </w:tcBorders>
            <w:vAlign w:val="center"/>
          </w:tcPr>
          <w:p>
            <w:pPr>
              <w:pStyle w:val="66"/>
              <w:kinsoku w:val="0"/>
              <w:overflowPunct w:val="0"/>
              <w:spacing w:before="142"/>
              <w:ind w:left="110" w:right="104"/>
              <w:jc w:val="center"/>
              <w:rPr>
                <w:rFonts w:hAnsi="宋体"/>
              </w:rPr>
            </w:pPr>
            <w:r>
              <w:rPr>
                <w:rFonts w:hint="eastAsia" w:hAnsi="宋体"/>
              </w:rPr>
              <w:t>报价唯一</w:t>
            </w:r>
          </w:p>
        </w:tc>
        <w:tc>
          <w:tcPr>
            <w:tcW w:w="5504" w:type="dxa"/>
            <w:tcBorders>
              <w:top w:val="single" w:color="000000" w:sz="4" w:space="0"/>
              <w:left w:val="nil"/>
              <w:bottom w:val="single" w:color="auto" w:sz="4" w:space="0"/>
              <w:right w:val="single" w:color="000000" w:sz="4" w:space="0"/>
            </w:tcBorders>
            <w:vAlign w:val="center"/>
          </w:tcPr>
          <w:p>
            <w:pPr>
              <w:pStyle w:val="66"/>
              <w:kinsoku w:val="0"/>
              <w:overflowPunct w:val="0"/>
              <w:spacing w:before="142"/>
              <w:ind w:left="107"/>
              <w:jc w:val="center"/>
              <w:rPr>
                <w:rFonts w:hAnsi="宋体"/>
              </w:rPr>
            </w:pPr>
            <w:r>
              <w:rPr>
                <w:rFonts w:hint="eastAsia" w:hAnsi="宋体"/>
              </w:rPr>
              <w:t>只能有一个有效报价</w:t>
            </w:r>
          </w:p>
        </w:tc>
      </w:tr>
      <w:tr>
        <w:tblPrEx>
          <w:tblCellMar>
            <w:top w:w="0" w:type="dxa"/>
            <w:left w:w="0" w:type="dxa"/>
            <w:bottom w:w="0" w:type="dxa"/>
            <w:right w:w="0" w:type="dxa"/>
          </w:tblCellMar>
        </w:tblPrEx>
        <w:trPr>
          <w:trHeight w:val="727" w:hRule="atLeast"/>
        </w:trPr>
        <w:tc>
          <w:tcPr>
            <w:tcW w:w="713"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kern w:val="0"/>
                <w:sz w:val="24"/>
                <w:szCs w:val="24"/>
              </w:rPr>
            </w:pPr>
            <w:r>
              <w:rPr>
                <w:rFonts w:hint="eastAsia" w:ascii="宋体" w:hAnsi="宋体" w:cs="宋体"/>
                <w:kern w:val="0"/>
                <w:sz w:val="22"/>
                <w:szCs w:val="22"/>
              </w:rPr>
              <w:t>2</w:t>
            </w:r>
          </w:p>
        </w:tc>
        <w:tc>
          <w:tcPr>
            <w:tcW w:w="1474" w:type="dxa"/>
            <w:tcBorders>
              <w:top w:val="single" w:color="000000" w:sz="4" w:space="0"/>
              <w:left w:val="nil"/>
              <w:bottom w:val="single" w:color="auto" w:sz="4" w:space="0"/>
              <w:right w:val="single" w:color="000000" w:sz="4" w:space="0"/>
            </w:tcBorders>
            <w:vAlign w:val="center"/>
          </w:tcPr>
          <w:p>
            <w:pPr>
              <w:widowControl/>
              <w:jc w:val="left"/>
              <w:rPr>
                <w:rFonts w:ascii="宋体" w:hAnsi="宋体" w:cs="宋体"/>
                <w:kern w:val="0"/>
                <w:sz w:val="24"/>
                <w:szCs w:val="24"/>
              </w:rPr>
            </w:pPr>
            <w:r>
              <w:rPr>
                <w:rFonts w:hint="eastAsia" w:ascii="宋体" w:hAnsi="宋体" w:cs="宋体"/>
                <w:kern w:val="0"/>
                <w:sz w:val="22"/>
                <w:szCs w:val="22"/>
              </w:rPr>
              <w:t>资格评审标准</w:t>
            </w:r>
          </w:p>
        </w:tc>
        <w:tc>
          <w:tcPr>
            <w:tcW w:w="2150" w:type="dxa"/>
            <w:tcBorders>
              <w:top w:val="single" w:color="000000" w:sz="4" w:space="0"/>
              <w:left w:val="nil"/>
              <w:bottom w:val="single" w:color="auto" w:sz="4" w:space="0"/>
              <w:right w:val="single" w:color="000000" w:sz="4" w:space="0"/>
            </w:tcBorders>
            <w:vAlign w:val="center"/>
          </w:tcPr>
          <w:p>
            <w:pPr>
              <w:wordWrap w:val="0"/>
              <w:spacing w:line="360" w:lineRule="auto"/>
              <w:jc w:val="center"/>
              <w:rPr>
                <w:rFonts w:ascii="宋体" w:hAnsi="宋体" w:cs="宋体"/>
              </w:rPr>
            </w:pPr>
            <w:r>
              <w:rPr>
                <w:rFonts w:hint="eastAsia" w:ascii="宋体" w:hAnsi="宋体" w:cs="宋体"/>
                <w:kern w:val="0"/>
                <w:sz w:val="22"/>
                <w:szCs w:val="22"/>
              </w:rPr>
              <w:t>供应商资格要求</w:t>
            </w:r>
          </w:p>
        </w:tc>
        <w:tc>
          <w:tcPr>
            <w:tcW w:w="5504" w:type="dxa"/>
            <w:tcBorders>
              <w:top w:val="single" w:color="000000" w:sz="4" w:space="0"/>
              <w:left w:val="nil"/>
              <w:bottom w:val="single" w:color="auto" w:sz="4" w:space="0"/>
              <w:right w:val="single" w:color="000000" w:sz="4" w:space="0"/>
            </w:tcBorders>
            <w:vAlign w:val="center"/>
          </w:tcPr>
          <w:p>
            <w:pPr>
              <w:pStyle w:val="66"/>
              <w:kinsoku w:val="0"/>
              <w:wordWrap w:val="0"/>
              <w:overflowPunct w:val="0"/>
              <w:spacing w:before="142" w:line="360" w:lineRule="auto"/>
              <w:ind w:left="107"/>
              <w:jc w:val="center"/>
              <w:rPr>
                <w:rFonts w:hAnsi="宋体"/>
                <w:sz w:val="22"/>
                <w:szCs w:val="22"/>
              </w:rPr>
            </w:pPr>
            <w:r>
              <w:rPr>
                <w:rFonts w:hint="eastAsia" w:hAnsi="宋体"/>
                <w:sz w:val="22"/>
                <w:szCs w:val="22"/>
              </w:rPr>
              <w:t>符合第二章“供应商须知前附表”第14项规定</w:t>
            </w:r>
          </w:p>
          <w:p>
            <w:pPr>
              <w:wordWrap w:val="0"/>
              <w:spacing w:line="240" w:lineRule="exact"/>
              <w:ind w:firstLine="440" w:firstLineChars="200"/>
              <w:rPr>
                <w:rFonts w:ascii="宋体" w:hAnsi="宋体" w:cs="宋体"/>
                <w:b/>
                <w:bCs/>
                <w:sz w:val="22"/>
                <w:szCs w:val="22"/>
              </w:rPr>
            </w:pPr>
          </w:p>
          <w:p>
            <w:pPr>
              <w:wordWrap w:val="0"/>
              <w:spacing w:line="360" w:lineRule="auto"/>
              <w:ind w:firstLine="440" w:firstLineChars="200"/>
              <w:rPr>
                <w:rFonts w:ascii="宋体" w:hAnsi="宋体" w:cs="宋体"/>
              </w:rPr>
            </w:pPr>
            <w:r>
              <w:rPr>
                <w:rFonts w:hint="eastAsia" w:ascii="宋体" w:hAnsi="宋体" w:cs="宋体"/>
                <w:b/>
                <w:bCs/>
                <w:sz w:val="22"/>
                <w:szCs w:val="22"/>
              </w:rPr>
              <w:t>注：</w:t>
            </w:r>
            <w:r>
              <w:rPr>
                <w:rFonts w:hint="eastAsia" w:ascii="宋体" w:hAnsi="宋体" w:cs="宋体"/>
                <w:b/>
                <w:sz w:val="22"/>
                <w:szCs w:val="22"/>
              </w:rPr>
              <w:t>采购人或代理机构依据《政府采购货物和服务招标投标管理办法》 87号令的规定，公开招标采购项目开标结束后，采购人或者采购代理机构应当依法对投标人的资格进行审查，</w:t>
            </w:r>
            <w:r>
              <w:rPr>
                <w:rFonts w:hint="eastAsia" w:ascii="宋体" w:hAnsi="宋体" w:cs="宋体"/>
                <w:b/>
                <w:bCs/>
                <w:sz w:val="22"/>
                <w:szCs w:val="22"/>
              </w:rPr>
              <w:t>投标人资格要求以及详细评审中涉及到资料须于开标前上传到会员诚信库系统，投标人可通过汝州市公共资源交易中心平台对会员诚信库直接进行变更维护，变更信息提交即时生效。</w:t>
            </w:r>
          </w:p>
        </w:tc>
      </w:tr>
      <w:tr>
        <w:tblPrEx>
          <w:tblCellMar>
            <w:top w:w="0" w:type="dxa"/>
            <w:left w:w="0" w:type="dxa"/>
            <w:bottom w:w="0" w:type="dxa"/>
            <w:right w:w="0" w:type="dxa"/>
          </w:tblCellMar>
        </w:tblPrEx>
        <w:trPr>
          <w:trHeight w:val="670" w:hRule="atLeast"/>
        </w:trPr>
        <w:tc>
          <w:tcPr>
            <w:tcW w:w="713" w:type="dxa"/>
            <w:vMerge w:val="restart"/>
            <w:tcBorders>
              <w:top w:val="nil"/>
              <w:left w:val="single" w:color="000000" w:sz="4" w:space="0"/>
              <w:bottom w:val="single" w:color="000000" w:sz="4" w:space="0"/>
              <w:right w:val="single" w:color="auto" w:sz="4" w:space="0"/>
            </w:tcBorders>
            <w:vAlign w:val="center"/>
          </w:tcPr>
          <w:p>
            <w:pPr>
              <w:pStyle w:val="66"/>
              <w:kinsoku w:val="0"/>
              <w:overflowPunct w:val="0"/>
              <w:ind w:left="106"/>
              <w:jc w:val="center"/>
              <w:rPr>
                <w:rFonts w:hAnsi="宋体"/>
              </w:rPr>
            </w:pPr>
            <w:r>
              <w:rPr>
                <w:rFonts w:hint="eastAsia" w:hAnsi="宋体"/>
              </w:rPr>
              <w:t>3</w:t>
            </w:r>
          </w:p>
        </w:tc>
        <w:tc>
          <w:tcPr>
            <w:tcW w:w="1474" w:type="dxa"/>
            <w:vMerge w:val="restart"/>
            <w:tcBorders>
              <w:top w:val="single" w:color="auto" w:sz="4" w:space="0"/>
              <w:left w:val="single" w:color="auto" w:sz="4" w:space="0"/>
              <w:bottom w:val="single" w:color="auto" w:sz="4" w:space="0"/>
              <w:right w:val="single" w:color="auto" w:sz="4" w:space="0"/>
            </w:tcBorders>
            <w:vAlign w:val="center"/>
          </w:tcPr>
          <w:p>
            <w:pPr>
              <w:pStyle w:val="66"/>
              <w:kinsoku w:val="0"/>
              <w:overflowPunct w:val="0"/>
              <w:spacing w:line="316" w:lineRule="auto"/>
              <w:ind w:left="233" w:right="224"/>
              <w:jc w:val="center"/>
              <w:rPr>
                <w:rFonts w:hAnsi="宋体"/>
              </w:rPr>
            </w:pPr>
            <w:r>
              <w:rPr>
                <w:rFonts w:hint="eastAsia" w:hAnsi="宋体"/>
              </w:rPr>
              <w:t>响应性评审标准</w:t>
            </w:r>
          </w:p>
        </w:tc>
        <w:tc>
          <w:tcPr>
            <w:tcW w:w="2150" w:type="dxa"/>
            <w:tcBorders>
              <w:top w:val="single" w:color="auto" w:sz="4" w:space="0"/>
              <w:left w:val="single" w:color="auto" w:sz="4" w:space="0"/>
              <w:bottom w:val="single" w:color="auto" w:sz="4" w:space="0"/>
              <w:right w:val="single" w:color="auto" w:sz="4" w:space="0"/>
            </w:tcBorders>
            <w:vAlign w:val="center"/>
          </w:tcPr>
          <w:p>
            <w:pPr>
              <w:pStyle w:val="66"/>
              <w:kinsoku w:val="0"/>
              <w:overflowPunct w:val="0"/>
              <w:spacing w:before="116"/>
              <w:ind w:left="122" w:right="97"/>
              <w:jc w:val="center"/>
              <w:rPr>
                <w:rFonts w:hAnsi="宋体"/>
              </w:rPr>
            </w:pPr>
            <w:r>
              <w:rPr>
                <w:rFonts w:hint="eastAsia" w:hAnsi="宋体"/>
              </w:rPr>
              <w:t>供货期及安装</w:t>
            </w:r>
          </w:p>
        </w:tc>
        <w:tc>
          <w:tcPr>
            <w:tcW w:w="5504" w:type="dxa"/>
            <w:tcBorders>
              <w:top w:val="single" w:color="auto" w:sz="4" w:space="0"/>
              <w:left w:val="single" w:color="auto" w:sz="4" w:space="0"/>
              <w:bottom w:val="single" w:color="auto" w:sz="4" w:space="0"/>
              <w:right w:val="single" w:color="auto" w:sz="4" w:space="0"/>
            </w:tcBorders>
            <w:vAlign w:val="center"/>
          </w:tcPr>
          <w:p>
            <w:pPr>
              <w:pStyle w:val="66"/>
              <w:kinsoku w:val="0"/>
              <w:overflowPunct w:val="0"/>
              <w:spacing w:before="116"/>
              <w:ind w:left="107"/>
              <w:jc w:val="center"/>
              <w:rPr>
                <w:rFonts w:hAnsi="宋体"/>
              </w:rPr>
            </w:pPr>
            <w:r>
              <w:rPr>
                <w:rFonts w:hint="eastAsia" w:hAnsi="宋体"/>
              </w:rPr>
              <w:t>符合第二章“供应商须知前附表”第9项规定</w:t>
            </w:r>
          </w:p>
        </w:tc>
      </w:tr>
      <w:tr>
        <w:tblPrEx>
          <w:tblCellMar>
            <w:top w:w="0" w:type="dxa"/>
            <w:left w:w="0" w:type="dxa"/>
            <w:bottom w:w="0" w:type="dxa"/>
            <w:right w:w="0" w:type="dxa"/>
          </w:tblCellMar>
        </w:tblPrEx>
        <w:trPr>
          <w:trHeight w:val="714" w:hRule="atLeast"/>
        </w:trPr>
        <w:tc>
          <w:tcPr>
            <w:tcW w:w="713" w:type="dxa"/>
            <w:vMerge w:val="continue"/>
            <w:tcBorders>
              <w:top w:val="nil"/>
              <w:left w:val="single" w:color="000000" w:sz="4" w:space="0"/>
              <w:bottom w:val="single" w:color="000000" w:sz="4" w:space="0"/>
              <w:right w:val="single" w:color="auto" w:sz="4" w:space="0"/>
            </w:tcBorders>
            <w:vAlign w:val="center"/>
          </w:tcPr>
          <w:p>
            <w:pPr>
              <w:widowControl/>
              <w:jc w:val="left"/>
              <w:rPr>
                <w:rFonts w:ascii="宋体" w:hAnsi="宋体" w:cs="宋体"/>
                <w:kern w:val="0"/>
                <w:sz w:val="24"/>
                <w:szCs w:val="24"/>
              </w:rPr>
            </w:pPr>
          </w:p>
        </w:tc>
        <w:tc>
          <w:tcPr>
            <w:tcW w:w="1474"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 w:val="24"/>
                <w:szCs w:val="24"/>
              </w:rPr>
            </w:pPr>
          </w:p>
        </w:tc>
        <w:tc>
          <w:tcPr>
            <w:tcW w:w="2150" w:type="dxa"/>
            <w:tcBorders>
              <w:top w:val="single" w:color="auto" w:sz="4" w:space="0"/>
              <w:left w:val="single" w:color="auto" w:sz="4" w:space="0"/>
              <w:bottom w:val="single" w:color="auto" w:sz="4" w:space="0"/>
              <w:right w:val="single" w:color="auto" w:sz="4" w:space="0"/>
            </w:tcBorders>
            <w:vAlign w:val="center"/>
          </w:tcPr>
          <w:p>
            <w:pPr>
              <w:pStyle w:val="66"/>
              <w:kinsoku w:val="0"/>
              <w:overflowPunct w:val="0"/>
              <w:spacing w:before="116"/>
              <w:ind w:left="122" w:right="97"/>
              <w:jc w:val="center"/>
              <w:rPr>
                <w:rFonts w:hAnsi="宋体"/>
              </w:rPr>
            </w:pPr>
            <w:r>
              <w:rPr>
                <w:rFonts w:hint="eastAsia" w:hAnsi="宋体"/>
              </w:rPr>
              <w:t>质量标准</w:t>
            </w:r>
          </w:p>
        </w:tc>
        <w:tc>
          <w:tcPr>
            <w:tcW w:w="5504" w:type="dxa"/>
            <w:tcBorders>
              <w:top w:val="single" w:color="auto" w:sz="4" w:space="0"/>
              <w:left w:val="single" w:color="auto" w:sz="4" w:space="0"/>
              <w:bottom w:val="single" w:color="auto" w:sz="4" w:space="0"/>
              <w:right w:val="single" w:color="auto" w:sz="4" w:space="0"/>
            </w:tcBorders>
            <w:vAlign w:val="center"/>
          </w:tcPr>
          <w:p>
            <w:pPr>
              <w:pStyle w:val="66"/>
              <w:kinsoku w:val="0"/>
              <w:overflowPunct w:val="0"/>
              <w:spacing w:before="116"/>
              <w:ind w:left="107"/>
              <w:jc w:val="center"/>
              <w:rPr>
                <w:rFonts w:hAnsi="宋体"/>
              </w:rPr>
            </w:pPr>
            <w:r>
              <w:rPr>
                <w:rFonts w:hint="eastAsia" w:hAnsi="宋体"/>
              </w:rPr>
              <w:t>符合第二章“供应商须知前附表” 第10项规定</w:t>
            </w:r>
          </w:p>
        </w:tc>
      </w:tr>
      <w:tr>
        <w:tblPrEx>
          <w:tblCellMar>
            <w:top w:w="0" w:type="dxa"/>
            <w:left w:w="0" w:type="dxa"/>
            <w:bottom w:w="0" w:type="dxa"/>
            <w:right w:w="0" w:type="dxa"/>
          </w:tblCellMar>
        </w:tblPrEx>
        <w:trPr>
          <w:trHeight w:val="714" w:hRule="atLeast"/>
        </w:trPr>
        <w:tc>
          <w:tcPr>
            <w:tcW w:w="713" w:type="dxa"/>
            <w:vMerge w:val="continue"/>
            <w:tcBorders>
              <w:top w:val="nil"/>
              <w:left w:val="single" w:color="000000" w:sz="4" w:space="0"/>
              <w:bottom w:val="single" w:color="000000" w:sz="4" w:space="0"/>
              <w:right w:val="single" w:color="000000" w:sz="4" w:space="0"/>
            </w:tcBorders>
            <w:vAlign w:val="center"/>
          </w:tcPr>
          <w:p>
            <w:pPr>
              <w:widowControl/>
              <w:jc w:val="left"/>
              <w:rPr>
                <w:rFonts w:ascii="宋体" w:hAnsi="宋体" w:cs="宋体"/>
                <w:kern w:val="0"/>
                <w:sz w:val="24"/>
                <w:szCs w:val="24"/>
              </w:rPr>
            </w:pPr>
          </w:p>
        </w:tc>
        <w:tc>
          <w:tcPr>
            <w:tcW w:w="1474" w:type="dxa"/>
            <w:vMerge w:val="continue"/>
            <w:tcBorders>
              <w:top w:val="single" w:color="auto" w:sz="4" w:space="0"/>
              <w:left w:val="nil"/>
              <w:bottom w:val="single" w:color="000000" w:sz="4" w:space="0"/>
              <w:right w:val="single" w:color="000000" w:sz="4" w:space="0"/>
            </w:tcBorders>
            <w:vAlign w:val="center"/>
          </w:tcPr>
          <w:p>
            <w:pPr>
              <w:widowControl/>
              <w:jc w:val="left"/>
              <w:rPr>
                <w:rFonts w:ascii="宋体" w:hAnsi="宋体" w:cs="宋体"/>
                <w:kern w:val="0"/>
                <w:sz w:val="24"/>
                <w:szCs w:val="24"/>
              </w:rPr>
            </w:pPr>
          </w:p>
        </w:tc>
        <w:tc>
          <w:tcPr>
            <w:tcW w:w="2150" w:type="dxa"/>
            <w:tcBorders>
              <w:top w:val="single" w:color="auto" w:sz="4" w:space="0"/>
              <w:left w:val="nil"/>
              <w:bottom w:val="single" w:color="000000" w:sz="4" w:space="0"/>
              <w:right w:val="single" w:color="000000" w:sz="4" w:space="0"/>
            </w:tcBorders>
            <w:vAlign w:val="center"/>
          </w:tcPr>
          <w:p>
            <w:pPr>
              <w:pStyle w:val="66"/>
              <w:kinsoku w:val="0"/>
              <w:overflowPunct w:val="0"/>
              <w:spacing w:before="116"/>
              <w:ind w:left="122" w:right="97"/>
              <w:jc w:val="center"/>
              <w:rPr>
                <w:rFonts w:hAnsi="宋体"/>
              </w:rPr>
            </w:pPr>
            <w:r>
              <w:rPr>
                <w:rFonts w:hint="eastAsia" w:hAnsi="宋体"/>
              </w:rPr>
              <w:t>质保期</w:t>
            </w:r>
          </w:p>
        </w:tc>
        <w:tc>
          <w:tcPr>
            <w:tcW w:w="5504" w:type="dxa"/>
            <w:tcBorders>
              <w:top w:val="single" w:color="auto" w:sz="4" w:space="0"/>
              <w:left w:val="nil"/>
              <w:bottom w:val="single" w:color="000000" w:sz="4" w:space="0"/>
              <w:right w:val="single" w:color="000000" w:sz="4" w:space="0"/>
            </w:tcBorders>
            <w:vAlign w:val="center"/>
          </w:tcPr>
          <w:p>
            <w:pPr>
              <w:pStyle w:val="66"/>
              <w:kinsoku w:val="0"/>
              <w:overflowPunct w:val="0"/>
              <w:spacing w:before="116"/>
              <w:ind w:left="107"/>
              <w:jc w:val="center"/>
              <w:rPr>
                <w:rFonts w:hAnsi="宋体"/>
              </w:rPr>
            </w:pPr>
            <w:r>
              <w:rPr>
                <w:rFonts w:hint="eastAsia" w:hAnsi="宋体"/>
              </w:rPr>
              <w:t>符合第二章“供应商须知前附表” 第11项规定</w:t>
            </w:r>
          </w:p>
        </w:tc>
      </w:tr>
      <w:tr>
        <w:tblPrEx>
          <w:tblCellMar>
            <w:top w:w="0" w:type="dxa"/>
            <w:left w:w="0" w:type="dxa"/>
            <w:bottom w:w="0" w:type="dxa"/>
            <w:right w:w="0" w:type="dxa"/>
          </w:tblCellMar>
        </w:tblPrEx>
        <w:trPr>
          <w:trHeight w:val="688" w:hRule="atLeast"/>
        </w:trPr>
        <w:tc>
          <w:tcPr>
            <w:tcW w:w="713" w:type="dxa"/>
            <w:vMerge w:val="continue"/>
            <w:tcBorders>
              <w:top w:val="nil"/>
              <w:left w:val="single" w:color="000000" w:sz="4" w:space="0"/>
              <w:bottom w:val="single" w:color="000000" w:sz="4" w:space="0"/>
              <w:right w:val="single" w:color="000000" w:sz="4" w:space="0"/>
            </w:tcBorders>
            <w:vAlign w:val="center"/>
          </w:tcPr>
          <w:p>
            <w:pPr>
              <w:widowControl/>
              <w:jc w:val="left"/>
              <w:rPr>
                <w:rFonts w:ascii="宋体" w:hAnsi="宋体" w:cs="宋体"/>
                <w:kern w:val="0"/>
                <w:sz w:val="24"/>
                <w:szCs w:val="24"/>
              </w:rPr>
            </w:pPr>
          </w:p>
        </w:tc>
        <w:tc>
          <w:tcPr>
            <w:tcW w:w="1474" w:type="dxa"/>
            <w:vMerge w:val="continue"/>
            <w:tcBorders>
              <w:top w:val="nil"/>
              <w:left w:val="nil"/>
              <w:bottom w:val="single" w:color="000000" w:sz="4" w:space="0"/>
              <w:right w:val="single" w:color="000000" w:sz="4" w:space="0"/>
            </w:tcBorders>
            <w:vAlign w:val="center"/>
          </w:tcPr>
          <w:p>
            <w:pPr>
              <w:widowControl/>
              <w:jc w:val="left"/>
              <w:rPr>
                <w:rFonts w:ascii="宋体" w:hAnsi="宋体" w:cs="宋体"/>
                <w:kern w:val="0"/>
                <w:sz w:val="24"/>
                <w:szCs w:val="24"/>
              </w:rPr>
            </w:pPr>
          </w:p>
        </w:tc>
        <w:tc>
          <w:tcPr>
            <w:tcW w:w="2150" w:type="dxa"/>
            <w:tcBorders>
              <w:top w:val="single" w:color="000000" w:sz="4" w:space="0"/>
              <w:left w:val="nil"/>
              <w:bottom w:val="single" w:color="000000" w:sz="4" w:space="0"/>
              <w:right w:val="single" w:color="000000" w:sz="4" w:space="0"/>
            </w:tcBorders>
            <w:vAlign w:val="center"/>
          </w:tcPr>
          <w:p>
            <w:pPr>
              <w:pStyle w:val="66"/>
              <w:kinsoku w:val="0"/>
              <w:overflowPunct w:val="0"/>
              <w:spacing w:before="116"/>
              <w:ind w:left="122" w:right="92"/>
              <w:jc w:val="center"/>
              <w:rPr>
                <w:rFonts w:hAnsi="宋体"/>
              </w:rPr>
            </w:pPr>
            <w:r>
              <w:rPr>
                <w:rFonts w:hint="eastAsia" w:hAnsi="宋体"/>
              </w:rPr>
              <w:t>投标有效期</w:t>
            </w:r>
          </w:p>
        </w:tc>
        <w:tc>
          <w:tcPr>
            <w:tcW w:w="5504" w:type="dxa"/>
            <w:tcBorders>
              <w:top w:val="single" w:color="000000" w:sz="4" w:space="0"/>
              <w:left w:val="nil"/>
              <w:bottom w:val="single" w:color="000000" w:sz="4" w:space="0"/>
              <w:right w:val="single" w:color="000000" w:sz="4" w:space="0"/>
            </w:tcBorders>
            <w:vAlign w:val="center"/>
          </w:tcPr>
          <w:p>
            <w:pPr>
              <w:pStyle w:val="66"/>
              <w:kinsoku w:val="0"/>
              <w:overflowPunct w:val="0"/>
              <w:spacing w:before="116"/>
              <w:ind w:left="107"/>
              <w:jc w:val="center"/>
              <w:rPr>
                <w:rFonts w:hAnsi="宋体"/>
              </w:rPr>
            </w:pPr>
            <w:r>
              <w:rPr>
                <w:rFonts w:hint="eastAsia" w:hAnsi="宋体"/>
              </w:rPr>
              <w:t>符合第二章“供应商须知前附表” 第13项规定</w:t>
            </w:r>
          </w:p>
        </w:tc>
      </w:tr>
    </w:tbl>
    <w:p>
      <w:pPr>
        <w:adjustRightInd w:val="0"/>
        <w:snapToGrid w:val="0"/>
        <w:spacing w:line="440" w:lineRule="exact"/>
        <w:ind w:firstLine="480" w:firstLineChars="200"/>
        <w:rPr>
          <w:rFonts w:ascii="宋体" w:hAnsi="宋体" w:cs="宋体"/>
          <w:b/>
          <w:bCs/>
          <w:sz w:val="24"/>
          <w:szCs w:val="24"/>
        </w:rPr>
      </w:pPr>
      <w:r>
        <w:rPr>
          <w:rFonts w:hint="eastAsia" w:ascii="宋体" w:hAnsi="宋体" w:cs="宋体"/>
          <w:b/>
          <w:bCs/>
          <w:sz w:val="24"/>
          <w:szCs w:val="24"/>
        </w:rPr>
        <w:t>11.2详细评审</w:t>
      </w:r>
    </w:p>
    <w:p>
      <w:pPr>
        <w:pStyle w:val="45"/>
        <w:ind w:firstLine="602"/>
        <w:jc w:val="center"/>
        <w:rPr>
          <w:rFonts w:ascii="宋体" w:hAnsi="宋体" w:cs="宋体"/>
          <w:b/>
          <w:sz w:val="28"/>
          <w:szCs w:val="32"/>
        </w:rPr>
      </w:pPr>
      <w:r>
        <w:rPr>
          <w:rFonts w:hint="eastAsia" w:ascii="宋体" w:hAnsi="宋体" w:cs="宋体"/>
          <w:b/>
          <w:sz w:val="28"/>
          <w:szCs w:val="32"/>
        </w:rPr>
        <w:t>详细评审</w:t>
      </w:r>
    </w:p>
    <w:tbl>
      <w:tblPr>
        <w:tblStyle w:val="46"/>
        <w:tblW w:w="9842" w:type="dxa"/>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8"/>
        <w:gridCol w:w="1336"/>
        <w:gridCol w:w="1922"/>
        <w:gridCol w:w="58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8" w:type="dxa"/>
            <w:shd w:val="clear" w:color="auto" w:fill="auto"/>
          </w:tcPr>
          <w:p>
            <w:pPr>
              <w:rPr>
                <w:rFonts w:ascii="宋体" w:hAnsi="宋体" w:cs="宋体"/>
                <w:sz w:val="24"/>
                <w:szCs w:val="24"/>
              </w:rPr>
            </w:pPr>
            <w:r>
              <w:rPr>
                <w:rFonts w:hint="eastAsia" w:ascii="宋体" w:hAnsi="宋体" w:cs="宋体"/>
                <w:sz w:val="24"/>
                <w:szCs w:val="24"/>
              </w:rPr>
              <w:t>序号</w:t>
            </w:r>
          </w:p>
        </w:tc>
        <w:tc>
          <w:tcPr>
            <w:tcW w:w="3258" w:type="dxa"/>
            <w:gridSpan w:val="2"/>
            <w:shd w:val="clear" w:color="auto" w:fill="auto"/>
            <w:vAlign w:val="center"/>
          </w:tcPr>
          <w:p>
            <w:pPr>
              <w:jc w:val="center"/>
              <w:rPr>
                <w:rFonts w:ascii="宋体" w:hAnsi="宋体" w:cs="宋体"/>
                <w:sz w:val="24"/>
                <w:szCs w:val="24"/>
              </w:rPr>
            </w:pPr>
            <w:r>
              <w:rPr>
                <w:rFonts w:hint="eastAsia" w:ascii="宋体" w:hAnsi="宋体" w:cs="宋体"/>
                <w:sz w:val="24"/>
                <w:szCs w:val="24"/>
              </w:rPr>
              <w:t>评分类别</w:t>
            </w:r>
          </w:p>
        </w:tc>
        <w:tc>
          <w:tcPr>
            <w:tcW w:w="5816" w:type="dxa"/>
            <w:shd w:val="clear" w:color="auto" w:fill="auto"/>
            <w:vAlign w:val="center"/>
          </w:tcPr>
          <w:p>
            <w:pPr>
              <w:jc w:val="center"/>
              <w:rPr>
                <w:rFonts w:ascii="宋体" w:hAnsi="宋体" w:cs="宋体"/>
                <w:sz w:val="24"/>
                <w:szCs w:val="24"/>
              </w:rPr>
            </w:pPr>
            <w:r>
              <w:rPr>
                <w:rFonts w:hint="eastAsia" w:ascii="宋体" w:hAnsi="宋体" w:cs="宋体"/>
                <w:sz w:val="24"/>
                <w:szCs w:val="24"/>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8" w:type="dxa"/>
            <w:shd w:val="clear" w:color="auto" w:fill="auto"/>
          </w:tcPr>
          <w:p>
            <w:pPr>
              <w:rPr>
                <w:rFonts w:ascii="宋体" w:hAnsi="宋体" w:cs="宋体"/>
                <w:sz w:val="24"/>
                <w:szCs w:val="24"/>
              </w:rPr>
            </w:pPr>
            <w:r>
              <w:rPr>
                <w:rFonts w:hint="eastAsia" w:ascii="宋体" w:hAnsi="宋体" w:cs="宋体"/>
                <w:sz w:val="24"/>
                <w:szCs w:val="24"/>
              </w:rPr>
              <w:t>1</w:t>
            </w:r>
          </w:p>
        </w:tc>
        <w:tc>
          <w:tcPr>
            <w:tcW w:w="1336" w:type="dxa"/>
            <w:shd w:val="clear" w:color="auto" w:fill="auto"/>
            <w:vAlign w:val="center"/>
          </w:tcPr>
          <w:p>
            <w:pPr>
              <w:rPr>
                <w:rFonts w:ascii="宋体" w:hAnsi="宋体" w:cs="宋体"/>
                <w:sz w:val="24"/>
                <w:szCs w:val="24"/>
              </w:rPr>
            </w:pPr>
            <w:r>
              <w:rPr>
                <w:rFonts w:hint="eastAsia" w:ascii="宋体" w:hAnsi="宋体" w:cs="宋体"/>
                <w:sz w:val="24"/>
                <w:szCs w:val="24"/>
              </w:rPr>
              <w:t>商务部分（30分）</w:t>
            </w:r>
          </w:p>
        </w:tc>
        <w:tc>
          <w:tcPr>
            <w:tcW w:w="1922" w:type="dxa"/>
            <w:shd w:val="clear" w:color="auto" w:fill="auto"/>
            <w:vAlign w:val="center"/>
          </w:tcPr>
          <w:p>
            <w:pPr>
              <w:rPr>
                <w:rFonts w:ascii="宋体" w:hAnsi="宋体" w:cs="宋体"/>
                <w:sz w:val="24"/>
                <w:szCs w:val="24"/>
              </w:rPr>
            </w:pPr>
            <w:r>
              <w:rPr>
                <w:rFonts w:hint="eastAsia" w:ascii="宋体" w:hAnsi="宋体" w:cs="宋体"/>
                <w:sz w:val="24"/>
                <w:szCs w:val="24"/>
              </w:rPr>
              <w:t>投标报价（30分）</w:t>
            </w:r>
          </w:p>
        </w:tc>
        <w:tc>
          <w:tcPr>
            <w:tcW w:w="5816" w:type="dxa"/>
            <w:shd w:val="clear" w:color="auto" w:fill="auto"/>
            <w:vAlign w:val="center"/>
          </w:tcPr>
          <w:p>
            <w:pPr>
              <w:pStyle w:val="44"/>
              <w:ind w:firstLine="240"/>
              <w:rPr>
                <w:rFonts w:ascii="宋体" w:hAnsi="宋体" w:cs="宋体"/>
              </w:rPr>
            </w:pPr>
            <w:r>
              <w:rPr>
                <w:rFonts w:hint="eastAsia" w:ascii="宋体" w:hAnsi="宋体" w:cs="宋体"/>
              </w:rPr>
              <w:t>综合评分法中的价格分统一采用低价优先法计算，即满足招标文件要求且投标评审价最低的价格为评标基准价，其价格分为满分30分。其他供应商的价格分统一按照下列公式计算：</w:t>
            </w:r>
          </w:p>
          <w:p>
            <w:pPr>
              <w:pStyle w:val="44"/>
              <w:ind w:firstLine="240"/>
              <w:rPr>
                <w:rFonts w:ascii="宋体" w:hAnsi="宋体" w:cs="宋体"/>
              </w:rPr>
            </w:pPr>
            <w:r>
              <w:rPr>
                <w:rFonts w:hint="eastAsia" w:ascii="宋体" w:hAnsi="宋体" w:cs="宋体"/>
              </w:rPr>
              <w:t>投标报价得分=（评标基准价／投标报价）×30</w:t>
            </w:r>
          </w:p>
          <w:p>
            <w:pPr>
              <w:pStyle w:val="44"/>
              <w:ind w:firstLine="240"/>
              <w:rPr>
                <w:rFonts w:ascii="宋体" w:hAnsi="宋体" w:cs="宋体"/>
              </w:rPr>
            </w:pPr>
            <w:r>
              <w:rPr>
                <w:rFonts w:hint="eastAsia" w:ascii="宋体" w:hAnsi="宋体" w:cs="宋体"/>
              </w:rPr>
              <w:t>报价得分数值精度为小数点后二位（四舍五入）。</w:t>
            </w:r>
          </w:p>
          <w:p>
            <w:pPr>
              <w:pStyle w:val="44"/>
              <w:ind w:firstLine="240"/>
              <w:rPr>
                <w:rFonts w:ascii="宋体" w:hAnsi="宋体" w:cs="宋体"/>
              </w:rPr>
            </w:pPr>
            <w:r>
              <w:rPr>
                <w:rFonts w:hint="eastAsia" w:ascii="宋体" w:hAnsi="宋体" w:cs="宋体"/>
              </w:rPr>
              <w:t>1.根据财库{2022}19号文件的通知，对小型和微型企业的投标报价给予10%的扣除，用扣除后的价格参与评审，小微企业参与价格分计算价=小微企业报价×（1-10%）；没有提供《中小企业声明函》的报价供应商将被视为不接受评标报价的扣除，用原投标报价参与评审。</w:t>
            </w:r>
          </w:p>
          <w:p>
            <w:pPr>
              <w:pStyle w:val="44"/>
              <w:ind w:firstLine="240"/>
              <w:rPr>
                <w:rFonts w:ascii="宋体" w:hAnsi="宋体" w:cs="宋体"/>
              </w:rPr>
            </w:pPr>
            <w:r>
              <w:rPr>
                <w:rFonts w:hint="eastAsia" w:ascii="宋体" w:hAnsi="宋体" w:cs="宋体"/>
              </w:rPr>
              <w:t>2.监狱企业、残疾人福利性单位视同小型、微型企业;</w:t>
            </w:r>
          </w:p>
          <w:p>
            <w:pPr>
              <w:pStyle w:val="44"/>
              <w:ind w:firstLine="240"/>
              <w:rPr>
                <w:rFonts w:ascii="宋体" w:hAnsi="宋体" w:cs="宋体"/>
              </w:rPr>
            </w:pPr>
            <w:r>
              <w:rPr>
                <w:rFonts w:hint="eastAsia" w:ascii="宋体" w:hAnsi="宋体" w:cs="宋体"/>
              </w:rPr>
              <w:t>3.供应商提供的货物既有中小企业制造货物，也有大型企业制造货物的，不享受中小企业扶持政策。</w:t>
            </w:r>
          </w:p>
          <w:p>
            <w:pPr>
              <w:pStyle w:val="44"/>
              <w:ind w:firstLine="240"/>
              <w:rPr>
                <w:rFonts w:ascii="宋体" w:hAnsi="宋体" w:cs="宋体"/>
              </w:rPr>
            </w:pPr>
            <w:r>
              <w:rPr>
                <w:rFonts w:hint="eastAsia" w:ascii="宋体" w:hAnsi="宋体" w:cs="宋体"/>
              </w:rPr>
              <w:t xml:space="preserve">注：评标委员会认为供应商的报价明显低于其他通过符合性审查供应商的报价，有可能影响产品质量或者不能诚信履约的，应当要求其在评标现场合理的时间内提供说明，必要时提交相关证明材料；供应商在规定时间内不能证明其报价合理性的，评标委员会应当将其作为无效投标处理。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8" w:type="dxa"/>
            <w:vMerge w:val="restart"/>
            <w:shd w:val="clear" w:color="auto" w:fill="auto"/>
            <w:vAlign w:val="center"/>
          </w:tcPr>
          <w:p>
            <w:pPr>
              <w:jc w:val="center"/>
              <w:rPr>
                <w:rFonts w:ascii="宋体" w:hAnsi="宋体" w:cs="宋体"/>
                <w:sz w:val="24"/>
                <w:szCs w:val="24"/>
              </w:rPr>
            </w:pPr>
            <w:r>
              <w:rPr>
                <w:rFonts w:hint="eastAsia" w:ascii="宋体" w:hAnsi="宋体" w:cs="宋体"/>
                <w:sz w:val="24"/>
                <w:szCs w:val="24"/>
              </w:rPr>
              <w:t>2</w:t>
            </w:r>
          </w:p>
        </w:tc>
        <w:tc>
          <w:tcPr>
            <w:tcW w:w="1336" w:type="dxa"/>
            <w:vMerge w:val="restart"/>
            <w:shd w:val="clear" w:color="auto" w:fill="auto"/>
            <w:vAlign w:val="center"/>
          </w:tcPr>
          <w:p>
            <w:pPr>
              <w:jc w:val="center"/>
              <w:rPr>
                <w:rFonts w:ascii="宋体" w:hAnsi="宋体" w:cs="宋体"/>
                <w:sz w:val="24"/>
                <w:szCs w:val="24"/>
              </w:rPr>
            </w:pPr>
            <w:r>
              <w:rPr>
                <w:rFonts w:hint="eastAsia" w:ascii="宋体" w:hAnsi="宋体" w:cs="宋体"/>
                <w:sz w:val="24"/>
                <w:szCs w:val="24"/>
              </w:rPr>
              <w:t>技术部分（50分）</w:t>
            </w:r>
          </w:p>
        </w:tc>
        <w:tc>
          <w:tcPr>
            <w:tcW w:w="1922" w:type="dxa"/>
            <w:shd w:val="clear" w:color="auto" w:fill="auto"/>
            <w:vAlign w:val="center"/>
          </w:tcPr>
          <w:p>
            <w:pPr>
              <w:jc w:val="center"/>
              <w:rPr>
                <w:rFonts w:ascii="宋体" w:hAnsi="宋体" w:cs="宋体"/>
                <w:sz w:val="24"/>
                <w:szCs w:val="24"/>
              </w:rPr>
            </w:pPr>
            <w:r>
              <w:rPr>
                <w:rFonts w:hint="eastAsia" w:ascii="宋体" w:hAnsi="宋体" w:cs="宋体"/>
                <w:sz w:val="24"/>
                <w:szCs w:val="24"/>
              </w:rPr>
              <w:t>技术参数</w:t>
            </w:r>
          </w:p>
          <w:p>
            <w:pPr>
              <w:jc w:val="center"/>
              <w:rPr>
                <w:rFonts w:ascii="宋体" w:hAnsi="宋体" w:cs="宋体"/>
                <w:sz w:val="24"/>
                <w:szCs w:val="24"/>
              </w:rPr>
            </w:pPr>
            <w:r>
              <w:rPr>
                <w:rFonts w:hint="eastAsia" w:ascii="宋体" w:hAnsi="宋体" w:cs="宋体"/>
                <w:sz w:val="24"/>
                <w:szCs w:val="24"/>
              </w:rPr>
              <w:t>（40分）</w:t>
            </w:r>
          </w:p>
        </w:tc>
        <w:tc>
          <w:tcPr>
            <w:tcW w:w="5816" w:type="dxa"/>
            <w:shd w:val="clear" w:color="auto" w:fill="auto"/>
          </w:tcPr>
          <w:p>
            <w:pPr>
              <w:rPr>
                <w:rFonts w:ascii="宋体" w:hAnsi="宋体" w:cs="宋体"/>
                <w:sz w:val="24"/>
                <w:szCs w:val="24"/>
              </w:rPr>
            </w:pPr>
            <w:r>
              <w:rPr>
                <w:rFonts w:hint="eastAsia" w:ascii="宋体" w:hAnsi="宋体" w:cs="宋体"/>
                <w:sz w:val="24"/>
                <w:szCs w:val="24"/>
              </w:rPr>
              <w:t>技术指标和要求40分</w:t>
            </w:r>
          </w:p>
          <w:p>
            <w:pPr>
              <w:rPr>
                <w:rFonts w:ascii="宋体" w:hAnsi="宋体" w:cs="宋体"/>
                <w:sz w:val="24"/>
                <w:szCs w:val="24"/>
              </w:rPr>
            </w:pPr>
            <w:r>
              <w:rPr>
                <w:rFonts w:hint="eastAsia" w:ascii="宋体" w:hAnsi="宋体" w:cs="宋体"/>
                <w:sz w:val="24"/>
                <w:szCs w:val="24"/>
              </w:rPr>
              <w:t>根据招标文件第三章中采购清单及参数要求，如果供应商所投设备的所有条款均符合招标文件技术参数与要求，得基本分40分。</w:t>
            </w:r>
          </w:p>
          <w:p>
            <w:pPr>
              <w:rPr>
                <w:rFonts w:ascii="宋体" w:hAnsi="宋体" w:cs="宋体"/>
                <w:sz w:val="24"/>
                <w:szCs w:val="24"/>
              </w:rPr>
            </w:pPr>
            <w:r>
              <w:rPr>
                <w:rFonts w:hint="eastAsia" w:ascii="宋体" w:hAnsi="宋体" w:cs="宋体"/>
                <w:sz w:val="24"/>
                <w:szCs w:val="24"/>
              </w:rPr>
              <w:t>带“*”号的技术参数为关键性技术参数，每有一项负偏差即在技术参数基本分40分的基础上扣除3分，以此累计，扣完为止（须有技术支持证明文件，否则可视为不满足）；</w:t>
            </w:r>
          </w:p>
          <w:p>
            <w:pPr>
              <w:rPr>
                <w:rFonts w:ascii="宋体" w:hAnsi="宋体" w:cs="宋体"/>
                <w:sz w:val="24"/>
                <w:szCs w:val="24"/>
              </w:rPr>
            </w:pPr>
            <w:r>
              <w:rPr>
                <w:rFonts w:hint="eastAsia" w:ascii="宋体" w:hAnsi="宋体" w:cs="宋体"/>
                <w:sz w:val="24"/>
                <w:szCs w:val="24"/>
              </w:rPr>
              <w:t>不带“*”号的技术参数为一般性技术参数，每有一项负偏差即在技术参数基本分的基础上40分的基础上扣除0.5分，以此累计，扣完为止；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8" w:type="dxa"/>
            <w:vMerge w:val="continue"/>
            <w:shd w:val="clear" w:color="auto" w:fill="auto"/>
            <w:vAlign w:val="center"/>
          </w:tcPr>
          <w:p>
            <w:pPr>
              <w:jc w:val="center"/>
              <w:rPr>
                <w:rFonts w:ascii="宋体" w:hAnsi="宋体" w:cs="宋体"/>
                <w:sz w:val="24"/>
                <w:szCs w:val="24"/>
              </w:rPr>
            </w:pPr>
          </w:p>
        </w:tc>
        <w:tc>
          <w:tcPr>
            <w:tcW w:w="1336" w:type="dxa"/>
            <w:vMerge w:val="continue"/>
            <w:shd w:val="clear" w:color="auto" w:fill="auto"/>
            <w:vAlign w:val="center"/>
          </w:tcPr>
          <w:p>
            <w:pPr>
              <w:jc w:val="center"/>
              <w:rPr>
                <w:rFonts w:ascii="宋体" w:hAnsi="宋体" w:cs="宋体"/>
                <w:sz w:val="24"/>
                <w:szCs w:val="24"/>
              </w:rPr>
            </w:pPr>
          </w:p>
        </w:tc>
        <w:tc>
          <w:tcPr>
            <w:tcW w:w="1922" w:type="dxa"/>
            <w:shd w:val="clear" w:color="auto" w:fill="auto"/>
            <w:vAlign w:val="center"/>
          </w:tcPr>
          <w:p>
            <w:pPr>
              <w:jc w:val="center"/>
              <w:rPr>
                <w:rFonts w:ascii="宋体" w:hAnsi="宋体" w:cs="宋体"/>
                <w:sz w:val="24"/>
                <w:szCs w:val="24"/>
              </w:rPr>
            </w:pPr>
            <w:r>
              <w:rPr>
                <w:rFonts w:hint="eastAsia" w:ascii="宋体" w:hAnsi="宋体" w:cs="宋体"/>
                <w:sz w:val="24"/>
                <w:szCs w:val="24"/>
              </w:rPr>
              <w:t>设备档次</w:t>
            </w:r>
          </w:p>
          <w:p>
            <w:pPr>
              <w:jc w:val="center"/>
              <w:rPr>
                <w:rFonts w:ascii="宋体" w:hAnsi="宋体" w:cs="宋体"/>
                <w:sz w:val="24"/>
                <w:szCs w:val="24"/>
              </w:rPr>
            </w:pPr>
            <w:r>
              <w:rPr>
                <w:rFonts w:hint="eastAsia" w:ascii="宋体" w:hAnsi="宋体" w:cs="宋体"/>
                <w:sz w:val="24"/>
                <w:szCs w:val="24"/>
              </w:rPr>
              <w:t>（5分）</w:t>
            </w:r>
          </w:p>
        </w:tc>
        <w:tc>
          <w:tcPr>
            <w:tcW w:w="5816" w:type="dxa"/>
            <w:shd w:val="clear" w:color="auto" w:fill="auto"/>
          </w:tcPr>
          <w:p>
            <w:pPr>
              <w:rPr>
                <w:rFonts w:ascii="宋体" w:hAnsi="宋体" w:cs="宋体"/>
                <w:sz w:val="24"/>
                <w:szCs w:val="24"/>
              </w:rPr>
            </w:pPr>
            <w:r>
              <w:rPr>
                <w:rFonts w:hint="eastAsia" w:ascii="宋体" w:hAnsi="宋体" w:cs="宋体"/>
                <w:sz w:val="24"/>
                <w:szCs w:val="24"/>
              </w:rPr>
              <w:t>评标委员会根据所投产品产品市场占有率高、品牌知名度优等进行打分。优得3-5分，一般得1-3分，差得1分。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8" w:type="dxa"/>
            <w:vMerge w:val="continue"/>
            <w:shd w:val="clear" w:color="auto" w:fill="auto"/>
            <w:vAlign w:val="center"/>
          </w:tcPr>
          <w:p>
            <w:pPr>
              <w:jc w:val="center"/>
              <w:rPr>
                <w:rFonts w:ascii="宋体" w:hAnsi="宋体" w:cs="宋体"/>
                <w:sz w:val="24"/>
                <w:szCs w:val="24"/>
              </w:rPr>
            </w:pPr>
          </w:p>
        </w:tc>
        <w:tc>
          <w:tcPr>
            <w:tcW w:w="1336" w:type="dxa"/>
            <w:vMerge w:val="continue"/>
            <w:shd w:val="clear" w:color="auto" w:fill="auto"/>
            <w:vAlign w:val="center"/>
          </w:tcPr>
          <w:p>
            <w:pPr>
              <w:jc w:val="center"/>
              <w:rPr>
                <w:rFonts w:ascii="宋体" w:hAnsi="宋体" w:cs="宋体"/>
                <w:sz w:val="24"/>
                <w:szCs w:val="24"/>
              </w:rPr>
            </w:pPr>
          </w:p>
        </w:tc>
        <w:tc>
          <w:tcPr>
            <w:tcW w:w="1922" w:type="dxa"/>
            <w:shd w:val="clear" w:color="auto" w:fill="auto"/>
            <w:vAlign w:val="center"/>
          </w:tcPr>
          <w:p>
            <w:pPr>
              <w:spacing w:line="300" w:lineRule="auto"/>
              <w:jc w:val="center"/>
              <w:rPr>
                <w:rFonts w:ascii="宋体" w:hAnsi="宋体" w:cs="宋体"/>
              </w:rPr>
            </w:pPr>
            <w:r>
              <w:rPr>
                <w:rFonts w:hint="eastAsia" w:ascii="宋体" w:hAnsi="宋体" w:cs="宋体"/>
                <w:sz w:val="24"/>
                <w:szCs w:val="24"/>
              </w:rPr>
              <w:t>设备先进性</w:t>
            </w:r>
          </w:p>
          <w:p>
            <w:pPr>
              <w:spacing w:line="300" w:lineRule="auto"/>
              <w:jc w:val="center"/>
              <w:rPr>
                <w:rFonts w:ascii="宋体" w:hAnsi="宋体" w:cs="宋体"/>
                <w:sz w:val="24"/>
                <w:szCs w:val="24"/>
              </w:rPr>
            </w:pPr>
            <w:r>
              <w:rPr>
                <w:rFonts w:hint="eastAsia" w:ascii="宋体" w:hAnsi="宋体" w:cs="宋体"/>
                <w:sz w:val="24"/>
                <w:szCs w:val="24"/>
              </w:rPr>
              <w:t>（5分）</w:t>
            </w:r>
          </w:p>
        </w:tc>
        <w:tc>
          <w:tcPr>
            <w:tcW w:w="5816" w:type="dxa"/>
            <w:shd w:val="clear" w:color="auto" w:fill="auto"/>
          </w:tcPr>
          <w:p>
            <w:pPr>
              <w:rPr>
                <w:rFonts w:ascii="宋体" w:hAnsi="宋体" w:cs="宋体"/>
                <w:sz w:val="24"/>
                <w:szCs w:val="24"/>
              </w:rPr>
            </w:pPr>
            <w:r>
              <w:rPr>
                <w:rFonts w:hint="eastAsia" w:ascii="宋体" w:hAnsi="宋体" w:cs="宋体"/>
                <w:sz w:val="24"/>
                <w:szCs w:val="24"/>
              </w:rPr>
              <w:t>评标委员会根据投标产品的综合技术性能、先进性、临床实用性、技术参数符合性及性价比等进行打分。</w:t>
            </w:r>
          </w:p>
          <w:p>
            <w:pPr>
              <w:rPr>
                <w:rFonts w:ascii="宋体" w:hAnsi="宋体" w:cs="宋体"/>
                <w:sz w:val="24"/>
                <w:szCs w:val="24"/>
              </w:rPr>
            </w:pPr>
            <w:r>
              <w:rPr>
                <w:rFonts w:hint="eastAsia" w:ascii="宋体" w:hAnsi="宋体" w:cs="宋体"/>
                <w:sz w:val="24"/>
                <w:szCs w:val="24"/>
              </w:rPr>
              <w:t>（1）所投设备的技术先进性、可靠性、安全性高，功能完善、货物与部件的制造技术、生产工艺达到行业内高水平、高质量标准，得3-5分；</w:t>
            </w:r>
          </w:p>
          <w:p>
            <w:pPr>
              <w:rPr>
                <w:rFonts w:ascii="宋体" w:hAnsi="宋体" w:cs="宋体"/>
                <w:sz w:val="24"/>
                <w:szCs w:val="24"/>
              </w:rPr>
            </w:pPr>
            <w:r>
              <w:rPr>
                <w:rFonts w:hint="eastAsia" w:ascii="宋体" w:hAnsi="宋体" w:cs="宋体"/>
                <w:sz w:val="24"/>
                <w:szCs w:val="24"/>
              </w:rPr>
              <w:t>（2）所投设备在同类中技术属于较先进、技术成熟性、设备可靠性较强，功能较完善的，得1-3分；</w:t>
            </w:r>
          </w:p>
          <w:p>
            <w:pPr>
              <w:rPr>
                <w:rFonts w:ascii="宋体" w:hAnsi="宋体" w:cs="宋体"/>
                <w:sz w:val="24"/>
                <w:szCs w:val="24"/>
              </w:rPr>
            </w:pPr>
            <w:r>
              <w:rPr>
                <w:rFonts w:hint="eastAsia" w:ascii="宋体" w:hAnsi="宋体" w:cs="宋体"/>
                <w:sz w:val="24"/>
                <w:szCs w:val="24"/>
              </w:rPr>
              <w:t>（3）所投设备在同类中技术先进性、可靠性、安全性一般，货物及部件的制造技术、生产工艺等方面一般的，得1分；</w:t>
            </w:r>
          </w:p>
          <w:p>
            <w:pPr>
              <w:rPr>
                <w:rFonts w:ascii="宋体" w:hAnsi="宋体" w:cs="宋体"/>
                <w:sz w:val="24"/>
                <w:szCs w:val="24"/>
              </w:rPr>
            </w:pPr>
            <w:r>
              <w:rPr>
                <w:rFonts w:hint="eastAsia" w:ascii="宋体" w:hAnsi="宋体" w:cs="宋体"/>
                <w:sz w:val="24"/>
                <w:szCs w:val="24"/>
              </w:rPr>
              <w:t>未提供或缺项不得分。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8" w:type="dxa"/>
            <w:vMerge w:val="restart"/>
            <w:shd w:val="clear" w:color="auto" w:fill="auto"/>
            <w:vAlign w:val="center"/>
          </w:tcPr>
          <w:p>
            <w:pPr>
              <w:jc w:val="center"/>
              <w:rPr>
                <w:rFonts w:ascii="宋体" w:hAnsi="宋体" w:cs="宋体"/>
                <w:sz w:val="24"/>
                <w:szCs w:val="24"/>
              </w:rPr>
            </w:pPr>
            <w:r>
              <w:rPr>
                <w:rFonts w:hint="eastAsia" w:ascii="宋体" w:hAnsi="宋体" w:cs="宋体"/>
                <w:sz w:val="24"/>
                <w:szCs w:val="24"/>
              </w:rPr>
              <w:t>3</w:t>
            </w:r>
          </w:p>
        </w:tc>
        <w:tc>
          <w:tcPr>
            <w:tcW w:w="1336" w:type="dxa"/>
            <w:vMerge w:val="restart"/>
            <w:shd w:val="clear" w:color="auto" w:fill="auto"/>
            <w:vAlign w:val="center"/>
          </w:tcPr>
          <w:p>
            <w:pPr>
              <w:jc w:val="center"/>
              <w:rPr>
                <w:rFonts w:ascii="宋体" w:hAnsi="宋体" w:cs="宋体"/>
                <w:sz w:val="24"/>
                <w:szCs w:val="24"/>
              </w:rPr>
            </w:pPr>
            <w:r>
              <w:rPr>
                <w:rFonts w:hint="eastAsia" w:ascii="宋体" w:hAnsi="宋体" w:cs="宋体"/>
                <w:sz w:val="24"/>
                <w:szCs w:val="24"/>
              </w:rPr>
              <w:t>综合部分（20分）</w:t>
            </w:r>
          </w:p>
        </w:tc>
        <w:tc>
          <w:tcPr>
            <w:tcW w:w="1922" w:type="dxa"/>
            <w:shd w:val="clear" w:color="auto" w:fill="auto"/>
            <w:vAlign w:val="center"/>
          </w:tcPr>
          <w:p>
            <w:pPr>
              <w:jc w:val="center"/>
              <w:rPr>
                <w:rFonts w:ascii="宋体" w:hAnsi="宋体" w:cs="宋体"/>
                <w:sz w:val="24"/>
                <w:szCs w:val="24"/>
              </w:rPr>
            </w:pPr>
            <w:r>
              <w:rPr>
                <w:rFonts w:hint="eastAsia" w:ascii="宋体" w:hAnsi="宋体" w:cs="宋体"/>
                <w:kern w:val="0"/>
                <w:sz w:val="24"/>
                <w:szCs w:val="24"/>
              </w:rPr>
              <w:t>供货计划（10分）</w:t>
            </w:r>
          </w:p>
        </w:tc>
        <w:tc>
          <w:tcPr>
            <w:tcW w:w="5816" w:type="dxa"/>
            <w:shd w:val="clear" w:color="auto" w:fill="auto"/>
          </w:tcPr>
          <w:p>
            <w:pPr>
              <w:rPr>
                <w:rFonts w:ascii="宋体" w:hAnsi="宋体" w:cs="宋体"/>
                <w:sz w:val="24"/>
                <w:szCs w:val="24"/>
              </w:rPr>
            </w:pPr>
            <w:r>
              <w:rPr>
                <w:rFonts w:hint="eastAsia" w:ascii="宋体" w:hAnsi="宋体" w:cs="宋体"/>
                <w:sz w:val="24"/>
                <w:szCs w:val="24"/>
              </w:rPr>
              <w:t>供货计划、验收方案完善有保障，供货时间等安排能较好满足使用方要求进行评分，详细完善得7-10分；良好得4-7分，一般得1-4分，较低得1分，差或无得 0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8" w:type="dxa"/>
            <w:vMerge w:val="continue"/>
            <w:shd w:val="clear" w:color="auto" w:fill="auto"/>
            <w:vAlign w:val="center"/>
          </w:tcPr>
          <w:p>
            <w:pPr>
              <w:jc w:val="center"/>
              <w:rPr>
                <w:rFonts w:ascii="宋体" w:hAnsi="宋体" w:cs="宋体"/>
                <w:sz w:val="24"/>
                <w:szCs w:val="24"/>
              </w:rPr>
            </w:pPr>
          </w:p>
        </w:tc>
        <w:tc>
          <w:tcPr>
            <w:tcW w:w="1336" w:type="dxa"/>
            <w:vMerge w:val="continue"/>
            <w:shd w:val="clear" w:color="auto" w:fill="auto"/>
            <w:vAlign w:val="center"/>
          </w:tcPr>
          <w:p>
            <w:pPr>
              <w:jc w:val="center"/>
              <w:rPr>
                <w:rFonts w:ascii="宋体" w:hAnsi="宋体" w:cs="宋体"/>
                <w:sz w:val="24"/>
                <w:szCs w:val="24"/>
              </w:rPr>
            </w:pPr>
          </w:p>
        </w:tc>
        <w:tc>
          <w:tcPr>
            <w:tcW w:w="1922" w:type="dxa"/>
            <w:shd w:val="clear" w:color="auto" w:fill="auto"/>
            <w:vAlign w:val="center"/>
          </w:tcPr>
          <w:p>
            <w:pPr>
              <w:pStyle w:val="44"/>
              <w:ind w:firstLine="240"/>
              <w:rPr>
                <w:rFonts w:ascii="宋体" w:hAnsi="宋体" w:cs="宋体"/>
                <w:kern w:val="2"/>
              </w:rPr>
            </w:pPr>
            <w:r>
              <w:rPr>
                <w:rFonts w:hint="eastAsia" w:ascii="宋体" w:hAnsi="宋体" w:cs="宋体"/>
              </w:rPr>
              <w:t>售后服务（10分）</w:t>
            </w:r>
          </w:p>
        </w:tc>
        <w:tc>
          <w:tcPr>
            <w:tcW w:w="5816" w:type="dxa"/>
            <w:shd w:val="clear" w:color="auto" w:fill="auto"/>
          </w:tcPr>
          <w:p>
            <w:pPr>
              <w:rPr>
                <w:rFonts w:ascii="宋体" w:hAnsi="宋体" w:cs="宋体"/>
                <w:sz w:val="24"/>
                <w:szCs w:val="24"/>
              </w:rPr>
            </w:pPr>
            <w:r>
              <w:rPr>
                <w:rFonts w:hint="eastAsia" w:ascii="宋体" w:hAnsi="宋体" w:cs="宋体"/>
                <w:sz w:val="24"/>
                <w:szCs w:val="24"/>
              </w:rPr>
              <w:t>详细说明售后服务的内容、形式、安装培训方案、质量保证、含免费维修时间、解决质量或操作问题的响应时间、维修单位名称、地点，由评委根据各供应商差异进行评分，描述详细完善得7-10分；良好得4-7分；一般得1-4 分；较低得1分；差或无得0分。</w:t>
            </w:r>
          </w:p>
        </w:tc>
      </w:tr>
    </w:tbl>
    <w:p>
      <w:pPr>
        <w:spacing w:line="360" w:lineRule="auto"/>
        <w:ind w:firstLine="480" w:firstLineChars="200"/>
        <w:rPr>
          <w:rFonts w:ascii="宋体" w:hAnsi="宋体" w:cs="宋体"/>
          <w:bCs/>
          <w:kern w:val="44"/>
          <w:sz w:val="24"/>
          <w:szCs w:val="24"/>
        </w:rPr>
      </w:pPr>
      <w:bookmarkStart w:id="25" w:name="_Toc525062095"/>
      <w:bookmarkEnd w:id="25"/>
      <w:bookmarkStart w:id="26" w:name="_Toc29806"/>
      <w:r>
        <w:rPr>
          <w:rFonts w:hint="eastAsia" w:ascii="宋体" w:hAnsi="宋体" w:cs="宋体"/>
          <w:bCs/>
          <w:kern w:val="44"/>
          <w:sz w:val="24"/>
          <w:szCs w:val="24"/>
        </w:rPr>
        <w:t>评标办法</w:t>
      </w:r>
      <w:bookmarkEnd w:id="26"/>
      <w:r>
        <w:rPr>
          <w:rFonts w:hint="eastAsia" w:ascii="宋体" w:hAnsi="宋体" w:cs="宋体"/>
          <w:bCs/>
          <w:kern w:val="44"/>
          <w:sz w:val="24"/>
          <w:szCs w:val="24"/>
        </w:rPr>
        <w:t>：本次评标采用综合评</w:t>
      </w:r>
      <w:r>
        <w:rPr>
          <w:rFonts w:hint="eastAsia" w:ascii="宋体" w:hAnsi="宋体" w:cs="宋体"/>
          <w:sz w:val="24"/>
          <w:szCs w:val="24"/>
        </w:rPr>
        <w:t>分</w:t>
      </w:r>
      <w:r>
        <w:rPr>
          <w:rFonts w:hint="eastAsia" w:ascii="宋体" w:hAnsi="宋体" w:cs="宋体"/>
          <w:bCs/>
          <w:kern w:val="44"/>
          <w:sz w:val="24"/>
          <w:szCs w:val="24"/>
        </w:rPr>
        <w:t>法。评标委员会对满足招标文件实质性要求的投标文件，按照本章规定的评分标准进行打分，并按得分由高到低顺序推荐3名中标候选人，但投标报价低于其成本的除外。综合评分相等时，以投标报价低的优先；投标报价也相等的，按技术部分的得分由高到低排序。</w:t>
      </w:r>
    </w:p>
    <w:p>
      <w:pPr>
        <w:spacing w:line="360" w:lineRule="auto"/>
        <w:ind w:firstLine="480" w:firstLineChars="200"/>
        <w:rPr>
          <w:rFonts w:ascii="宋体" w:hAnsi="宋体" w:cs="宋体"/>
          <w:bCs/>
          <w:kern w:val="44"/>
          <w:sz w:val="24"/>
          <w:szCs w:val="24"/>
        </w:rPr>
      </w:pPr>
      <w:r>
        <w:rPr>
          <w:rFonts w:hint="eastAsia" w:ascii="宋体" w:hAnsi="宋体" w:cs="宋体"/>
          <w:bCs/>
          <w:kern w:val="44"/>
          <w:sz w:val="24"/>
          <w:szCs w:val="24"/>
        </w:rPr>
        <w:t>定标办法：供应商的排名按得分顺序从高到低排列；得分相同的，按投标报价由低到高顺序排列；得分且投标报价相同的，按技术指标优劣顺序排列。</w:t>
      </w:r>
      <w:bookmarkStart w:id="27" w:name="_Toc525062096"/>
      <w:bookmarkEnd w:id="27"/>
      <w:bookmarkStart w:id="28" w:name="_Toc22082"/>
      <w:bookmarkEnd w:id="28"/>
    </w:p>
    <w:p>
      <w:pPr>
        <w:spacing w:line="360" w:lineRule="auto"/>
        <w:ind w:firstLine="480" w:firstLineChars="200"/>
        <w:rPr>
          <w:rFonts w:ascii="宋体" w:hAnsi="宋体" w:cs="宋体"/>
          <w:bCs/>
          <w:kern w:val="44"/>
          <w:sz w:val="24"/>
          <w:szCs w:val="24"/>
        </w:rPr>
      </w:pPr>
      <w:r>
        <w:rPr>
          <w:rFonts w:hint="eastAsia" w:ascii="宋体" w:hAnsi="宋体" w:cs="宋体"/>
          <w:bCs/>
          <w:kern w:val="44"/>
          <w:sz w:val="24"/>
          <w:szCs w:val="24"/>
        </w:rPr>
        <w:t>供应商提供相同品牌产品且通过资格审查、符合性审查的不同供应商参加同一合同项下投标的，按一家供应商计算，评审后得分最高的同品牌供应商获得中标人推荐资格；评审得分相同的，由评标委员会随机确定一个供应商获得中标人推荐资格，其他同品牌供应商不作为中标候选人。</w:t>
      </w:r>
    </w:p>
    <w:p>
      <w:pPr>
        <w:pStyle w:val="6"/>
        <w:ind w:firstLine="480" w:firstLineChars="200"/>
        <w:jc w:val="left"/>
        <w:rPr>
          <w:rFonts w:ascii="宋体" w:hAnsi="宋体" w:cs="宋体"/>
          <w:sz w:val="24"/>
        </w:rPr>
      </w:pPr>
      <w:r>
        <w:rPr>
          <w:rFonts w:hint="eastAsia" w:ascii="宋体" w:hAnsi="宋体" w:cs="宋体"/>
          <w:sz w:val="24"/>
        </w:rPr>
        <w:t xml:space="preserve">12.确定中标人 </w:t>
      </w:r>
    </w:p>
    <w:p>
      <w:pPr>
        <w:spacing w:line="440" w:lineRule="exact"/>
        <w:ind w:firstLine="480" w:firstLineChars="200"/>
        <w:jc w:val="left"/>
        <w:rPr>
          <w:rFonts w:ascii="宋体" w:hAnsi="宋体" w:cs="宋体"/>
          <w:bCs/>
          <w:kern w:val="44"/>
          <w:sz w:val="24"/>
          <w:szCs w:val="24"/>
        </w:rPr>
      </w:pPr>
      <w:r>
        <w:rPr>
          <w:rFonts w:hint="eastAsia" w:ascii="宋体" w:hAnsi="宋体" w:cs="宋体"/>
          <w:bCs/>
          <w:kern w:val="44"/>
          <w:sz w:val="24"/>
          <w:szCs w:val="24"/>
        </w:rPr>
        <w:t xml:space="preserve">1 评标委员会根据详细评审的结果,按最终得分由高到低确定前3名为中标候选人。 </w:t>
      </w:r>
    </w:p>
    <w:p>
      <w:pPr>
        <w:spacing w:line="440" w:lineRule="exact"/>
        <w:ind w:firstLine="480" w:firstLineChars="200"/>
        <w:jc w:val="left"/>
        <w:rPr>
          <w:rFonts w:ascii="宋体" w:hAnsi="宋体" w:cs="宋体"/>
          <w:sz w:val="24"/>
          <w:szCs w:val="24"/>
        </w:rPr>
      </w:pPr>
      <w:r>
        <w:rPr>
          <w:rFonts w:hint="eastAsia" w:ascii="宋体" w:hAnsi="宋体" w:cs="宋体"/>
          <w:sz w:val="24"/>
          <w:szCs w:val="24"/>
        </w:rPr>
        <w:t>2 招标人将确定排名第一的中标候选人为中标人并向其授予合同。</w:t>
      </w:r>
      <w:r>
        <w:rPr>
          <w:rFonts w:hint="eastAsia" w:ascii="宋体" w:hAnsi="宋体" w:cs="宋体"/>
          <w:kern w:val="0"/>
          <w:sz w:val="24"/>
          <w:szCs w:val="24"/>
        </w:rPr>
        <w:t>排名第一的中标候选人放弃中标、因不可抗力不能履行合同，或者被查实存在影响中标结果的违法行为等情形，不符合中标条件的，招标人可以按照评标委员会提出的中标候选人名单排序依次确定其他中标候选人为中标人，也可以重新招标。</w:t>
      </w:r>
    </w:p>
    <w:p>
      <w:pPr>
        <w:spacing w:line="440" w:lineRule="exact"/>
        <w:ind w:firstLine="480" w:firstLineChars="200"/>
        <w:jc w:val="left"/>
        <w:rPr>
          <w:rFonts w:ascii="宋体" w:hAnsi="宋体" w:cs="宋体"/>
          <w:sz w:val="24"/>
          <w:szCs w:val="24"/>
        </w:rPr>
      </w:pPr>
      <w:r>
        <w:rPr>
          <w:rFonts w:hint="eastAsia" w:ascii="宋体" w:hAnsi="宋体" w:cs="宋体"/>
          <w:sz w:val="24"/>
          <w:szCs w:val="24"/>
        </w:rPr>
        <w:t>3招标人将在收到评标报告后五个工作日内按前款规定确定中标人。</w:t>
      </w:r>
    </w:p>
    <w:p>
      <w:pPr>
        <w:pStyle w:val="6"/>
        <w:ind w:firstLine="480" w:firstLineChars="200"/>
        <w:jc w:val="left"/>
        <w:rPr>
          <w:rFonts w:ascii="宋体" w:hAnsi="宋体" w:cs="宋体"/>
          <w:sz w:val="24"/>
        </w:rPr>
      </w:pPr>
      <w:bookmarkStart w:id="29" w:name="_Toc525062097"/>
      <w:bookmarkEnd w:id="29"/>
      <w:bookmarkStart w:id="30" w:name="_Toc30425"/>
      <w:r>
        <w:rPr>
          <w:rFonts w:hint="eastAsia" w:ascii="宋体" w:hAnsi="宋体" w:cs="宋体"/>
          <w:sz w:val="24"/>
        </w:rPr>
        <w:t>13. 评标过程保密</w:t>
      </w:r>
      <w:bookmarkEnd w:id="30"/>
      <w:r>
        <w:rPr>
          <w:rFonts w:hint="eastAsia" w:ascii="宋体" w:hAnsi="宋体" w:cs="宋体"/>
          <w:sz w:val="24"/>
        </w:rPr>
        <w:t xml:space="preserve"> </w:t>
      </w:r>
    </w:p>
    <w:p>
      <w:pPr>
        <w:spacing w:line="440" w:lineRule="exact"/>
        <w:ind w:firstLine="480" w:firstLineChars="200"/>
        <w:jc w:val="left"/>
        <w:rPr>
          <w:rFonts w:ascii="宋体" w:hAnsi="宋体" w:cs="宋体"/>
          <w:sz w:val="24"/>
          <w:szCs w:val="24"/>
        </w:rPr>
      </w:pPr>
      <w:r>
        <w:rPr>
          <w:rFonts w:hint="eastAsia" w:ascii="宋体" w:hAnsi="宋体" w:cs="宋体"/>
          <w:sz w:val="24"/>
          <w:szCs w:val="24"/>
        </w:rPr>
        <w:t xml:space="preserve">1 开标之后,直到授予供应商合同止，凡是属于审查、澄清、评价和比较投标的有关资料以及授标意向等，均不向供应商或其他与评标无关的人员透露。 </w:t>
      </w:r>
    </w:p>
    <w:p>
      <w:pPr>
        <w:spacing w:line="440" w:lineRule="exact"/>
        <w:ind w:firstLine="480" w:firstLineChars="200"/>
        <w:jc w:val="left"/>
        <w:rPr>
          <w:rFonts w:ascii="宋体" w:hAnsi="宋体" w:cs="宋体"/>
          <w:sz w:val="24"/>
          <w:szCs w:val="24"/>
        </w:rPr>
      </w:pPr>
      <w:r>
        <w:rPr>
          <w:rFonts w:hint="eastAsia" w:ascii="宋体" w:hAnsi="宋体" w:cs="宋体"/>
          <w:sz w:val="24"/>
          <w:szCs w:val="24"/>
        </w:rPr>
        <w:t xml:space="preserve">2 在评标期间，供应商企图影响招标人或评标委员会的任何活动，将导致投标被拒绝，并由其承担相应的法律责任。 </w:t>
      </w:r>
      <w:bookmarkStart w:id="31" w:name="_Toc525062098"/>
      <w:bookmarkEnd w:id="31"/>
      <w:bookmarkStart w:id="32" w:name="_Toc16427"/>
      <w:bookmarkEnd w:id="32"/>
    </w:p>
    <w:p>
      <w:pPr>
        <w:pStyle w:val="6"/>
        <w:ind w:firstLine="480" w:firstLineChars="200"/>
        <w:jc w:val="left"/>
        <w:rPr>
          <w:rFonts w:ascii="宋体" w:hAnsi="宋体" w:cs="宋体"/>
          <w:sz w:val="24"/>
        </w:rPr>
      </w:pPr>
      <w:r>
        <w:rPr>
          <w:rFonts w:hint="eastAsia" w:ascii="宋体" w:hAnsi="宋体" w:cs="宋体"/>
          <w:sz w:val="24"/>
        </w:rPr>
        <w:t>14.废标情况规定</w:t>
      </w:r>
    </w:p>
    <w:p>
      <w:pPr>
        <w:spacing w:line="440" w:lineRule="exact"/>
        <w:ind w:firstLine="480" w:firstLineChars="200"/>
        <w:jc w:val="left"/>
        <w:rPr>
          <w:rFonts w:ascii="宋体" w:hAnsi="宋体" w:cs="宋体"/>
          <w:sz w:val="24"/>
          <w:szCs w:val="24"/>
        </w:rPr>
      </w:pPr>
      <w:r>
        <w:rPr>
          <w:rFonts w:hint="eastAsia" w:ascii="宋体" w:hAnsi="宋体" w:cs="宋体"/>
          <w:sz w:val="24"/>
          <w:szCs w:val="24"/>
        </w:rPr>
        <w:t xml:space="preserve">出现下列情况之一时，应予废标： </w:t>
      </w:r>
    </w:p>
    <w:p>
      <w:pPr>
        <w:numPr>
          <w:ilvl w:val="0"/>
          <w:numId w:val="5"/>
        </w:numPr>
        <w:spacing w:line="440" w:lineRule="exact"/>
        <w:jc w:val="left"/>
        <w:rPr>
          <w:rFonts w:ascii="宋体" w:hAnsi="宋体" w:cs="宋体"/>
          <w:sz w:val="24"/>
          <w:szCs w:val="24"/>
        </w:rPr>
      </w:pPr>
      <w:r>
        <w:rPr>
          <w:rFonts w:hint="eastAsia" w:ascii="宋体" w:hAnsi="宋体" w:cs="宋体"/>
          <w:sz w:val="24"/>
          <w:szCs w:val="24"/>
        </w:rPr>
        <w:t>出现影响采购公正的违法、违规行为的；</w:t>
      </w:r>
    </w:p>
    <w:p>
      <w:pPr>
        <w:numPr>
          <w:ilvl w:val="0"/>
          <w:numId w:val="5"/>
        </w:numPr>
        <w:spacing w:line="440" w:lineRule="exact"/>
        <w:jc w:val="left"/>
        <w:rPr>
          <w:rFonts w:ascii="宋体" w:hAnsi="宋体" w:cs="宋体"/>
          <w:sz w:val="24"/>
          <w:szCs w:val="24"/>
        </w:rPr>
      </w:pPr>
      <w:r>
        <w:rPr>
          <w:rFonts w:hint="eastAsia" w:ascii="宋体" w:hAnsi="宋体" w:cs="宋体"/>
          <w:sz w:val="24"/>
          <w:szCs w:val="24"/>
        </w:rPr>
        <w:t xml:space="preserve">符合专业条件的供应商或者对招标文件作实质性响应的供应商不足三家的 </w:t>
      </w:r>
    </w:p>
    <w:p>
      <w:pPr>
        <w:spacing w:line="440" w:lineRule="exact"/>
        <w:ind w:firstLine="480" w:firstLineChars="200"/>
        <w:jc w:val="left"/>
        <w:rPr>
          <w:rFonts w:ascii="宋体" w:hAnsi="宋体" w:cs="宋体"/>
          <w:sz w:val="24"/>
          <w:szCs w:val="24"/>
        </w:rPr>
      </w:pPr>
      <w:r>
        <w:rPr>
          <w:rFonts w:hint="eastAsia" w:ascii="宋体" w:hAnsi="宋体" w:cs="宋体"/>
          <w:sz w:val="24"/>
          <w:szCs w:val="24"/>
        </w:rPr>
        <w:t xml:space="preserve">3 供应商的报价均超过了招标控制价，招标人不能支付的； </w:t>
      </w:r>
    </w:p>
    <w:p>
      <w:pPr>
        <w:spacing w:line="440" w:lineRule="exact"/>
        <w:ind w:firstLine="480" w:firstLineChars="200"/>
        <w:jc w:val="left"/>
        <w:rPr>
          <w:rFonts w:ascii="宋体" w:hAnsi="宋体" w:cs="宋体"/>
          <w:sz w:val="24"/>
          <w:szCs w:val="24"/>
        </w:rPr>
      </w:pPr>
      <w:r>
        <w:rPr>
          <w:rFonts w:hint="eastAsia" w:ascii="宋体" w:hAnsi="宋体" w:cs="宋体"/>
          <w:sz w:val="24"/>
          <w:szCs w:val="24"/>
        </w:rPr>
        <w:t xml:space="preserve">4 因重大变故，采购任务取消的。 </w:t>
      </w:r>
    </w:p>
    <w:p>
      <w:pPr>
        <w:pStyle w:val="6"/>
        <w:ind w:firstLine="480" w:firstLineChars="200"/>
        <w:jc w:val="left"/>
        <w:rPr>
          <w:rFonts w:ascii="宋体" w:hAnsi="宋体" w:cs="宋体"/>
          <w:sz w:val="24"/>
        </w:rPr>
      </w:pPr>
      <w:bookmarkStart w:id="33" w:name="_Toc17119"/>
      <w:bookmarkEnd w:id="33"/>
      <w:bookmarkStart w:id="34" w:name="_Toc525062099"/>
      <w:r>
        <w:rPr>
          <w:rFonts w:hint="eastAsia" w:ascii="宋体" w:hAnsi="宋体" w:cs="宋体"/>
          <w:sz w:val="24"/>
        </w:rPr>
        <w:t>15. 关于供应商瑕疵滞后发现的处理规则</w:t>
      </w:r>
      <w:bookmarkEnd w:id="34"/>
    </w:p>
    <w:p>
      <w:pPr>
        <w:spacing w:line="440" w:lineRule="exact"/>
        <w:ind w:firstLine="480" w:firstLineChars="200"/>
        <w:jc w:val="left"/>
        <w:rPr>
          <w:rFonts w:ascii="宋体" w:hAnsi="宋体" w:cs="宋体"/>
          <w:sz w:val="24"/>
          <w:szCs w:val="24"/>
        </w:rPr>
      </w:pPr>
      <w:r>
        <w:rPr>
          <w:rFonts w:hint="eastAsia" w:ascii="宋体" w:hAnsi="宋体" w:cs="宋体"/>
          <w:sz w:val="24"/>
          <w:szCs w:val="24"/>
        </w:rPr>
        <w:t>无论基于何种原因，各项本应作拒绝处理的情形，如虚假应标等即便未被及时发现而使该供应商进入初审、详细评审或其它后续程序，包括已经签约的情形，一旦在任何时间被发现存在上述情形，则招标人均有权随时决定取消该供应商的此前评议结果，或随时视情形决定是否对该投标予以拒绝，并有权决定采取相应的补救或纠正措施。一旦该等供应商被拒绝或被取消该供应商的此前评议结果，其现有的位置将由排名第二的候选中标人替代，以此类推。且相关的一切损失均由该等供应商承担，招标人并将此情况上报财政部门，将中标人的行为记入不良记录。</w:t>
      </w:r>
    </w:p>
    <w:p>
      <w:pPr>
        <w:pStyle w:val="6"/>
        <w:ind w:firstLine="480" w:firstLineChars="200"/>
        <w:jc w:val="left"/>
        <w:rPr>
          <w:rFonts w:ascii="宋体" w:hAnsi="宋体" w:cs="宋体"/>
          <w:sz w:val="24"/>
        </w:rPr>
      </w:pPr>
      <w:bookmarkStart w:id="35" w:name="_Toc525062101"/>
      <w:bookmarkEnd w:id="35"/>
      <w:bookmarkStart w:id="36" w:name="_Toc7568"/>
      <w:r>
        <w:rPr>
          <w:rFonts w:hint="eastAsia" w:ascii="宋体" w:hAnsi="宋体" w:cs="宋体"/>
          <w:sz w:val="24"/>
        </w:rPr>
        <w:t>16. 中标通知</w:t>
      </w:r>
      <w:bookmarkEnd w:id="36"/>
      <w:r>
        <w:rPr>
          <w:rFonts w:hint="eastAsia" w:ascii="宋体" w:hAnsi="宋体" w:cs="宋体"/>
          <w:sz w:val="24"/>
        </w:rPr>
        <w:t xml:space="preserve"> </w:t>
      </w:r>
    </w:p>
    <w:p>
      <w:pPr>
        <w:spacing w:line="440" w:lineRule="exact"/>
        <w:ind w:firstLine="480" w:firstLineChars="200"/>
        <w:jc w:val="left"/>
        <w:rPr>
          <w:rFonts w:ascii="宋体" w:hAnsi="宋体" w:cs="宋体"/>
          <w:sz w:val="24"/>
          <w:szCs w:val="24"/>
        </w:rPr>
      </w:pPr>
      <w:r>
        <w:rPr>
          <w:rFonts w:hint="eastAsia" w:ascii="宋体" w:hAnsi="宋体" w:cs="宋体"/>
          <w:sz w:val="24"/>
          <w:szCs w:val="24"/>
        </w:rPr>
        <w:t xml:space="preserve">1 招标人将在刊登本次招标公告的媒体上发布中标公告以告知中标人和其他供应商评标结果，并以当面交接、邮寄或传真等书面形式向所选定的中标人发出中标通知，不再向未中标的供应商发出书面通知。 </w:t>
      </w:r>
    </w:p>
    <w:p>
      <w:pPr>
        <w:spacing w:line="440" w:lineRule="exact"/>
        <w:ind w:firstLine="480" w:firstLineChars="200"/>
        <w:jc w:val="left"/>
        <w:rPr>
          <w:rFonts w:ascii="宋体" w:hAnsi="宋体" w:cs="宋体"/>
          <w:sz w:val="24"/>
          <w:szCs w:val="24"/>
        </w:rPr>
      </w:pPr>
      <w:r>
        <w:rPr>
          <w:rFonts w:hint="eastAsia" w:ascii="宋体" w:hAnsi="宋体" w:cs="宋体"/>
          <w:sz w:val="24"/>
          <w:szCs w:val="24"/>
        </w:rPr>
        <w:t xml:space="preserve">2招标人对未中标的供应商不作未中标原因的解释。中标结果的有效性不依赖于未中标的供应商是否已经收到该通知。 </w:t>
      </w:r>
    </w:p>
    <w:p>
      <w:pPr>
        <w:spacing w:line="440" w:lineRule="exact"/>
        <w:ind w:firstLine="480" w:firstLineChars="200"/>
        <w:jc w:val="left"/>
        <w:rPr>
          <w:rFonts w:ascii="宋体" w:hAnsi="宋体" w:cs="宋体"/>
          <w:sz w:val="24"/>
          <w:szCs w:val="24"/>
        </w:rPr>
      </w:pPr>
      <w:r>
        <w:rPr>
          <w:rFonts w:hint="eastAsia" w:ascii="宋体" w:hAnsi="宋体" w:cs="宋体"/>
          <w:sz w:val="24"/>
          <w:szCs w:val="24"/>
        </w:rPr>
        <w:t xml:space="preserve">3 中标通知书是合同的组成部分。 </w:t>
      </w:r>
    </w:p>
    <w:p>
      <w:pPr>
        <w:pStyle w:val="6"/>
        <w:ind w:firstLine="480" w:firstLineChars="200"/>
        <w:jc w:val="left"/>
        <w:rPr>
          <w:rFonts w:ascii="宋体" w:hAnsi="宋体" w:cs="宋体"/>
          <w:sz w:val="24"/>
        </w:rPr>
      </w:pPr>
      <w:bookmarkStart w:id="37" w:name="_Toc525062102"/>
      <w:bookmarkEnd w:id="37"/>
      <w:bookmarkStart w:id="38" w:name="_Toc10969"/>
      <w:r>
        <w:rPr>
          <w:rFonts w:hint="eastAsia" w:ascii="宋体" w:hAnsi="宋体" w:cs="宋体"/>
          <w:sz w:val="24"/>
        </w:rPr>
        <w:t>17. 合同签订</w:t>
      </w:r>
      <w:bookmarkEnd w:id="38"/>
      <w:r>
        <w:rPr>
          <w:rFonts w:hint="eastAsia" w:ascii="宋体" w:hAnsi="宋体" w:cs="宋体"/>
          <w:sz w:val="24"/>
        </w:rPr>
        <w:t xml:space="preserve"> </w:t>
      </w:r>
    </w:p>
    <w:p>
      <w:pPr>
        <w:spacing w:line="440" w:lineRule="exact"/>
        <w:ind w:firstLine="480" w:firstLineChars="200"/>
        <w:jc w:val="left"/>
        <w:rPr>
          <w:rFonts w:ascii="宋体" w:hAnsi="宋体" w:cs="宋体"/>
          <w:sz w:val="24"/>
          <w:szCs w:val="24"/>
        </w:rPr>
      </w:pPr>
      <w:r>
        <w:rPr>
          <w:rFonts w:hint="eastAsia" w:ascii="宋体" w:hAnsi="宋体" w:cs="宋体"/>
          <w:sz w:val="24"/>
          <w:szCs w:val="24"/>
        </w:rPr>
        <w:t>1 招标人和中标人应当自成交通知书发出之日起15天内签订中标合同。中标人不得再与招标人签订背离合同实质性内容的其它协议或声明，否则按开标后撤回投标处理。中标人可在中标成交后持政府采购合同向融资机构申请贷款，详见附件。</w:t>
      </w:r>
    </w:p>
    <w:p>
      <w:pPr>
        <w:spacing w:line="440" w:lineRule="exact"/>
        <w:ind w:firstLine="480" w:firstLineChars="200"/>
        <w:jc w:val="left"/>
        <w:rPr>
          <w:rFonts w:ascii="宋体" w:hAnsi="宋体" w:cs="宋体"/>
          <w:sz w:val="24"/>
          <w:szCs w:val="24"/>
        </w:rPr>
      </w:pPr>
      <w:r>
        <w:rPr>
          <w:rFonts w:hint="eastAsia" w:ascii="宋体" w:hAnsi="宋体" w:cs="宋体"/>
          <w:sz w:val="24"/>
          <w:szCs w:val="24"/>
        </w:rPr>
        <w:t>2中标人应按照招标文件、投标文件及评标过程中的有关澄清文件的内容与招标人签订合同。中标人不与招标人签订采购合同的，招标人有权取消其中标资格，并没收其投标保证金。</w:t>
      </w:r>
    </w:p>
    <w:p>
      <w:pPr>
        <w:spacing w:line="440" w:lineRule="exact"/>
        <w:ind w:firstLine="480" w:firstLineChars="200"/>
        <w:jc w:val="left"/>
        <w:rPr>
          <w:rFonts w:ascii="宋体" w:hAnsi="宋体" w:cs="宋体"/>
          <w:sz w:val="24"/>
          <w:szCs w:val="24"/>
        </w:rPr>
      </w:pPr>
      <w:r>
        <w:rPr>
          <w:rFonts w:hint="eastAsia" w:ascii="宋体" w:hAnsi="宋体" w:cs="宋体"/>
          <w:sz w:val="24"/>
          <w:szCs w:val="24"/>
        </w:rPr>
        <w:t xml:space="preserve">3供应商一旦中标，签订合同后，未经招标人事先给予书面同意不得转包、分包，亦不得将合同全部及任何权利、义务向第三方转让，否则将被视为严重违约，招标人有权决定按照供应商中标后撤回投标、终止或解除合同处理或作出其它处理。 </w:t>
      </w:r>
    </w:p>
    <w:p>
      <w:pPr>
        <w:spacing w:line="440" w:lineRule="exact"/>
        <w:ind w:firstLine="480" w:firstLineChars="200"/>
        <w:jc w:val="left"/>
        <w:rPr>
          <w:rFonts w:ascii="宋体" w:hAnsi="宋体" w:cs="宋体"/>
          <w:sz w:val="24"/>
          <w:szCs w:val="24"/>
        </w:rPr>
      </w:pPr>
      <w:r>
        <w:rPr>
          <w:rFonts w:hint="eastAsia" w:ascii="宋体" w:hAnsi="宋体" w:cs="宋体"/>
          <w:sz w:val="24"/>
          <w:szCs w:val="24"/>
        </w:rPr>
        <w:t xml:space="preserve">4中标人如未按投标文件中的要求按期完成项目的，视为中标人违约，则招标人有权取消合同，中标人还应赔偿招标人由此造成的所有损失。招标人并将此情况上报财政部门，将中标人的行为记入不良记录。 </w:t>
      </w:r>
    </w:p>
    <w:p>
      <w:pPr>
        <w:pStyle w:val="6"/>
        <w:ind w:firstLine="480" w:firstLineChars="200"/>
        <w:jc w:val="left"/>
        <w:rPr>
          <w:rFonts w:ascii="宋体" w:hAnsi="宋体" w:cs="宋体"/>
          <w:sz w:val="24"/>
        </w:rPr>
      </w:pPr>
      <w:bookmarkStart w:id="39" w:name="_Toc525062103"/>
      <w:bookmarkEnd w:id="39"/>
      <w:bookmarkStart w:id="40" w:name="_Toc25249"/>
      <w:r>
        <w:rPr>
          <w:rFonts w:hint="eastAsia" w:ascii="宋体" w:hAnsi="宋体" w:cs="宋体"/>
          <w:sz w:val="24"/>
        </w:rPr>
        <w:t>1</w:t>
      </w:r>
      <w:bookmarkEnd w:id="40"/>
      <w:r>
        <w:rPr>
          <w:rFonts w:hint="eastAsia" w:ascii="宋体" w:hAnsi="宋体" w:cs="宋体"/>
          <w:sz w:val="24"/>
        </w:rPr>
        <w:t>8.付款方式</w:t>
      </w:r>
      <w:bookmarkStart w:id="41" w:name="_Toc193772271"/>
      <w:bookmarkEnd w:id="41"/>
      <w:bookmarkStart w:id="42" w:name="_Toc525062105"/>
      <w:bookmarkEnd w:id="42"/>
    </w:p>
    <w:p>
      <w:pPr>
        <w:ind w:firstLine="480" w:firstLineChars="200"/>
        <w:rPr>
          <w:rFonts w:ascii="宋体" w:hAnsi="宋体" w:cs="宋体"/>
          <w:sz w:val="24"/>
        </w:rPr>
      </w:pPr>
      <w:r>
        <w:rPr>
          <w:rFonts w:hint="eastAsia" w:ascii="宋体" w:hAnsi="宋体" w:cs="宋体"/>
          <w:sz w:val="24"/>
        </w:rPr>
        <w:t>在遵照河南省财政厅和汝州市财政局政府采购合同资金支付相关政策的前提下，依据采购合同相关约定执行。</w:t>
      </w:r>
    </w:p>
    <w:p>
      <w:pPr>
        <w:pStyle w:val="6"/>
        <w:ind w:firstLine="480" w:firstLineChars="200"/>
        <w:jc w:val="left"/>
        <w:rPr>
          <w:rFonts w:ascii="宋体" w:hAnsi="宋体" w:cs="宋体"/>
          <w:sz w:val="24"/>
        </w:rPr>
      </w:pPr>
      <w:r>
        <w:rPr>
          <w:rFonts w:hint="eastAsia" w:ascii="宋体" w:hAnsi="宋体" w:cs="宋体"/>
          <w:sz w:val="24"/>
        </w:rPr>
        <w:t xml:space="preserve">19. 招标代理服务费 </w:t>
      </w:r>
    </w:p>
    <w:p>
      <w:pPr>
        <w:spacing w:line="440" w:lineRule="exact"/>
        <w:ind w:firstLine="480" w:firstLineChars="200"/>
        <w:jc w:val="left"/>
        <w:rPr>
          <w:rFonts w:ascii="宋体" w:hAnsi="宋体" w:cs="宋体"/>
          <w:sz w:val="24"/>
          <w:szCs w:val="24"/>
        </w:rPr>
      </w:pPr>
      <w:r>
        <w:rPr>
          <w:rFonts w:hint="eastAsia" w:ascii="宋体" w:hAnsi="宋体" w:cs="宋体"/>
          <w:sz w:val="24"/>
          <w:szCs w:val="24"/>
        </w:rPr>
        <w:t xml:space="preserve">本次招标需中标人按发改价格【2011】534号文件和计价格（2002）1980号文件规定，支付招标代理服务费。请供应商在测算投标报价时充分考虑这一因素，将此费用包含在投标报价中。 </w:t>
      </w:r>
    </w:p>
    <w:p>
      <w:pPr>
        <w:pStyle w:val="6"/>
        <w:ind w:firstLine="480" w:firstLineChars="200"/>
        <w:jc w:val="left"/>
        <w:rPr>
          <w:rFonts w:ascii="宋体" w:hAnsi="宋体" w:cs="宋体"/>
          <w:sz w:val="24"/>
        </w:rPr>
      </w:pPr>
      <w:bookmarkStart w:id="43" w:name="_Toc193772272"/>
      <w:bookmarkEnd w:id="43"/>
      <w:bookmarkStart w:id="44" w:name="_Toc525062107"/>
      <w:bookmarkEnd w:id="44"/>
      <w:bookmarkStart w:id="45" w:name="_Toc25097"/>
      <w:r>
        <w:rPr>
          <w:rFonts w:hint="eastAsia" w:ascii="宋体" w:hAnsi="宋体" w:cs="宋体"/>
          <w:sz w:val="24"/>
        </w:rPr>
        <w:t>2</w:t>
      </w:r>
      <w:bookmarkEnd w:id="45"/>
      <w:r>
        <w:rPr>
          <w:rFonts w:hint="eastAsia" w:ascii="宋体" w:hAnsi="宋体" w:cs="宋体"/>
          <w:sz w:val="24"/>
        </w:rPr>
        <w:t xml:space="preserve">0. 询问和质疑 </w:t>
      </w:r>
    </w:p>
    <w:p>
      <w:pPr>
        <w:pStyle w:val="6"/>
        <w:spacing w:line="440" w:lineRule="exact"/>
        <w:ind w:firstLine="468" w:firstLineChars="195"/>
        <w:jc w:val="left"/>
        <w:rPr>
          <w:rFonts w:ascii="宋体" w:hAnsi="宋体" w:cs="宋体"/>
          <w:sz w:val="24"/>
          <w:szCs w:val="24"/>
        </w:rPr>
      </w:pPr>
      <w:bookmarkStart w:id="46" w:name="_Toc19692"/>
      <w:bookmarkEnd w:id="46"/>
      <w:bookmarkStart w:id="47" w:name="_Toc525062108"/>
      <w:r>
        <w:rPr>
          <w:rFonts w:hint="eastAsia" w:ascii="宋体" w:hAnsi="宋体" w:cs="宋体"/>
          <w:sz w:val="24"/>
          <w:szCs w:val="24"/>
        </w:rPr>
        <w:t>供应商质疑</w:t>
      </w:r>
      <w:bookmarkEnd w:id="47"/>
      <w:r>
        <w:rPr>
          <w:rFonts w:hint="eastAsia" w:ascii="宋体" w:hAnsi="宋体" w:cs="宋体"/>
          <w:sz w:val="24"/>
          <w:szCs w:val="24"/>
        </w:rPr>
        <w:t xml:space="preserve"> </w:t>
      </w:r>
    </w:p>
    <w:p>
      <w:pPr>
        <w:spacing w:line="440" w:lineRule="exact"/>
        <w:ind w:firstLine="480" w:firstLineChars="200"/>
        <w:jc w:val="left"/>
        <w:rPr>
          <w:rFonts w:ascii="宋体" w:hAnsi="宋体" w:cs="宋体"/>
          <w:sz w:val="24"/>
          <w:szCs w:val="24"/>
        </w:rPr>
      </w:pPr>
      <w:r>
        <w:rPr>
          <w:rFonts w:hint="eastAsia" w:ascii="宋体" w:hAnsi="宋体" w:cs="宋体"/>
          <w:sz w:val="24"/>
          <w:szCs w:val="24"/>
        </w:rPr>
        <w:t xml:space="preserve">1.供应商对采购事项有疑问的，可以向招标人或采购代理机构提出询问。 </w:t>
      </w:r>
    </w:p>
    <w:p>
      <w:pPr>
        <w:spacing w:line="440" w:lineRule="exact"/>
        <w:ind w:firstLine="480" w:firstLineChars="200"/>
        <w:jc w:val="left"/>
        <w:rPr>
          <w:rFonts w:ascii="宋体" w:hAnsi="宋体" w:cs="宋体"/>
          <w:sz w:val="24"/>
          <w:szCs w:val="24"/>
        </w:rPr>
      </w:pPr>
      <w:r>
        <w:rPr>
          <w:rFonts w:hint="eastAsia" w:ascii="宋体" w:hAnsi="宋体" w:cs="宋体"/>
          <w:sz w:val="24"/>
          <w:szCs w:val="24"/>
        </w:rPr>
        <w:t>2.招标程序受《中华人民共和国政府采购法》和相关法律法规的约束，并受到严格的内部监察，以确保授予合同过程的公平公正。若供应商认为其投标未获公平评审或采购文件、采购过程和中标结果使自己的合法权益受到损害，可以在知道或者应知其权益受到损害之日起 7 个工作日内，以书面形式向招标人或采购代理机构提出质疑并要求答复。</w:t>
      </w:r>
    </w:p>
    <w:p>
      <w:pPr>
        <w:spacing w:line="440" w:lineRule="exact"/>
        <w:ind w:firstLine="480" w:firstLineChars="200"/>
        <w:jc w:val="left"/>
        <w:rPr>
          <w:rFonts w:ascii="宋体" w:hAnsi="宋体" w:cs="宋体"/>
          <w:sz w:val="24"/>
          <w:szCs w:val="24"/>
        </w:rPr>
      </w:pPr>
      <w:r>
        <w:rPr>
          <w:rFonts w:hint="eastAsia" w:ascii="宋体" w:hAnsi="宋体" w:cs="宋体"/>
          <w:sz w:val="24"/>
          <w:szCs w:val="24"/>
        </w:rPr>
        <w:t xml:space="preserve">3.招标人或采购代理机构将在收到书面质疑后 7 个工作日内审查质疑事项，作出答复或相关处理决定，并以书面形式通知质疑供应商和其他有关供应商，但答复的内容不涉及商业秘密。若质疑涉及招标制度或程序，将被转交政府采购的管理部门审查。 </w:t>
      </w:r>
    </w:p>
    <w:p>
      <w:pPr>
        <w:spacing w:line="440" w:lineRule="exact"/>
        <w:ind w:firstLine="480" w:firstLineChars="200"/>
        <w:jc w:val="left"/>
        <w:rPr>
          <w:rFonts w:ascii="宋体" w:hAnsi="宋体" w:cs="宋体"/>
          <w:sz w:val="24"/>
          <w:szCs w:val="24"/>
        </w:rPr>
      </w:pPr>
      <w:r>
        <w:rPr>
          <w:rFonts w:hint="eastAsia" w:ascii="宋体" w:hAnsi="宋体" w:cs="宋体"/>
          <w:sz w:val="24"/>
          <w:szCs w:val="24"/>
        </w:rPr>
        <w:t>4.质疑供应商对招标人或采购代理机构的答复不满意以及招标人或采购代理机构未在规定的时间内做出答复的，可以在答复期满后 15 个工作日内向财政管理部门投诉。</w:t>
      </w:r>
    </w:p>
    <w:p>
      <w:pPr>
        <w:pStyle w:val="9"/>
        <w:ind w:firstLine="400"/>
        <w:rPr>
          <w:rFonts w:ascii="宋体" w:hAnsi="宋体" w:cs="宋体"/>
        </w:rPr>
      </w:pPr>
      <w:bookmarkStart w:id="48" w:name="_Toc193772274"/>
      <w:bookmarkEnd w:id="48"/>
      <w:bookmarkStart w:id="49" w:name="_Toc525062109"/>
      <w:r>
        <w:rPr>
          <w:rFonts w:hint="eastAsia" w:ascii="宋体" w:hAnsi="宋体" w:cs="宋体"/>
        </w:rPr>
        <w:t xml:space="preserve"> </w:t>
      </w:r>
      <w:bookmarkEnd w:id="49"/>
      <w:r>
        <w:rPr>
          <w:rFonts w:hint="eastAsia" w:ascii="宋体" w:hAnsi="宋体" w:cs="宋体"/>
        </w:rPr>
        <w:t xml:space="preserve"> </w:t>
      </w:r>
    </w:p>
    <w:p>
      <w:pPr>
        <w:pStyle w:val="9"/>
        <w:ind w:firstLine="400"/>
        <w:rPr>
          <w:rFonts w:ascii="宋体" w:hAnsi="宋体" w:cs="宋体"/>
        </w:rPr>
      </w:pPr>
    </w:p>
    <w:p>
      <w:pPr>
        <w:spacing w:line="600" w:lineRule="auto"/>
        <w:rPr>
          <w:rFonts w:ascii="宋体" w:hAnsi="宋体" w:cs="宋体"/>
          <w:sz w:val="28"/>
        </w:rPr>
      </w:pPr>
      <w:r>
        <w:rPr>
          <w:rFonts w:hint="eastAsia" w:ascii="宋体" w:hAnsi="宋体" w:cs="宋体"/>
          <w:sz w:val="28"/>
        </w:rPr>
        <w:t>附件1：</w:t>
      </w:r>
    </w:p>
    <w:p>
      <w:pPr>
        <w:autoSpaceDE w:val="0"/>
        <w:spacing w:line="440" w:lineRule="exact"/>
        <w:jc w:val="center"/>
        <w:rPr>
          <w:rFonts w:ascii="宋体" w:hAnsi="宋体" w:cs="宋体"/>
          <w:b/>
          <w:sz w:val="28"/>
          <w:szCs w:val="28"/>
        </w:rPr>
      </w:pPr>
      <w:r>
        <w:rPr>
          <w:rFonts w:hint="eastAsia" w:ascii="宋体" w:hAnsi="宋体" w:cs="宋体"/>
          <w:b/>
          <w:sz w:val="28"/>
          <w:szCs w:val="28"/>
        </w:rPr>
        <w:t>河南省政府采购合同融资政策告知函</w:t>
      </w:r>
    </w:p>
    <w:p>
      <w:pPr>
        <w:rPr>
          <w:rFonts w:ascii="宋体" w:hAnsi="宋体" w:cs="宋体"/>
          <w:b/>
        </w:rPr>
      </w:pPr>
      <w:r>
        <w:rPr>
          <w:rFonts w:hint="eastAsia" w:ascii="宋体" w:hAnsi="宋体" w:cs="宋体"/>
        </w:rPr>
        <w:t xml:space="preserve">各供应商: </w:t>
      </w:r>
    </w:p>
    <w:p>
      <w:pPr>
        <w:ind w:firstLine="480" w:firstLineChars="200"/>
        <w:rPr>
          <w:rFonts w:ascii="宋体" w:hAnsi="宋体" w:cs="宋体"/>
          <w:b/>
          <w:sz w:val="24"/>
        </w:rPr>
      </w:pPr>
      <w:r>
        <w:rPr>
          <w:rFonts w:hint="eastAsia" w:ascii="宋体" w:hAnsi="宋体" w:cs="宋体"/>
          <w:sz w:val="24"/>
        </w:rPr>
        <w:t xml:space="preserve">欢迎贵公司参与河南省政府采购活动! </w:t>
      </w:r>
    </w:p>
    <w:p>
      <w:pPr>
        <w:ind w:firstLine="480" w:firstLineChars="200"/>
        <w:rPr>
          <w:rFonts w:ascii="宋体" w:hAnsi="宋体" w:cs="宋体"/>
          <w:b/>
          <w:sz w:val="24"/>
        </w:rPr>
      </w:pPr>
      <w:r>
        <w:rPr>
          <w:rFonts w:hint="eastAsia" w:ascii="宋体" w:hAnsi="宋体" w:cs="宋体"/>
          <w:sz w:val="24"/>
        </w:rPr>
        <w:t xml:space="preserve">政府采购合同融资是河南省财政厅支持中小微企业发展，针对参与政府采购活动的供应商融资难、融资贵问题推出的一项融 资政策。贵公司若成为本次政府采购项目的中标成交供应商，可持政府采购合同向金融机构申请贷款，无需抵押、担保，融资机构将根据《河南省政府采购合同融资工作实施方案》 (豫财购 【2017】10号)，按照双方自愿的原则提供便捷、优惠的贷款服务。 </w:t>
      </w:r>
    </w:p>
    <w:p>
      <w:pPr>
        <w:ind w:firstLine="480" w:firstLineChars="200"/>
        <w:rPr>
          <w:rFonts w:ascii="宋体" w:hAnsi="宋体" w:cs="宋体"/>
          <w:bCs/>
          <w:kern w:val="44"/>
          <w:sz w:val="24"/>
        </w:rPr>
      </w:pPr>
      <w:r>
        <w:rPr>
          <w:rFonts w:hint="eastAsia" w:ascii="宋体" w:hAnsi="宋体" w:cs="宋体"/>
          <w:bCs/>
          <w:kern w:val="44"/>
          <w:sz w:val="24"/>
        </w:rPr>
        <w:t>贷款渠道和提供贷款的金融机构，可在河南省政府采购网 "河南省政府采购合同融资平台"查询联系。</w:t>
      </w:r>
    </w:p>
    <w:p>
      <w:pPr>
        <w:ind w:firstLine="480" w:firstLineChars="200"/>
        <w:rPr>
          <w:rFonts w:ascii="宋体" w:hAnsi="宋体" w:cs="宋体"/>
          <w:sz w:val="24"/>
        </w:rPr>
      </w:pPr>
    </w:p>
    <w:p>
      <w:pPr>
        <w:ind w:firstLine="420" w:firstLineChars="200"/>
        <w:rPr>
          <w:rFonts w:ascii="宋体" w:hAnsi="宋体" w:cs="宋体"/>
        </w:rPr>
      </w:pPr>
      <w:r>
        <w:rPr>
          <w:rFonts w:hint="eastAsia" w:ascii="宋体" w:hAnsi="宋体" w:cs="宋体"/>
        </w:rPr>
        <w:t xml:space="preserve">  </w:t>
      </w:r>
    </w:p>
    <w:p>
      <w:pPr>
        <w:pStyle w:val="4"/>
        <w:numPr>
          <w:ilvl w:val="0"/>
          <w:numId w:val="6"/>
        </w:numPr>
        <w:jc w:val="center"/>
        <w:rPr>
          <w:rFonts w:ascii="宋体" w:hAnsi="宋体" w:cs="宋体"/>
          <w:sz w:val="40"/>
        </w:rPr>
      </w:pPr>
      <w:bookmarkStart w:id="50" w:name="_Toc13880"/>
      <w:r>
        <w:rPr>
          <w:rFonts w:hint="eastAsia" w:ascii="宋体" w:hAnsi="宋体" w:cs="宋体"/>
          <w:sz w:val="40"/>
        </w:rPr>
        <w:t xml:space="preserve"> </w:t>
      </w:r>
      <w:bookmarkStart w:id="51" w:name="_Toc193772275"/>
      <w:bookmarkEnd w:id="51"/>
      <w:bookmarkStart w:id="52" w:name="_Toc525062110"/>
      <w:bookmarkEnd w:id="52"/>
      <w:r>
        <w:rPr>
          <w:rFonts w:hint="eastAsia" w:ascii="宋体" w:hAnsi="宋体" w:cs="宋体"/>
          <w:sz w:val="40"/>
        </w:rPr>
        <w:t>采购清单</w:t>
      </w:r>
      <w:bookmarkEnd w:id="50"/>
    </w:p>
    <w:p>
      <w:pPr>
        <w:pStyle w:val="6"/>
        <w:ind w:firstLine="420" w:firstLineChars="175"/>
        <w:rPr>
          <w:rFonts w:ascii="宋体" w:hAnsi="宋体" w:cs="宋体"/>
          <w:sz w:val="24"/>
          <w:szCs w:val="24"/>
        </w:rPr>
      </w:pPr>
      <w:r>
        <w:rPr>
          <w:rFonts w:hint="eastAsia" w:ascii="宋体" w:hAnsi="宋体" w:cs="宋体"/>
          <w:sz w:val="24"/>
          <w:szCs w:val="24"/>
        </w:rPr>
        <w:t>第一标段</w:t>
      </w:r>
    </w:p>
    <w:p>
      <w:pPr>
        <w:jc w:val="center"/>
        <w:rPr>
          <w:b/>
          <w:bCs/>
        </w:rPr>
      </w:pPr>
      <w:r>
        <w:rPr>
          <w:rFonts w:hint="eastAsia"/>
          <w:b/>
          <w:bCs/>
        </w:rPr>
        <w:t>医用磁共振成像系统技术参数</w:t>
      </w:r>
    </w:p>
    <w:p>
      <w:pPr>
        <w:jc w:val="center"/>
        <w:rPr>
          <w:b/>
          <w:bCs/>
        </w:rPr>
      </w:pPr>
    </w:p>
    <w:p/>
    <w:tbl>
      <w:tblPr>
        <w:tblStyle w:val="46"/>
        <w:tblW w:w="9737"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229"/>
        <w:gridCol w:w="3898"/>
        <w:gridCol w:w="3629"/>
        <w:gridCol w:w="981"/>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3"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b/>
                <w:bCs/>
                <w:sz w:val="18"/>
                <w:szCs w:val="18"/>
              </w:rPr>
            </w:pPr>
            <w:r>
              <w:rPr>
                <w:rFonts w:hint="eastAsia" w:ascii="宋体" w:hAnsi="宋体" w:cs="宋体"/>
                <w:b/>
                <w:bCs/>
                <w:sz w:val="18"/>
                <w:szCs w:val="18"/>
                <w:lang w:bidi="ar"/>
              </w:rPr>
              <w:t>序号</w:t>
            </w:r>
          </w:p>
        </w:tc>
        <w:tc>
          <w:tcPr>
            <w:tcW w:w="7527" w:type="dxa"/>
            <w:gridSpan w:val="2"/>
            <w:tcBorders>
              <w:tl2br w:val="nil"/>
              <w:tr2bl w:val="nil"/>
            </w:tcBorders>
            <w:shd w:val="clear" w:color="auto" w:fill="auto"/>
            <w:vAlign w:val="center"/>
          </w:tcPr>
          <w:p>
            <w:pPr>
              <w:jc w:val="center"/>
              <w:rPr>
                <w:rFonts w:ascii="宋体" w:hAnsi="宋体" w:cs="宋体"/>
                <w:b/>
                <w:bCs/>
                <w:sz w:val="18"/>
                <w:szCs w:val="18"/>
                <w:lang w:bidi="ar"/>
              </w:rPr>
            </w:pPr>
            <w:r>
              <w:rPr>
                <w:rFonts w:hint="eastAsia" w:ascii="宋体" w:hAnsi="宋体" w:cs="宋体"/>
                <w:b/>
                <w:sz w:val="18"/>
                <w:szCs w:val="18"/>
              </w:rPr>
              <w:t>技术参数及要求</w:t>
            </w:r>
          </w:p>
        </w:tc>
        <w:tc>
          <w:tcPr>
            <w:tcW w:w="981" w:type="dxa"/>
            <w:tcBorders>
              <w:tl2br w:val="nil"/>
              <w:tr2bl w:val="nil"/>
            </w:tcBorders>
            <w:shd w:val="clear" w:color="auto" w:fill="auto"/>
            <w:vAlign w:val="center"/>
          </w:tcPr>
          <w:p>
            <w:pPr>
              <w:spacing w:line="400" w:lineRule="exact"/>
              <w:jc w:val="center"/>
              <w:rPr>
                <w:rFonts w:ascii="宋体" w:hAnsi="宋体" w:cs="宋体"/>
                <w:b/>
                <w:bCs/>
                <w:sz w:val="18"/>
                <w:szCs w:val="18"/>
                <w:lang w:bidi="ar"/>
              </w:rPr>
            </w:pPr>
            <w:r>
              <w:rPr>
                <w:rFonts w:hint="eastAsia" w:ascii="宋体" w:hAnsi="宋体" w:cs="宋体"/>
                <w:b/>
                <w:bCs/>
                <w:sz w:val="18"/>
                <w:szCs w:val="18"/>
                <w:lang w:bidi="ar"/>
              </w:rPr>
              <w:t>数量</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3"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b/>
                <w:bCs/>
                <w:color w:val="000000"/>
                <w:sz w:val="18"/>
                <w:szCs w:val="18"/>
              </w:rPr>
            </w:pPr>
            <w:bookmarkStart w:id="53" w:name="_Hlk305794246"/>
            <w:r>
              <w:rPr>
                <w:rFonts w:hint="eastAsia" w:ascii="宋体" w:hAnsi="宋体" w:cs="宋体"/>
                <w:b/>
                <w:bCs/>
                <w:color w:val="000000"/>
                <w:sz w:val="18"/>
                <w:szCs w:val="18"/>
              </w:rPr>
              <w:t>*一、</w:t>
            </w:r>
          </w:p>
        </w:tc>
        <w:tc>
          <w:tcPr>
            <w:tcW w:w="3898" w:type="dxa"/>
            <w:tcBorders>
              <w:tl2br w:val="nil"/>
              <w:tr2bl w:val="nil"/>
            </w:tcBorders>
            <w:shd w:val="clear" w:color="auto" w:fill="auto"/>
            <w:vAlign w:val="center"/>
          </w:tcPr>
          <w:p>
            <w:pPr>
              <w:spacing w:line="400" w:lineRule="exact"/>
              <w:rPr>
                <w:rFonts w:ascii="宋体" w:hAnsi="宋体" w:cs="宋体"/>
                <w:b/>
                <w:bCs/>
                <w:color w:val="000000"/>
                <w:sz w:val="18"/>
                <w:szCs w:val="18"/>
              </w:rPr>
            </w:pPr>
            <w:r>
              <w:rPr>
                <w:rFonts w:hint="eastAsia" w:ascii="宋体" w:hAnsi="宋体" w:cs="宋体"/>
                <w:b/>
                <w:bCs/>
                <w:color w:val="000000"/>
                <w:sz w:val="18"/>
                <w:szCs w:val="18"/>
              </w:rPr>
              <w:t>设备认证文件及机型</w:t>
            </w:r>
          </w:p>
        </w:tc>
        <w:tc>
          <w:tcPr>
            <w:tcW w:w="3629"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rPr>
              <w:t>投标机型须为各公司于2019年11月份后首次获得NMPA认证的3.0T机型，提供NMPA认证证明。</w:t>
            </w:r>
          </w:p>
        </w:tc>
        <w:tc>
          <w:tcPr>
            <w:tcW w:w="981" w:type="dxa"/>
            <w:vMerge w:val="restart"/>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rPr>
              <w:t>1套</w:t>
            </w:r>
          </w:p>
        </w:tc>
      </w:tr>
      <w:bookmarkEnd w:id="53"/>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3"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b/>
                <w:bCs/>
                <w:color w:val="000000"/>
                <w:sz w:val="18"/>
                <w:szCs w:val="18"/>
              </w:rPr>
            </w:pPr>
            <w:r>
              <w:rPr>
                <w:rFonts w:hint="eastAsia" w:ascii="宋体" w:hAnsi="宋体" w:cs="宋体"/>
                <w:b/>
                <w:bCs/>
                <w:color w:val="000000"/>
                <w:sz w:val="18"/>
                <w:szCs w:val="18"/>
                <w:lang w:bidi="ar"/>
              </w:rPr>
              <w:t>二、</w:t>
            </w:r>
          </w:p>
        </w:tc>
        <w:tc>
          <w:tcPr>
            <w:tcW w:w="3898" w:type="dxa"/>
            <w:tcBorders>
              <w:tl2br w:val="nil"/>
              <w:tr2bl w:val="nil"/>
            </w:tcBorders>
            <w:shd w:val="clear" w:color="auto" w:fill="auto"/>
            <w:vAlign w:val="center"/>
          </w:tcPr>
          <w:p>
            <w:pPr>
              <w:spacing w:line="400" w:lineRule="exact"/>
              <w:rPr>
                <w:rFonts w:ascii="宋体" w:hAnsi="宋体" w:cs="宋体"/>
                <w:b/>
                <w:bCs/>
                <w:color w:val="000000"/>
                <w:sz w:val="18"/>
                <w:szCs w:val="18"/>
              </w:rPr>
            </w:pPr>
            <w:r>
              <w:rPr>
                <w:rFonts w:hint="eastAsia" w:ascii="宋体" w:hAnsi="宋体" w:cs="宋体"/>
                <w:b/>
                <w:bCs/>
                <w:color w:val="000000"/>
                <w:sz w:val="18"/>
                <w:szCs w:val="18"/>
                <w:lang w:bidi="ar"/>
              </w:rPr>
              <w:t>磁体系统</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9"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color w:val="000000"/>
                <w:sz w:val="18"/>
                <w:szCs w:val="18"/>
              </w:rPr>
            </w:pPr>
            <w:r>
              <w:rPr>
                <w:rFonts w:hint="eastAsia" w:ascii="宋体" w:hAnsi="宋体" w:cs="宋体"/>
                <w:color w:val="000000"/>
                <w:sz w:val="18"/>
                <w:szCs w:val="18"/>
                <w:lang w:bidi="ar"/>
              </w:rPr>
              <w:t>1</w:t>
            </w:r>
          </w:p>
        </w:tc>
        <w:tc>
          <w:tcPr>
            <w:tcW w:w="3898" w:type="dxa"/>
            <w:tcBorders>
              <w:tl2br w:val="nil"/>
              <w:tr2bl w:val="nil"/>
            </w:tcBorders>
            <w:shd w:val="clear" w:color="auto" w:fill="auto"/>
            <w:vAlign w:val="center"/>
          </w:tcPr>
          <w:p>
            <w:pPr>
              <w:spacing w:line="400" w:lineRule="exact"/>
              <w:rPr>
                <w:rFonts w:ascii="宋体" w:hAnsi="宋体" w:cs="宋体"/>
                <w:color w:val="000000"/>
                <w:sz w:val="18"/>
                <w:szCs w:val="18"/>
              </w:rPr>
            </w:pPr>
            <w:r>
              <w:rPr>
                <w:rFonts w:hint="eastAsia" w:ascii="宋体" w:hAnsi="宋体" w:cs="宋体"/>
                <w:color w:val="000000"/>
                <w:sz w:val="18"/>
                <w:szCs w:val="18"/>
                <w:lang w:bidi="ar"/>
              </w:rPr>
              <w:t>磁场强度：</w:t>
            </w:r>
          </w:p>
        </w:tc>
        <w:tc>
          <w:tcPr>
            <w:tcW w:w="3629" w:type="dxa"/>
            <w:tcBorders>
              <w:tl2br w:val="nil"/>
              <w:tr2bl w:val="nil"/>
            </w:tcBorders>
            <w:shd w:val="clear" w:color="auto" w:fill="auto"/>
            <w:vAlign w:val="center"/>
          </w:tcPr>
          <w:p>
            <w:pPr>
              <w:spacing w:line="400" w:lineRule="exact"/>
              <w:rPr>
                <w:rFonts w:ascii="宋体" w:hAnsi="宋体" w:cs="宋体"/>
                <w:color w:val="000000"/>
                <w:sz w:val="18"/>
                <w:szCs w:val="18"/>
                <w:lang w:bidi="ar"/>
              </w:rPr>
            </w:pPr>
            <w:r>
              <w:rPr>
                <w:rFonts w:hint="eastAsia" w:ascii="宋体" w:hAnsi="宋体" w:cs="宋体"/>
                <w:color w:val="000000"/>
                <w:sz w:val="18"/>
                <w:szCs w:val="18"/>
                <w:lang w:bidi="ar"/>
              </w:rPr>
              <w:t>3.0T </w:t>
            </w:r>
          </w:p>
        </w:tc>
        <w:tc>
          <w:tcPr>
            <w:tcW w:w="981" w:type="dxa"/>
            <w:vMerge w:val="continue"/>
            <w:tcBorders>
              <w:tl2br w:val="nil"/>
              <w:tr2bl w:val="nil"/>
            </w:tcBorders>
            <w:shd w:val="clear" w:color="auto" w:fill="auto"/>
            <w:vAlign w:val="center"/>
          </w:tcPr>
          <w:p>
            <w:pPr>
              <w:spacing w:line="400" w:lineRule="exact"/>
              <w:rPr>
                <w:rFonts w:ascii="宋体" w:hAnsi="宋体" w:cs="宋体"/>
                <w:color w:val="000000"/>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9"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color w:val="000000"/>
                <w:sz w:val="18"/>
                <w:szCs w:val="18"/>
              </w:rPr>
            </w:pPr>
            <w:r>
              <w:rPr>
                <w:rFonts w:hint="eastAsia" w:ascii="宋体" w:hAnsi="宋体" w:cs="宋体"/>
                <w:color w:val="000000"/>
                <w:sz w:val="18"/>
                <w:szCs w:val="18"/>
                <w:lang w:bidi="ar"/>
              </w:rPr>
              <w:t>2</w:t>
            </w:r>
          </w:p>
        </w:tc>
        <w:tc>
          <w:tcPr>
            <w:tcW w:w="3898" w:type="dxa"/>
            <w:tcBorders>
              <w:tl2br w:val="nil"/>
              <w:tr2bl w:val="nil"/>
            </w:tcBorders>
            <w:shd w:val="clear" w:color="auto" w:fill="auto"/>
            <w:vAlign w:val="center"/>
          </w:tcPr>
          <w:p>
            <w:pPr>
              <w:spacing w:line="400" w:lineRule="exact"/>
              <w:rPr>
                <w:rFonts w:ascii="宋体" w:hAnsi="宋体" w:cs="宋体"/>
                <w:color w:val="000000"/>
                <w:sz w:val="18"/>
                <w:szCs w:val="18"/>
              </w:rPr>
            </w:pPr>
            <w:r>
              <w:rPr>
                <w:rFonts w:hint="eastAsia" w:ascii="宋体" w:hAnsi="宋体" w:cs="宋体"/>
                <w:color w:val="000000"/>
                <w:sz w:val="18"/>
                <w:szCs w:val="18"/>
                <w:lang w:bidi="ar"/>
              </w:rPr>
              <w:t>中心共振频率</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w:t>
            </w:r>
            <w:r>
              <w:rPr>
                <w:rFonts w:hint="eastAsia" w:ascii="宋体" w:hAnsi="宋体" w:cs="宋体"/>
                <w:color w:val="000000"/>
                <w:sz w:val="18"/>
                <w:szCs w:val="18"/>
                <w:lang w:bidi="ar"/>
              </w:rPr>
              <w:t>127MHz</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69"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*3</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磁体重量 (含液氦)</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 5900kg</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69"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4</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磁体类型</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3.0T超导磁体</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55"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5</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磁场匀度</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V－RMS测量法，Guaranteed保证值</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82"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5.1</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10cmDSV</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≤0.003ppm </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9"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5.2</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20cmDSV</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≤0.03ppm </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4"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5.3</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30cmDSV</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≤0.09ppm </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29"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5.4</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40cmDSV</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≤0.48ppm </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29"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5.5</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45cmDSV</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≤1.3ppm </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29"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5.6</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50cmDSV</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≤2.1ppm </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22"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color w:val="000000"/>
                <w:sz w:val="18"/>
                <w:szCs w:val="18"/>
              </w:rPr>
            </w:pPr>
            <w:r>
              <w:rPr>
                <w:rFonts w:hint="eastAsia" w:ascii="宋体" w:hAnsi="宋体" w:cs="宋体"/>
                <w:color w:val="000000"/>
                <w:sz w:val="18"/>
                <w:szCs w:val="18"/>
                <w:lang w:bidi="ar"/>
              </w:rPr>
              <w:t>6</w:t>
            </w:r>
          </w:p>
        </w:tc>
        <w:tc>
          <w:tcPr>
            <w:tcW w:w="3898" w:type="dxa"/>
            <w:tcBorders>
              <w:tl2br w:val="nil"/>
              <w:tr2bl w:val="nil"/>
            </w:tcBorders>
            <w:shd w:val="clear" w:color="auto" w:fill="auto"/>
            <w:vAlign w:val="center"/>
          </w:tcPr>
          <w:p>
            <w:pPr>
              <w:spacing w:line="400" w:lineRule="exact"/>
              <w:rPr>
                <w:rFonts w:ascii="宋体" w:hAnsi="宋体" w:cs="宋体"/>
                <w:color w:val="000000"/>
                <w:sz w:val="18"/>
                <w:szCs w:val="18"/>
              </w:rPr>
            </w:pPr>
            <w:r>
              <w:rPr>
                <w:rFonts w:hint="eastAsia" w:ascii="宋体" w:hAnsi="宋体" w:cs="宋体"/>
                <w:color w:val="000000"/>
                <w:sz w:val="18"/>
                <w:szCs w:val="18"/>
                <w:lang w:bidi="ar"/>
              </w:rPr>
              <w:t>匀场</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22"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color w:val="000000"/>
                <w:sz w:val="18"/>
                <w:szCs w:val="18"/>
              </w:rPr>
            </w:pPr>
            <w:r>
              <w:rPr>
                <w:rFonts w:hint="eastAsia" w:ascii="宋体" w:hAnsi="宋体" w:cs="宋体"/>
                <w:color w:val="000000"/>
                <w:sz w:val="18"/>
                <w:szCs w:val="18"/>
                <w:lang w:bidi="ar"/>
              </w:rPr>
              <w:t>6.1</w:t>
            </w:r>
          </w:p>
        </w:tc>
        <w:tc>
          <w:tcPr>
            <w:tcW w:w="3898" w:type="dxa"/>
            <w:tcBorders>
              <w:tl2br w:val="nil"/>
              <w:tr2bl w:val="nil"/>
            </w:tcBorders>
            <w:shd w:val="clear" w:color="auto" w:fill="auto"/>
            <w:vAlign w:val="center"/>
          </w:tcPr>
          <w:p>
            <w:pPr>
              <w:spacing w:line="400" w:lineRule="exact"/>
              <w:rPr>
                <w:rFonts w:ascii="宋体" w:hAnsi="宋体" w:cs="宋体"/>
                <w:color w:val="000000"/>
                <w:sz w:val="18"/>
                <w:szCs w:val="18"/>
              </w:rPr>
            </w:pPr>
            <w:r>
              <w:rPr>
                <w:rFonts w:hint="eastAsia" w:ascii="宋体" w:hAnsi="宋体" w:cs="宋体"/>
                <w:color w:val="000000"/>
                <w:sz w:val="18"/>
                <w:szCs w:val="18"/>
                <w:lang w:bidi="ar"/>
              </w:rPr>
              <w:t>匀场方式</w:t>
            </w:r>
          </w:p>
        </w:tc>
        <w:tc>
          <w:tcPr>
            <w:tcW w:w="3629" w:type="dxa"/>
            <w:tcBorders>
              <w:tl2br w:val="nil"/>
              <w:tr2bl w:val="nil"/>
            </w:tcBorders>
            <w:shd w:val="clear" w:color="auto" w:fill="auto"/>
            <w:vAlign w:val="center"/>
          </w:tcPr>
          <w:p>
            <w:pPr>
              <w:spacing w:line="400" w:lineRule="exact"/>
              <w:rPr>
                <w:rFonts w:ascii="宋体" w:hAnsi="宋体" w:cs="宋体"/>
                <w:color w:val="000000"/>
                <w:sz w:val="18"/>
                <w:szCs w:val="18"/>
                <w:lang w:bidi="ar"/>
              </w:rPr>
            </w:pPr>
            <w:r>
              <w:rPr>
                <w:rFonts w:hint="eastAsia" w:ascii="宋体" w:hAnsi="宋体" w:cs="宋体"/>
                <w:color w:val="000000"/>
                <w:sz w:val="18"/>
                <w:szCs w:val="18"/>
                <w:lang w:bidi="ar"/>
              </w:rPr>
              <w:t>主动匀场 + 被动匀场 +动态匀场</w:t>
            </w:r>
          </w:p>
        </w:tc>
        <w:tc>
          <w:tcPr>
            <w:tcW w:w="981" w:type="dxa"/>
            <w:vMerge w:val="continue"/>
            <w:tcBorders>
              <w:tl2br w:val="nil"/>
              <w:tr2bl w:val="nil"/>
            </w:tcBorders>
            <w:shd w:val="clear" w:color="auto" w:fill="auto"/>
            <w:vAlign w:val="center"/>
          </w:tcPr>
          <w:p>
            <w:pPr>
              <w:spacing w:line="400" w:lineRule="exact"/>
              <w:rPr>
                <w:rFonts w:ascii="宋体" w:hAnsi="宋体" w:cs="宋体"/>
                <w:color w:val="000000"/>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22"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color w:val="000000"/>
                <w:sz w:val="18"/>
                <w:szCs w:val="18"/>
              </w:rPr>
            </w:pPr>
            <w:r>
              <w:rPr>
                <w:rFonts w:hint="eastAsia" w:ascii="宋体" w:hAnsi="宋体" w:cs="宋体"/>
                <w:color w:val="000000"/>
                <w:sz w:val="18"/>
                <w:szCs w:val="18"/>
                <w:lang w:bidi="ar"/>
              </w:rPr>
              <w:t>6.2</w:t>
            </w:r>
          </w:p>
        </w:tc>
        <w:tc>
          <w:tcPr>
            <w:tcW w:w="3898" w:type="dxa"/>
            <w:tcBorders>
              <w:tl2br w:val="nil"/>
              <w:tr2bl w:val="nil"/>
            </w:tcBorders>
            <w:shd w:val="clear" w:color="auto" w:fill="auto"/>
            <w:vAlign w:val="center"/>
          </w:tcPr>
          <w:p>
            <w:pPr>
              <w:spacing w:line="400" w:lineRule="exact"/>
              <w:rPr>
                <w:rFonts w:ascii="宋体" w:hAnsi="宋体" w:cs="宋体"/>
                <w:color w:val="000000"/>
                <w:sz w:val="18"/>
                <w:szCs w:val="18"/>
              </w:rPr>
            </w:pPr>
            <w:r>
              <w:rPr>
                <w:rFonts w:hint="eastAsia" w:ascii="宋体" w:hAnsi="宋体" w:cs="宋体"/>
                <w:color w:val="000000"/>
                <w:sz w:val="18"/>
                <w:szCs w:val="18"/>
                <w:lang w:bidi="ar"/>
              </w:rPr>
              <w:t>一阶线性匀场X、Y、Z</w:t>
            </w:r>
          </w:p>
        </w:tc>
        <w:tc>
          <w:tcPr>
            <w:tcW w:w="3629" w:type="dxa"/>
            <w:tcBorders>
              <w:tl2br w:val="nil"/>
              <w:tr2bl w:val="nil"/>
            </w:tcBorders>
            <w:shd w:val="clear" w:color="auto" w:fill="auto"/>
            <w:vAlign w:val="center"/>
          </w:tcPr>
          <w:p>
            <w:pPr>
              <w:spacing w:line="400" w:lineRule="exact"/>
              <w:rPr>
                <w:rFonts w:ascii="宋体" w:hAnsi="宋体" w:cs="宋体"/>
                <w:color w:val="000000"/>
                <w:sz w:val="18"/>
                <w:szCs w:val="18"/>
                <w:lang w:bidi="ar"/>
              </w:rPr>
            </w:pPr>
            <w:r>
              <w:rPr>
                <w:rFonts w:hint="eastAsia" w:ascii="宋体" w:hAnsi="宋体" w:cs="宋体"/>
                <w:color w:val="000000"/>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color w:val="000000"/>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22"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color w:val="000000"/>
                <w:sz w:val="18"/>
                <w:szCs w:val="18"/>
              </w:rPr>
            </w:pPr>
            <w:r>
              <w:rPr>
                <w:rFonts w:hint="eastAsia" w:ascii="宋体" w:hAnsi="宋体" w:cs="宋体"/>
                <w:color w:val="000000"/>
                <w:sz w:val="18"/>
                <w:szCs w:val="18"/>
                <w:lang w:bidi="ar"/>
              </w:rPr>
              <w:t>6.3</w:t>
            </w:r>
          </w:p>
        </w:tc>
        <w:tc>
          <w:tcPr>
            <w:tcW w:w="3898" w:type="dxa"/>
            <w:tcBorders>
              <w:tl2br w:val="nil"/>
              <w:tr2bl w:val="nil"/>
            </w:tcBorders>
            <w:shd w:val="clear" w:color="auto" w:fill="auto"/>
            <w:vAlign w:val="center"/>
          </w:tcPr>
          <w:p>
            <w:pPr>
              <w:spacing w:line="400" w:lineRule="exact"/>
              <w:rPr>
                <w:rFonts w:ascii="宋体" w:hAnsi="宋体" w:cs="宋体"/>
                <w:color w:val="000000"/>
                <w:sz w:val="18"/>
                <w:szCs w:val="18"/>
              </w:rPr>
            </w:pPr>
            <w:r>
              <w:rPr>
                <w:rFonts w:hint="eastAsia" w:ascii="宋体" w:hAnsi="宋体" w:cs="宋体"/>
                <w:color w:val="000000"/>
                <w:sz w:val="18"/>
                <w:szCs w:val="18"/>
                <w:lang w:bidi="ar"/>
              </w:rPr>
              <w:t>二阶高级匀场X²-Y²、Z²、ZX、ZY、XY</w:t>
            </w:r>
          </w:p>
        </w:tc>
        <w:tc>
          <w:tcPr>
            <w:tcW w:w="3629" w:type="dxa"/>
            <w:tcBorders>
              <w:tl2br w:val="nil"/>
              <w:tr2bl w:val="nil"/>
            </w:tcBorders>
            <w:shd w:val="clear" w:color="auto" w:fill="auto"/>
            <w:vAlign w:val="center"/>
          </w:tcPr>
          <w:p>
            <w:pPr>
              <w:spacing w:line="400" w:lineRule="exact"/>
              <w:rPr>
                <w:rFonts w:ascii="宋体" w:hAnsi="宋体" w:cs="宋体"/>
                <w:color w:val="000000"/>
                <w:sz w:val="18"/>
                <w:szCs w:val="18"/>
                <w:lang w:bidi="ar"/>
              </w:rPr>
            </w:pPr>
            <w:r>
              <w:rPr>
                <w:rFonts w:hint="eastAsia" w:ascii="宋体" w:hAnsi="宋体" w:cs="宋体"/>
                <w:color w:val="000000"/>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color w:val="000000"/>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22"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color w:val="000000"/>
                <w:sz w:val="18"/>
                <w:szCs w:val="18"/>
              </w:rPr>
            </w:pPr>
            <w:r>
              <w:rPr>
                <w:rFonts w:hint="eastAsia" w:ascii="宋体" w:hAnsi="宋体" w:cs="宋体"/>
                <w:color w:val="000000"/>
                <w:sz w:val="18"/>
                <w:szCs w:val="18"/>
                <w:lang w:bidi="ar"/>
              </w:rPr>
              <w:t>6.4</w:t>
            </w:r>
          </w:p>
        </w:tc>
        <w:tc>
          <w:tcPr>
            <w:tcW w:w="3898" w:type="dxa"/>
            <w:tcBorders>
              <w:tl2br w:val="nil"/>
              <w:tr2bl w:val="nil"/>
            </w:tcBorders>
            <w:shd w:val="clear" w:color="auto" w:fill="auto"/>
            <w:vAlign w:val="center"/>
          </w:tcPr>
          <w:p>
            <w:pPr>
              <w:spacing w:line="400" w:lineRule="exact"/>
              <w:rPr>
                <w:rFonts w:ascii="宋体" w:hAnsi="宋体" w:cs="宋体"/>
                <w:color w:val="000000"/>
                <w:sz w:val="18"/>
                <w:szCs w:val="18"/>
              </w:rPr>
            </w:pPr>
            <w:r>
              <w:rPr>
                <w:rFonts w:hint="eastAsia" w:ascii="宋体" w:hAnsi="宋体" w:cs="宋体"/>
                <w:color w:val="000000"/>
                <w:sz w:val="18"/>
                <w:szCs w:val="18"/>
                <w:lang w:bidi="ar"/>
              </w:rPr>
              <w:t>一阶线性匀场时间</w:t>
            </w:r>
          </w:p>
        </w:tc>
        <w:tc>
          <w:tcPr>
            <w:tcW w:w="3629" w:type="dxa"/>
            <w:tcBorders>
              <w:tl2br w:val="nil"/>
              <w:tr2bl w:val="nil"/>
            </w:tcBorders>
            <w:shd w:val="clear" w:color="auto" w:fill="auto"/>
            <w:vAlign w:val="center"/>
          </w:tcPr>
          <w:p>
            <w:pPr>
              <w:spacing w:line="400" w:lineRule="exact"/>
              <w:rPr>
                <w:rFonts w:ascii="宋体" w:hAnsi="宋体" w:cs="宋体"/>
                <w:color w:val="000000"/>
                <w:sz w:val="18"/>
                <w:szCs w:val="18"/>
                <w:lang w:bidi="ar"/>
              </w:rPr>
            </w:pPr>
            <w:r>
              <w:rPr>
                <w:rFonts w:hint="eastAsia" w:ascii="宋体" w:hAnsi="宋体" w:cs="宋体"/>
                <w:color w:val="000000"/>
                <w:sz w:val="18"/>
                <w:szCs w:val="18"/>
                <w:lang w:bidi="ar"/>
              </w:rPr>
              <w:t>＜0.1ms</w:t>
            </w:r>
          </w:p>
        </w:tc>
        <w:tc>
          <w:tcPr>
            <w:tcW w:w="981" w:type="dxa"/>
            <w:vMerge w:val="continue"/>
            <w:tcBorders>
              <w:tl2br w:val="nil"/>
              <w:tr2bl w:val="nil"/>
            </w:tcBorders>
            <w:shd w:val="clear" w:color="auto" w:fill="auto"/>
            <w:vAlign w:val="center"/>
          </w:tcPr>
          <w:p>
            <w:pPr>
              <w:spacing w:line="400" w:lineRule="exact"/>
              <w:rPr>
                <w:rFonts w:ascii="宋体" w:hAnsi="宋体" w:cs="宋体"/>
                <w:color w:val="000000"/>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22"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color w:val="000000"/>
                <w:sz w:val="18"/>
                <w:szCs w:val="18"/>
              </w:rPr>
            </w:pPr>
            <w:r>
              <w:rPr>
                <w:rFonts w:hint="eastAsia" w:ascii="宋体" w:hAnsi="宋体" w:cs="宋体"/>
                <w:color w:val="000000"/>
                <w:sz w:val="18"/>
                <w:szCs w:val="18"/>
                <w:lang w:bidi="ar"/>
              </w:rPr>
              <w:t>6.5</w:t>
            </w:r>
          </w:p>
        </w:tc>
        <w:tc>
          <w:tcPr>
            <w:tcW w:w="3898" w:type="dxa"/>
            <w:tcBorders>
              <w:tl2br w:val="nil"/>
              <w:tr2bl w:val="nil"/>
            </w:tcBorders>
            <w:shd w:val="clear" w:color="auto" w:fill="auto"/>
            <w:vAlign w:val="center"/>
          </w:tcPr>
          <w:p>
            <w:pPr>
              <w:spacing w:line="400" w:lineRule="exact"/>
              <w:rPr>
                <w:rFonts w:ascii="宋体" w:hAnsi="宋体" w:cs="宋体"/>
                <w:color w:val="000000"/>
                <w:sz w:val="18"/>
                <w:szCs w:val="18"/>
              </w:rPr>
            </w:pPr>
            <w:r>
              <w:rPr>
                <w:rFonts w:hint="eastAsia" w:ascii="宋体" w:hAnsi="宋体" w:cs="宋体"/>
                <w:color w:val="000000"/>
                <w:sz w:val="18"/>
                <w:szCs w:val="18"/>
                <w:lang w:bidi="ar"/>
              </w:rPr>
              <w:t>二阶高级匀场时间</w:t>
            </w:r>
          </w:p>
        </w:tc>
        <w:tc>
          <w:tcPr>
            <w:tcW w:w="3629" w:type="dxa"/>
            <w:tcBorders>
              <w:tl2br w:val="nil"/>
              <w:tr2bl w:val="nil"/>
            </w:tcBorders>
            <w:shd w:val="clear" w:color="auto" w:fill="auto"/>
            <w:vAlign w:val="center"/>
          </w:tcPr>
          <w:p>
            <w:pPr>
              <w:spacing w:line="400" w:lineRule="exact"/>
              <w:rPr>
                <w:rFonts w:ascii="宋体" w:hAnsi="宋体" w:cs="宋体"/>
                <w:color w:val="000000"/>
                <w:sz w:val="18"/>
                <w:szCs w:val="18"/>
                <w:lang w:bidi="ar"/>
              </w:rPr>
            </w:pPr>
            <w:r>
              <w:rPr>
                <w:rFonts w:hint="eastAsia" w:ascii="宋体" w:hAnsi="宋体" w:cs="宋体"/>
                <w:color w:val="000000"/>
                <w:sz w:val="18"/>
                <w:szCs w:val="18"/>
                <w:lang w:bidi="ar"/>
              </w:rPr>
              <w:t>≤10ms</w:t>
            </w:r>
          </w:p>
        </w:tc>
        <w:tc>
          <w:tcPr>
            <w:tcW w:w="981" w:type="dxa"/>
            <w:vMerge w:val="continue"/>
            <w:tcBorders>
              <w:tl2br w:val="nil"/>
              <w:tr2bl w:val="nil"/>
            </w:tcBorders>
            <w:shd w:val="clear" w:color="auto" w:fill="auto"/>
            <w:vAlign w:val="center"/>
          </w:tcPr>
          <w:p>
            <w:pPr>
              <w:spacing w:line="400" w:lineRule="exact"/>
              <w:rPr>
                <w:rFonts w:ascii="宋体" w:hAnsi="宋体" w:cs="宋体"/>
                <w:color w:val="000000"/>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25"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color w:val="000000"/>
                <w:sz w:val="18"/>
                <w:szCs w:val="18"/>
              </w:rPr>
            </w:pPr>
            <w:r>
              <w:rPr>
                <w:rFonts w:hint="eastAsia" w:ascii="宋体" w:hAnsi="宋体" w:cs="宋体"/>
                <w:color w:val="000000"/>
                <w:sz w:val="18"/>
                <w:szCs w:val="18"/>
                <w:lang w:bidi="ar"/>
              </w:rPr>
              <w:t>6.6</w:t>
            </w:r>
          </w:p>
        </w:tc>
        <w:tc>
          <w:tcPr>
            <w:tcW w:w="3898" w:type="dxa"/>
            <w:tcBorders>
              <w:tl2br w:val="nil"/>
              <w:tr2bl w:val="nil"/>
            </w:tcBorders>
            <w:shd w:val="clear" w:color="auto" w:fill="auto"/>
            <w:vAlign w:val="center"/>
          </w:tcPr>
          <w:p>
            <w:pPr>
              <w:spacing w:line="400" w:lineRule="exact"/>
              <w:rPr>
                <w:rFonts w:ascii="宋体" w:hAnsi="宋体" w:cs="宋体"/>
                <w:color w:val="000000"/>
                <w:sz w:val="18"/>
                <w:szCs w:val="18"/>
              </w:rPr>
            </w:pPr>
            <w:r>
              <w:rPr>
                <w:rFonts w:hint="eastAsia" w:ascii="宋体" w:hAnsi="宋体" w:cs="宋体"/>
                <w:color w:val="000000"/>
                <w:sz w:val="18"/>
                <w:szCs w:val="18"/>
                <w:lang w:bidi="ar"/>
              </w:rPr>
              <w:t>匀场模块数量</w:t>
            </w:r>
          </w:p>
        </w:tc>
        <w:tc>
          <w:tcPr>
            <w:tcW w:w="3629" w:type="dxa"/>
            <w:tcBorders>
              <w:tl2br w:val="nil"/>
              <w:tr2bl w:val="nil"/>
            </w:tcBorders>
            <w:shd w:val="clear" w:color="auto" w:fill="auto"/>
            <w:vAlign w:val="center"/>
          </w:tcPr>
          <w:p>
            <w:pPr>
              <w:spacing w:line="400" w:lineRule="exact"/>
              <w:rPr>
                <w:rFonts w:ascii="宋体" w:hAnsi="宋体" w:cs="宋体"/>
                <w:color w:val="000000"/>
                <w:sz w:val="18"/>
                <w:szCs w:val="18"/>
                <w:lang w:bidi="ar"/>
              </w:rPr>
            </w:pPr>
            <w:r>
              <w:rPr>
                <w:rFonts w:hint="eastAsia" w:ascii="宋体" w:hAnsi="宋体" w:cs="宋体"/>
                <w:color w:val="000000"/>
                <w:sz w:val="18"/>
                <w:szCs w:val="18"/>
                <w:lang w:bidi="ar"/>
              </w:rPr>
              <w:t>≥1000</w:t>
            </w:r>
          </w:p>
        </w:tc>
        <w:tc>
          <w:tcPr>
            <w:tcW w:w="981" w:type="dxa"/>
            <w:vMerge w:val="continue"/>
            <w:tcBorders>
              <w:tl2br w:val="nil"/>
              <w:tr2bl w:val="nil"/>
            </w:tcBorders>
            <w:shd w:val="clear" w:color="auto" w:fill="auto"/>
            <w:vAlign w:val="center"/>
          </w:tcPr>
          <w:p>
            <w:pPr>
              <w:spacing w:line="400" w:lineRule="exact"/>
              <w:rPr>
                <w:rFonts w:ascii="宋体" w:hAnsi="宋体" w:cs="宋体"/>
                <w:color w:val="000000"/>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25"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color w:val="000000"/>
                <w:sz w:val="18"/>
                <w:szCs w:val="18"/>
              </w:rPr>
            </w:pPr>
            <w:r>
              <w:rPr>
                <w:rFonts w:hint="eastAsia" w:ascii="宋体" w:hAnsi="宋体" w:cs="宋体"/>
                <w:color w:val="000000"/>
                <w:sz w:val="18"/>
                <w:szCs w:val="18"/>
                <w:lang w:bidi="ar"/>
              </w:rPr>
              <w:t>6.7</w:t>
            </w:r>
          </w:p>
        </w:tc>
        <w:tc>
          <w:tcPr>
            <w:tcW w:w="3898" w:type="dxa"/>
            <w:tcBorders>
              <w:tl2br w:val="nil"/>
              <w:tr2bl w:val="nil"/>
            </w:tcBorders>
            <w:shd w:val="clear" w:color="auto" w:fill="auto"/>
            <w:vAlign w:val="center"/>
          </w:tcPr>
          <w:p>
            <w:pPr>
              <w:spacing w:line="400" w:lineRule="exact"/>
              <w:rPr>
                <w:rFonts w:ascii="宋体" w:hAnsi="宋体" w:cs="宋体"/>
                <w:color w:val="000000"/>
                <w:sz w:val="18"/>
                <w:szCs w:val="18"/>
              </w:rPr>
            </w:pPr>
            <w:r>
              <w:rPr>
                <w:rFonts w:hint="eastAsia" w:ascii="宋体" w:hAnsi="宋体" w:cs="宋体"/>
                <w:color w:val="000000"/>
                <w:sz w:val="18"/>
                <w:szCs w:val="18"/>
                <w:lang w:bidi="ar"/>
              </w:rPr>
              <w:t>实时动态匀场技术</w:t>
            </w:r>
          </w:p>
        </w:tc>
        <w:tc>
          <w:tcPr>
            <w:tcW w:w="3629" w:type="dxa"/>
            <w:tcBorders>
              <w:tl2br w:val="nil"/>
              <w:tr2bl w:val="nil"/>
            </w:tcBorders>
            <w:shd w:val="clear" w:color="auto" w:fill="auto"/>
            <w:vAlign w:val="center"/>
          </w:tcPr>
          <w:p>
            <w:pPr>
              <w:spacing w:line="400" w:lineRule="exact"/>
              <w:rPr>
                <w:rFonts w:ascii="宋体" w:hAnsi="宋体" w:cs="宋体"/>
                <w:color w:val="000000"/>
                <w:sz w:val="18"/>
                <w:szCs w:val="18"/>
                <w:lang w:bidi="ar"/>
              </w:rPr>
            </w:pPr>
            <w:r>
              <w:rPr>
                <w:rFonts w:hint="eastAsia" w:ascii="宋体" w:hAnsi="宋体" w:cs="宋体"/>
                <w:color w:val="000000"/>
                <w:sz w:val="18"/>
                <w:szCs w:val="18"/>
                <w:lang w:bidi="ar"/>
              </w:rPr>
              <w:t>有</w:t>
            </w:r>
          </w:p>
        </w:tc>
        <w:tc>
          <w:tcPr>
            <w:tcW w:w="981" w:type="dxa"/>
            <w:vMerge w:val="continue"/>
            <w:tcBorders>
              <w:tl2br w:val="nil"/>
              <w:tr2bl w:val="nil"/>
            </w:tcBorders>
            <w:shd w:val="clear" w:color="auto" w:fill="auto"/>
            <w:vAlign w:val="center"/>
          </w:tcPr>
          <w:p>
            <w:pPr>
              <w:spacing w:line="400" w:lineRule="exact"/>
              <w:rPr>
                <w:rFonts w:ascii="宋体" w:hAnsi="宋体" w:cs="宋体"/>
                <w:color w:val="000000"/>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25"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color w:val="000000"/>
                <w:sz w:val="18"/>
                <w:szCs w:val="18"/>
              </w:rPr>
            </w:pPr>
            <w:r>
              <w:rPr>
                <w:rFonts w:hint="eastAsia" w:ascii="宋体" w:hAnsi="宋体" w:cs="宋体"/>
                <w:sz w:val="18"/>
                <w:szCs w:val="18"/>
                <w:lang w:bidi="ar"/>
              </w:rPr>
              <w:t>*7</w:t>
            </w:r>
          </w:p>
        </w:tc>
        <w:tc>
          <w:tcPr>
            <w:tcW w:w="3898" w:type="dxa"/>
            <w:tcBorders>
              <w:tl2br w:val="nil"/>
              <w:tr2bl w:val="nil"/>
            </w:tcBorders>
            <w:shd w:val="clear" w:color="auto" w:fill="auto"/>
            <w:vAlign w:val="center"/>
          </w:tcPr>
          <w:p>
            <w:pPr>
              <w:spacing w:line="400" w:lineRule="exact"/>
              <w:rPr>
                <w:rFonts w:ascii="宋体" w:hAnsi="宋体" w:cs="宋体"/>
                <w:color w:val="000000"/>
                <w:sz w:val="18"/>
                <w:szCs w:val="18"/>
              </w:rPr>
            </w:pPr>
            <w:r>
              <w:rPr>
                <w:rFonts w:hint="eastAsia" w:ascii="宋体" w:hAnsi="宋体" w:cs="宋体"/>
                <w:sz w:val="18"/>
                <w:szCs w:val="18"/>
                <w:lang w:bidi="ar"/>
              </w:rPr>
              <w:t>磁体长度</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 xml:space="preserve">≤170cm  </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30"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*8</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病人检查孔径</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≥70cm </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9"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9</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液氦挥发量</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≤0L/h</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9"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10</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液氦容积</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≥1500L </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9"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11</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抗外界干扰屏蔽 </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有</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69"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12</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 xml:space="preserve">主磁场均匀度补偿 </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有 </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69"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13</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5G磁力线范围：</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69"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13.1</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 xml:space="preserve"> 轴向</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≤5.1米</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55"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13.2</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 xml:space="preserve"> 径向</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≤3.2米</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55"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14</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kern w:val="0"/>
                <w:sz w:val="18"/>
                <w:szCs w:val="18"/>
                <w:lang w:bidi="ar"/>
              </w:rPr>
              <w:t>1G磁力线范围：</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55"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kern w:val="0"/>
                <w:sz w:val="18"/>
                <w:szCs w:val="18"/>
              </w:rPr>
            </w:pPr>
            <w:r>
              <w:rPr>
                <w:rFonts w:hint="eastAsia" w:ascii="宋体" w:hAnsi="宋体" w:cs="宋体"/>
                <w:sz w:val="18"/>
                <w:szCs w:val="18"/>
                <w:lang w:bidi="ar"/>
              </w:rPr>
              <w:t>14.1</w:t>
            </w:r>
          </w:p>
        </w:tc>
        <w:tc>
          <w:tcPr>
            <w:tcW w:w="3898" w:type="dxa"/>
            <w:tcBorders>
              <w:tl2br w:val="nil"/>
              <w:tr2bl w:val="nil"/>
            </w:tcBorders>
            <w:shd w:val="clear" w:color="auto" w:fill="auto"/>
            <w:vAlign w:val="center"/>
          </w:tcPr>
          <w:p>
            <w:pPr>
              <w:spacing w:line="400" w:lineRule="exact"/>
              <w:rPr>
                <w:rFonts w:ascii="宋体" w:hAnsi="宋体" w:cs="宋体"/>
                <w:kern w:val="0"/>
                <w:sz w:val="18"/>
                <w:szCs w:val="18"/>
              </w:rPr>
            </w:pPr>
            <w:r>
              <w:rPr>
                <w:rFonts w:hint="eastAsia" w:ascii="宋体" w:hAnsi="宋体" w:cs="宋体"/>
                <w:kern w:val="0"/>
                <w:sz w:val="18"/>
                <w:szCs w:val="18"/>
                <w:lang w:bidi="ar"/>
              </w:rPr>
              <w:t xml:space="preserve"> 轴向</w:t>
            </w:r>
          </w:p>
        </w:tc>
        <w:tc>
          <w:tcPr>
            <w:tcW w:w="3629" w:type="dxa"/>
            <w:tcBorders>
              <w:tl2br w:val="nil"/>
              <w:tr2bl w:val="nil"/>
            </w:tcBorders>
            <w:shd w:val="clear" w:color="auto" w:fill="auto"/>
            <w:vAlign w:val="center"/>
          </w:tcPr>
          <w:p>
            <w:pPr>
              <w:spacing w:line="400" w:lineRule="exact"/>
              <w:rPr>
                <w:rFonts w:ascii="宋体" w:hAnsi="宋体" w:cs="宋体"/>
                <w:kern w:val="0"/>
                <w:sz w:val="18"/>
                <w:szCs w:val="18"/>
                <w:lang w:bidi="ar"/>
              </w:rPr>
            </w:pPr>
            <w:r>
              <w:rPr>
                <w:rFonts w:hint="eastAsia" w:ascii="宋体" w:hAnsi="宋体" w:cs="宋体"/>
                <w:kern w:val="0"/>
                <w:sz w:val="18"/>
                <w:szCs w:val="18"/>
                <w:lang w:bidi="ar"/>
              </w:rPr>
              <w:t>≤7.3米</w:t>
            </w:r>
          </w:p>
        </w:tc>
        <w:tc>
          <w:tcPr>
            <w:tcW w:w="981" w:type="dxa"/>
            <w:vMerge w:val="continue"/>
            <w:tcBorders>
              <w:tl2br w:val="nil"/>
              <w:tr2bl w:val="nil"/>
            </w:tcBorders>
            <w:shd w:val="clear" w:color="auto" w:fill="auto"/>
            <w:vAlign w:val="center"/>
          </w:tcPr>
          <w:p>
            <w:pPr>
              <w:spacing w:line="400" w:lineRule="exact"/>
              <w:rPr>
                <w:rFonts w:ascii="宋体" w:hAnsi="宋体" w:cs="宋体"/>
                <w:kern w:val="0"/>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55"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kern w:val="0"/>
                <w:sz w:val="18"/>
                <w:szCs w:val="18"/>
              </w:rPr>
            </w:pPr>
            <w:r>
              <w:rPr>
                <w:rFonts w:hint="eastAsia" w:ascii="宋体" w:hAnsi="宋体" w:cs="宋体"/>
                <w:sz w:val="18"/>
                <w:szCs w:val="18"/>
                <w:lang w:bidi="ar"/>
              </w:rPr>
              <w:t>14.2</w:t>
            </w:r>
          </w:p>
        </w:tc>
        <w:tc>
          <w:tcPr>
            <w:tcW w:w="3898" w:type="dxa"/>
            <w:tcBorders>
              <w:tl2br w:val="nil"/>
              <w:tr2bl w:val="nil"/>
            </w:tcBorders>
            <w:shd w:val="clear" w:color="auto" w:fill="auto"/>
            <w:vAlign w:val="center"/>
          </w:tcPr>
          <w:p>
            <w:pPr>
              <w:spacing w:line="400" w:lineRule="exact"/>
              <w:rPr>
                <w:rFonts w:ascii="宋体" w:hAnsi="宋体" w:cs="宋体"/>
                <w:kern w:val="0"/>
                <w:sz w:val="18"/>
                <w:szCs w:val="18"/>
              </w:rPr>
            </w:pPr>
            <w:r>
              <w:rPr>
                <w:rFonts w:hint="eastAsia" w:ascii="宋体" w:hAnsi="宋体" w:cs="宋体"/>
                <w:kern w:val="0"/>
                <w:sz w:val="18"/>
                <w:szCs w:val="18"/>
                <w:lang w:bidi="ar"/>
              </w:rPr>
              <w:t xml:space="preserve"> 径向</w:t>
            </w:r>
          </w:p>
        </w:tc>
        <w:tc>
          <w:tcPr>
            <w:tcW w:w="3629" w:type="dxa"/>
            <w:tcBorders>
              <w:tl2br w:val="nil"/>
              <w:tr2bl w:val="nil"/>
            </w:tcBorders>
            <w:shd w:val="clear" w:color="auto" w:fill="auto"/>
            <w:vAlign w:val="center"/>
          </w:tcPr>
          <w:p>
            <w:pPr>
              <w:spacing w:line="400" w:lineRule="exact"/>
              <w:rPr>
                <w:rFonts w:ascii="宋体" w:hAnsi="宋体" w:cs="宋体"/>
                <w:kern w:val="0"/>
                <w:sz w:val="18"/>
                <w:szCs w:val="18"/>
                <w:lang w:bidi="ar"/>
              </w:rPr>
            </w:pPr>
            <w:r>
              <w:rPr>
                <w:rFonts w:hint="eastAsia" w:ascii="宋体" w:hAnsi="宋体" w:cs="宋体"/>
                <w:kern w:val="0"/>
                <w:sz w:val="18"/>
                <w:szCs w:val="18"/>
                <w:lang w:bidi="ar"/>
              </w:rPr>
              <w:t>≤4.3米</w:t>
            </w:r>
          </w:p>
        </w:tc>
        <w:tc>
          <w:tcPr>
            <w:tcW w:w="981" w:type="dxa"/>
            <w:vMerge w:val="continue"/>
            <w:tcBorders>
              <w:tl2br w:val="nil"/>
              <w:tr2bl w:val="nil"/>
            </w:tcBorders>
            <w:shd w:val="clear" w:color="auto" w:fill="auto"/>
            <w:vAlign w:val="center"/>
          </w:tcPr>
          <w:p>
            <w:pPr>
              <w:spacing w:line="400" w:lineRule="exact"/>
              <w:rPr>
                <w:rFonts w:ascii="宋体" w:hAnsi="宋体" w:cs="宋体"/>
                <w:kern w:val="0"/>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55"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kern w:val="0"/>
                <w:sz w:val="18"/>
                <w:szCs w:val="18"/>
              </w:rPr>
            </w:pPr>
            <w:r>
              <w:rPr>
                <w:rFonts w:hint="eastAsia" w:ascii="宋体" w:hAnsi="宋体" w:cs="宋体"/>
                <w:sz w:val="18"/>
                <w:szCs w:val="18"/>
                <w:lang w:bidi="ar"/>
              </w:rPr>
              <w:t>15</w:t>
            </w:r>
          </w:p>
        </w:tc>
        <w:tc>
          <w:tcPr>
            <w:tcW w:w="3898" w:type="dxa"/>
            <w:tcBorders>
              <w:tl2br w:val="nil"/>
              <w:tr2bl w:val="nil"/>
            </w:tcBorders>
            <w:shd w:val="clear" w:color="auto" w:fill="auto"/>
            <w:vAlign w:val="center"/>
          </w:tcPr>
          <w:p>
            <w:pPr>
              <w:spacing w:line="400" w:lineRule="exact"/>
              <w:rPr>
                <w:rFonts w:ascii="宋体" w:hAnsi="宋体" w:cs="宋体"/>
                <w:kern w:val="0"/>
                <w:sz w:val="18"/>
                <w:szCs w:val="18"/>
              </w:rPr>
            </w:pPr>
            <w:r>
              <w:rPr>
                <w:rFonts w:hint="eastAsia" w:ascii="宋体" w:hAnsi="宋体" w:cs="宋体"/>
                <w:color w:val="000000"/>
                <w:sz w:val="18"/>
                <w:szCs w:val="18"/>
                <w:lang w:bidi="ar"/>
              </w:rPr>
              <w:t xml:space="preserve">冷却方式  </w:t>
            </w:r>
          </w:p>
        </w:tc>
        <w:tc>
          <w:tcPr>
            <w:tcW w:w="3629" w:type="dxa"/>
            <w:tcBorders>
              <w:tl2br w:val="nil"/>
              <w:tr2bl w:val="nil"/>
            </w:tcBorders>
            <w:shd w:val="clear" w:color="auto" w:fill="auto"/>
            <w:vAlign w:val="center"/>
          </w:tcPr>
          <w:p>
            <w:pPr>
              <w:spacing w:line="400" w:lineRule="exact"/>
              <w:rPr>
                <w:rFonts w:ascii="宋体" w:hAnsi="宋体" w:cs="宋体"/>
                <w:color w:val="000000"/>
                <w:sz w:val="18"/>
                <w:szCs w:val="18"/>
                <w:lang w:bidi="ar"/>
              </w:rPr>
            </w:pPr>
            <w:r>
              <w:rPr>
                <w:rFonts w:hint="eastAsia" w:ascii="宋体" w:hAnsi="宋体" w:cs="宋体"/>
                <w:color w:val="000000"/>
                <w:sz w:val="18"/>
                <w:szCs w:val="18"/>
                <w:lang w:bidi="ar"/>
              </w:rPr>
              <w:t>液氦制冷 </w:t>
            </w:r>
          </w:p>
        </w:tc>
        <w:tc>
          <w:tcPr>
            <w:tcW w:w="981" w:type="dxa"/>
            <w:vMerge w:val="continue"/>
            <w:tcBorders>
              <w:tl2br w:val="nil"/>
              <w:tr2bl w:val="nil"/>
            </w:tcBorders>
            <w:shd w:val="clear" w:color="auto" w:fill="auto"/>
            <w:vAlign w:val="center"/>
          </w:tcPr>
          <w:p>
            <w:pPr>
              <w:spacing w:line="400" w:lineRule="exact"/>
              <w:rPr>
                <w:rFonts w:ascii="宋体" w:hAnsi="宋体" w:cs="宋体"/>
                <w:color w:val="000000"/>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6"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b/>
                <w:bCs/>
                <w:color w:val="000000"/>
                <w:sz w:val="18"/>
                <w:szCs w:val="18"/>
              </w:rPr>
            </w:pPr>
            <w:r>
              <w:rPr>
                <w:rFonts w:hint="eastAsia" w:ascii="宋体" w:hAnsi="宋体" w:cs="宋体"/>
                <w:b/>
                <w:bCs/>
                <w:color w:val="000000"/>
                <w:sz w:val="18"/>
                <w:szCs w:val="18"/>
                <w:lang w:bidi="ar"/>
              </w:rPr>
              <w:t>三、</w:t>
            </w:r>
          </w:p>
        </w:tc>
        <w:tc>
          <w:tcPr>
            <w:tcW w:w="3898" w:type="dxa"/>
            <w:tcBorders>
              <w:tl2br w:val="nil"/>
              <w:tr2bl w:val="nil"/>
            </w:tcBorders>
            <w:shd w:val="clear" w:color="auto" w:fill="auto"/>
            <w:vAlign w:val="center"/>
          </w:tcPr>
          <w:p>
            <w:pPr>
              <w:spacing w:line="400" w:lineRule="exact"/>
              <w:rPr>
                <w:rFonts w:ascii="宋体" w:hAnsi="宋体" w:cs="宋体"/>
                <w:b/>
                <w:bCs/>
                <w:color w:val="000000"/>
                <w:sz w:val="18"/>
                <w:szCs w:val="18"/>
              </w:rPr>
            </w:pPr>
            <w:r>
              <w:rPr>
                <w:rFonts w:hint="eastAsia" w:ascii="宋体" w:hAnsi="宋体" w:cs="宋体"/>
                <w:b/>
                <w:bCs/>
                <w:color w:val="000000"/>
                <w:sz w:val="18"/>
                <w:szCs w:val="18"/>
                <w:lang w:bidi="ar"/>
              </w:rPr>
              <w:t>梯度系统 </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6"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kern w:val="0"/>
                <w:sz w:val="18"/>
                <w:szCs w:val="18"/>
              </w:rPr>
            </w:pPr>
            <w:r>
              <w:rPr>
                <w:rFonts w:hint="eastAsia" w:ascii="宋体" w:hAnsi="宋体" w:cs="宋体"/>
                <w:sz w:val="18"/>
                <w:szCs w:val="18"/>
                <w:lang w:bidi="ar"/>
              </w:rPr>
              <w:t>1</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kern w:val="0"/>
                <w:sz w:val="18"/>
                <w:szCs w:val="18"/>
                <w:lang w:bidi="ar"/>
              </w:rPr>
              <w:t>梯度线圈冷却方式</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基底冷却</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6"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kern w:val="0"/>
                <w:sz w:val="18"/>
                <w:szCs w:val="18"/>
              </w:rPr>
            </w:pPr>
            <w:r>
              <w:rPr>
                <w:rFonts w:hint="eastAsia" w:ascii="宋体" w:hAnsi="宋体" w:cs="宋体"/>
                <w:sz w:val="18"/>
                <w:szCs w:val="18"/>
                <w:lang w:bidi="ar"/>
              </w:rPr>
              <w:t>2</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kern w:val="0"/>
                <w:sz w:val="18"/>
                <w:szCs w:val="18"/>
                <w:lang w:bidi="ar"/>
              </w:rPr>
              <w:t>单轴梯度场强</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 xml:space="preserve">≥45mT/m  </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4"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kern w:val="0"/>
                <w:sz w:val="18"/>
                <w:szCs w:val="18"/>
              </w:rPr>
            </w:pPr>
            <w:r>
              <w:rPr>
                <w:rFonts w:hint="eastAsia" w:ascii="宋体" w:hAnsi="宋体" w:cs="宋体"/>
                <w:sz w:val="18"/>
                <w:szCs w:val="18"/>
                <w:lang w:bidi="ar"/>
              </w:rPr>
              <w:t>3</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kern w:val="0"/>
                <w:sz w:val="18"/>
                <w:szCs w:val="18"/>
                <w:lang w:bidi="ar"/>
              </w:rPr>
              <w:t xml:space="preserve">单轴梯度切换率 </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≥200T/m /s</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4"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kern w:val="0"/>
                <w:sz w:val="18"/>
                <w:szCs w:val="18"/>
              </w:rPr>
            </w:pPr>
            <w:r>
              <w:rPr>
                <w:rFonts w:hint="eastAsia" w:ascii="宋体" w:hAnsi="宋体" w:cs="宋体"/>
                <w:sz w:val="18"/>
                <w:szCs w:val="18"/>
                <w:lang w:bidi="ar"/>
              </w:rPr>
              <w:t>4</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kern w:val="0"/>
                <w:sz w:val="18"/>
                <w:szCs w:val="18"/>
                <w:lang w:bidi="ar"/>
              </w:rPr>
              <w:t>梯度线圈保真度</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≥99.97%</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4"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kern w:val="0"/>
                <w:sz w:val="18"/>
                <w:szCs w:val="18"/>
              </w:rPr>
            </w:pPr>
            <w:r>
              <w:rPr>
                <w:rFonts w:hint="eastAsia" w:ascii="宋体" w:hAnsi="宋体" w:cs="宋体"/>
                <w:sz w:val="18"/>
                <w:szCs w:val="18"/>
                <w:lang w:bidi="ar"/>
              </w:rPr>
              <w:t>*5</w:t>
            </w:r>
          </w:p>
        </w:tc>
        <w:tc>
          <w:tcPr>
            <w:tcW w:w="3898" w:type="dxa"/>
            <w:tcBorders>
              <w:tl2br w:val="nil"/>
              <w:tr2bl w:val="nil"/>
            </w:tcBorders>
            <w:shd w:val="clear" w:color="auto" w:fill="auto"/>
            <w:vAlign w:val="center"/>
          </w:tcPr>
          <w:p>
            <w:pPr>
              <w:spacing w:line="400" w:lineRule="exact"/>
              <w:rPr>
                <w:rFonts w:ascii="宋体" w:hAnsi="宋体" w:cs="宋体"/>
                <w:kern w:val="0"/>
                <w:sz w:val="18"/>
                <w:szCs w:val="18"/>
              </w:rPr>
            </w:pPr>
            <w:r>
              <w:rPr>
                <w:rFonts w:hint="eastAsia" w:ascii="宋体" w:hAnsi="宋体" w:cs="宋体"/>
                <w:kern w:val="0"/>
                <w:sz w:val="18"/>
                <w:szCs w:val="18"/>
                <w:lang w:bidi="ar"/>
              </w:rPr>
              <w:t>最大扫描FOV</w:t>
            </w:r>
          </w:p>
        </w:tc>
        <w:tc>
          <w:tcPr>
            <w:tcW w:w="3629" w:type="dxa"/>
            <w:tcBorders>
              <w:tl2br w:val="nil"/>
              <w:tr2bl w:val="nil"/>
            </w:tcBorders>
            <w:shd w:val="clear" w:color="auto" w:fill="auto"/>
            <w:vAlign w:val="center"/>
          </w:tcPr>
          <w:p>
            <w:pPr>
              <w:autoSpaceDN w:val="0"/>
              <w:spacing w:line="400" w:lineRule="exact"/>
              <w:jc w:val="left"/>
              <w:textAlignment w:val="center"/>
              <w:rPr>
                <w:rFonts w:ascii="宋体" w:hAnsi="宋体" w:cs="宋体"/>
                <w:sz w:val="18"/>
                <w:szCs w:val="18"/>
                <w:lang w:bidi="ar"/>
              </w:rPr>
            </w:pPr>
            <w:r>
              <w:rPr>
                <w:rFonts w:hint="eastAsia" w:ascii="宋体" w:hAnsi="宋体" w:cs="宋体"/>
                <w:sz w:val="18"/>
                <w:szCs w:val="18"/>
                <w:lang w:bidi="ar"/>
              </w:rPr>
              <w:t>≥</w:t>
            </w:r>
            <w:r>
              <w:rPr>
                <w:rFonts w:hint="eastAsia" w:ascii="宋体" w:hAnsi="宋体" w:cs="宋体"/>
                <w:kern w:val="0"/>
                <w:sz w:val="18"/>
                <w:szCs w:val="18"/>
                <w:lang w:bidi="ar"/>
              </w:rPr>
              <w:t>55cm</w:t>
            </w:r>
          </w:p>
        </w:tc>
        <w:tc>
          <w:tcPr>
            <w:tcW w:w="981" w:type="dxa"/>
            <w:vMerge w:val="continue"/>
            <w:tcBorders>
              <w:tl2br w:val="nil"/>
              <w:tr2bl w:val="nil"/>
            </w:tcBorders>
            <w:shd w:val="clear" w:color="auto" w:fill="auto"/>
            <w:vAlign w:val="center"/>
          </w:tcPr>
          <w:p>
            <w:pPr>
              <w:autoSpaceDN w:val="0"/>
              <w:spacing w:line="400" w:lineRule="exact"/>
              <w:jc w:val="left"/>
              <w:textAlignment w:val="center"/>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66"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kern w:val="0"/>
                <w:sz w:val="18"/>
                <w:szCs w:val="18"/>
              </w:rPr>
            </w:pPr>
            <w:r>
              <w:rPr>
                <w:rFonts w:hint="eastAsia" w:ascii="宋体" w:hAnsi="宋体" w:cs="宋体"/>
                <w:sz w:val="18"/>
                <w:szCs w:val="18"/>
                <w:lang w:bidi="ar"/>
              </w:rPr>
              <w:t>6</w:t>
            </w:r>
          </w:p>
        </w:tc>
        <w:tc>
          <w:tcPr>
            <w:tcW w:w="3898" w:type="dxa"/>
            <w:tcBorders>
              <w:tl2br w:val="nil"/>
              <w:tr2bl w:val="nil"/>
            </w:tcBorders>
            <w:shd w:val="clear" w:color="auto" w:fill="auto"/>
            <w:vAlign w:val="center"/>
          </w:tcPr>
          <w:p>
            <w:pPr>
              <w:spacing w:line="400" w:lineRule="exact"/>
              <w:rPr>
                <w:rFonts w:ascii="宋体" w:hAnsi="宋体" w:cs="宋体"/>
                <w:kern w:val="0"/>
                <w:sz w:val="18"/>
                <w:szCs w:val="18"/>
              </w:rPr>
            </w:pPr>
            <w:r>
              <w:rPr>
                <w:rFonts w:hint="eastAsia" w:ascii="宋体" w:hAnsi="宋体" w:cs="宋体"/>
                <w:kern w:val="0"/>
                <w:sz w:val="18"/>
                <w:szCs w:val="18"/>
                <w:lang w:bidi="ar"/>
              </w:rPr>
              <w:t xml:space="preserve">最大占空比 </w:t>
            </w:r>
          </w:p>
        </w:tc>
        <w:tc>
          <w:tcPr>
            <w:tcW w:w="3629" w:type="dxa"/>
            <w:tcBorders>
              <w:tl2br w:val="nil"/>
              <w:tr2bl w:val="nil"/>
            </w:tcBorders>
            <w:shd w:val="clear" w:color="auto" w:fill="auto"/>
            <w:vAlign w:val="center"/>
          </w:tcPr>
          <w:p>
            <w:pPr>
              <w:spacing w:line="400" w:lineRule="exact"/>
              <w:rPr>
                <w:rFonts w:ascii="宋体" w:hAnsi="宋体" w:cs="宋体"/>
                <w:kern w:val="0"/>
                <w:sz w:val="18"/>
                <w:szCs w:val="18"/>
                <w:lang w:bidi="ar"/>
              </w:rPr>
            </w:pPr>
            <w:r>
              <w:rPr>
                <w:rFonts w:hint="eastAsia" w:ascii="宋体" w:hAnsi="宋体" w:cs="宋体"/>
                <w:kern w:val="0"/>
                <w:sz w:val="18"/>
                <w:szCs w:val="18"/>
                <w:lang w:bidi="ar"/>
              </w:rPr>
              <w:t>100% </w:t>
            </w:r>
          </w:p>
        </w:tc>
        <w:tc>
          <w:tcPr>
            <w:tcW w:w="981" w:type="dxa"/>
            <w:vMerge w:val="continue"/>
            <w:tcBorders>
              <w:tl2br w:val="nil"/>
              <w:tr2bl w:val="nil"/>
            </w:tcBorders>
            <w:shd w:val="clear" w:color="auto" w:fill="auto"/>
            <w:vAlign w:val="center"/>
          </w:tcPr>
          <w:p>
            <w:pPr>
              <w:spacing w:line="400" w:lineRule="exact"/>
              <w:rPr>
                <w:rFonts w:ascii="宋体" w:hAnsi="宋体" w:cs="宋体"/>
                <w:kern w:val="0"/>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55"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kern w:val="0"/>
                <w:sz w:val="18"/>
                <w:szCs w:val="18"/>
              </w:rPr>
            </w:pPr>
            <w:r>
              <w:rPr>
                <w:rFonts w:hint="eastAsia" w:ascii="宋体" w:hAnsi="宋体" w:cs="宋体"/>
                <w:sz w:val="18"/>
                <w:szCs w:val="18"/>
                <w:lang w:bidi="ar"/>
              </w:rPr>
              <w:t>7</w:t>
            </w:r>
          </w:p>
        </w:tc>
        <w:tc>
          <w:tcPr>
            <w:tcW w:w="3898" w:type="dxa"/>
            <w:tcBorders>
              <w:tl2br w:val="nil"/>
              <w:tr2bl w:val="nil"/>
            </w:tcBorders>
            <w:shd w:val="clear" w:color="auto" w:fill="auto"/>
            <w:vAlign w:val="center"/>
          </w:tcPr>
          <w:p>
            <w:pPr>
              <w:spacing w:line="400" w:lineRule="exact"/>
              <w:rPr>
                <w:rFonts w:ascii="宋体" w:hAnsi="宋体" w:cs="宋体"/>
                <w:kern w:val="0"/>
                <w:sz w:val="18"/>
                <w:szCs w:val="18"/>
              </w:rPr>
            </w:pPr>
            <w:r>
              <w:rPr>
                <w:rFonts w:hint="eastAsia" w:ascii="宋体" w:hAnsi="宋体" w:cs="宋体"/>
                <w:kern w:val="0"/>
                <w:sz w:val="18"/>
                <w:szCs w:val="18"/>
                <w:lang w:bidi="ar"/>
              </w:rPr>
              <w:t>梯度工作方式</w:t>
            </w:r>
          </w:p>
        </w:tc>
        <w:tc>
          <w:tcPr>
            <w:tcW w:w="3629" w:type="dxa"/>
            <w:tcBorders>
              <w:tl2br w:val="nil"/>
              <w:tr2bl w:val="nil"/>
            </w:tcBorders>
            <w:shd w:val="clear" w:color="auto" w:fill="auto"/>
            <w:vAlign w:val="center"/>
          </w:tcPr>
          <w:p>
            <w:pPr>
              <w:spacing w:line="400" w:lineRule="exact"/>
              <w:rPr>
                <w:rFonts w:ascii="宋体" w:hAnsi="宋体" w:cs="宋体"/>
                <w:kern w:val="0"/>
                <w:sz w:val="18"/>
                <w:szCs w:val="18"/>
                <w:lang w:bidi="ar"/>
              </w:rPr>
            </w:pPr>
            <w:r>
              <w:rPr>
                <w:rFonts w:hint="eastAsia" w:ascii="宋体" w:hAnsi="宋体" w:cs="宋体"/>
                <w:kern w:val="0"/>
                <w:sz w:val="18"/>
                <w:szCs w:val="18"/>
                <w:lang w:bidi="ar"/>
              </w:rPr>
              <w:t>非共振式 </w:t>
            </w:r>
          </w:p>
        </w:tc>
        <w:tc>
          <w:tcPr>
            <w:tcW w:w="981" w:type="dxa"/>
            <w:vMerge w:val="continue"/>
            <w:tcBorders>
              <w:tl2br w:val="nil"/>
              <w:tr2bl w:val="nil"/>
            </w:tcBorders>
            <w:shd w:val="clear" w:color="auto" w:fill="auto"/>
            <w:vAlign w:val="center"/>
          </w:tcPr>
          <w:p>
            <w:pPr>
              <w:spacing w:line="400" w:lineRule="exact"/>
              <w:rPr>
                <w:rFonts w:ascii="宋体" w:hAnsi="宋体" w:cs="宋体"/>
                <w:kern w:val="0"/>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55"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kern w:val="0"/>
                <w:sz w:val="18"/>
                <w:szCs w:val="18"/>
              </w:rPr>
            </w:pPr>
            <w:r>
              <w:rPr>
                <w:rFonts w:hint="eastAsia" w:ascii="宋体" w:hAnsi="宋体" w:cs="宋体"/>
                <w:sz w:val="18"/>
                <w:szCs w:val="18"/>
                <w:lang w:bidi="ar"/>
              </w:rPr>
              <w:t>8</w:t>
            </w:r>
          </w:p>
        </w:tc>
        <w:tc>
          <w:tcPr>
            <w:tcW w:w="3898" w:type="dxa"/>
            <w:tcBorders>
              <w:tl2br w:val="nil"/>
              <w:tr2bl w:val="nil"/>
            </w:tcBorders>
            <w:shd w:val="clear" w:color="auto" w:fill="auto"/>
            <w:vAlign w:val="center"/>
          </w:tcPr>
          <w:p>
            <w:pPr>
              <w:spacing w:line="400" w:lineRule="exact"/>
              <w:rPr>
                <w:rFonts w:ascii="宋体" w:hAnsi="宋体" w:cs="宋体"/>
                <w:kern w:val="0"/>
                <w:sz w:val="18"/>
                <w:szCs w:val="18"/>
              </w:rPr>
            </w:pPr>
            <w:r>
              <w:rPr>
                <w:rFonts w:hint="eastAsia" w:ascii="宋体" w:hAnsi="宋体" w:cs="宋体"/>
                <w:kern w:val="0"/>
                <w:sz w:val="18"/>
                <w:szCs w:val="18"/>
                <w:lang w:bidi="ar"/>
              </w:rPr>
              <w:t>梯度控制技术</w:t>
            </w:r>
          </w:p>
        </w:tc>
        <w:tc>
          <w:tcPr>
            <w:tcW w:w="3629" w:type="dxa"/>
            <w:tcBorders>
              <w:tl2br w:val="nil"/>
              <w:tr2bl w:val="nil"/>
            </w:tcBorders>
            <w:shd w:val="clear" w:color="auto" w:fill="auto"/>
            <w:vAlign w:val="center"/>
          </w:tcPr>
          <w:p>
            <w:pPr>
              <w:spacing w:line="400" w:lineRule="exact"/>
              <w:rPr>
                <w:rFonts w:ascii="宋体" w:hAnsi="宋体" w:cs="宋体"/>
                <w:kern w:val="0"/>
                <w:sz w:val="18"/>
                <w:szCs w:val="18"/>
                <w:lang w:bidi="ar"/>
              </w:rPr>
            </w:pPr>
            <w:r>
              <w:rPr>
                <w:rFonts w:hint="eastAsia" w:ascii="宋体" w:hAnsi="宋体" w:cs="宋体"/>
                <w:kern w:val="0"/>
                <w:sz w:val="18"/>
                <w:szCs w:val="18"/>
                <w:lang w:bidi="ar"/>
              </w:rPr>
              <w:t>全数字实时 </w:t>
            </w:r>
          </w:p>
        </w:tc>
        <w:tc>
          <w:tcPr>
            <w:tcW w:w="981" w:type="dxa"/>
            <w:vMerge w:val="continue"/>
            <w:tcBorders>
              <w:tl2br w:val="nil"/>
              <w:tr2bl w:val="nil"/>
            </w:tcBorders>
            <w:shd w:val="clear" w:color="auto" w:fill="auto"/>
            <w:vAlign w:val="center"/>
          </w:tcPr>
          <w:p>
            <w:pPr>
              <w:spacing w:line="400" w:lineRule="exact"/>
              <w:rPr>
                <w:rFonts w:ascii="宋体" w:hAnsi="宋体" w:cs="宋体"/>
                <w:kern w:val="0"/>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25"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kern w:val="0"/>
                <w:sz w:val="18"/>
                <w:szCs w:val="18"/>
              </w:rPr>
            </w:pPr>
            <w:r>
              <w:rPr>
                <w:rFonts w:hint="eastAsia" w:ascii="宋体" w:hAnsi="宋体" w:cs="宋体"/>
                <w:sz w:val="18"/>
                <w:szCs w:val="18"/>
                <w:lang w:bidi="ar"/>
              </w:rPr>
              <w:t>9</w:t>
            </w:r>
          </w:p>
        </w:tc>
        <w:tc>
          <w:tcPr>
            <w:tcW w:w="3898" w:type="dxa"/>
            <w:tcBorders>
              <w:tl2br w:val="nil"/>
              <w:tr2bl w:val="nil"/>
            </w:tcBorders>
            <w:shd w:val="clear" w:color="auto" w:fill="auto"/>
            <w:vAlign w:val="center"/>
          </w:tcPr>
          <w:p>
            <w:pPr>
              <w:spacing w:line="400" w:lineRule="exact"/>
              <w:rPr>
                <w:rFonts w:ascii="宋体" w:hAnsi="宋体" w:cs="宋体"/>
                <w:kern w:val="0"/>
                <w:sz w:val="18"/>
                <w:szCs w:val="18"/>
              </w:rPr>
            </w:pPr>
            <w:r>
              <w:rPr>
                <w:rFonts w:hint="eastAsia" w:ascii="宋体" w:hAnsi="宋体" w:cs="宋体"/>
                <w:kern w:val="0"/>
                <w:sz w:val="18"/>
                <w:szCs w:val="18"/>
                <w:lang w:bidi="ar"/>
              </w:rPr>
              <w:t>梯度减噪系统</w:t>
            </w:r>
          </w:p>
        </w:tc>
        <w:tc>
          <w:tcPr>
            <w:tcW w:w="3629" w:type="dxa"/>
            <w:tcBorders>
              <w:tl2br w:val="nil"/>
              <w:tr2bl w:val="nil"/>
            </w:tcBorders>
            <w:shd w:val="clear" w:color="auto" w:fill="auto"/>
            <w:vAlign w:val="center"/>
          </w:tcPr>
          <w:p>
            <w:pPr>
              <w:spacing w:line="400" w:lineRule="exact"/>
              <w:rPr>
                <w:rFonts w:ascii="宋体" w:hAnsi="宋体" w:cs="宋体"/>
                <w:kern w:val="0"/>
                <w:sz w:val="18"/>
                <w:szCs w:val="18"/>
                <w:lang w:bidi="ar"/>
              </w:rPr>
            </w:pPr>
            <w:r>
              <w:rPr>
                <w:rFonts w:hint="eastAsia" w:ascii="宋体" w:hAnsi="宋体" w:cs="宋体"/>
                <w:kern w:val="0"/>
                <w:sz w:val="18"/>
                <w:szCs w:val="18"/>
                <w:lang w:bidi="ar"/>
              </w:rPr>
              <w:t>支持全身全序列</w:t>
            </w:r>
          </w:p>
        </w:tc>
        <w:tc>
          <w:tcPr>
            <w:tcW w:w="981" w:type="dxa"/>
            <w:vMerge w:val="continue"/>
            <w:tcBorders>
              <w:tl2br w:val="nil"/>
              <w:tr2bl w:val="nil"/>
            </w:tcBorders>
            <w:shd w:val="clear" w:color="auto" w:fill="auto"/>
            <w:vAlign w:val="center"/>
          </w:tcPr>
          <w:p>
            <w:pPr>
              <w:spacing w:line="400" w:lineRule="exact"/>
              <w:rPr>
                <w:rFonts w:ascii="宋体" w:hAnsi="宋体" w:cs="宋体"/>
                <w:kern w:val="0"/>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25"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kern w:val="0"/>
                <w:sz w:val="18"/>
                <w:szCs w:val="18"/>
              </w:rPr>
            </w:pPr>
            <w:r>
              <w:rPr>
                <w:rFonts w:hint="eastAsia" w:ascii="宋体" w:hAnsi="宋体" w:cs="宋体"/>
                <w:sz w:val="18"/>
                <w:szCs w:val="18"/>
                <w:lang w:bidi="ar"/>
              </w:rPr>
              <w:t>10</w:t>
            </w:r>
          </w:p>
        </w:tc>
        <w:tc>
          <w:tcPr>
            <w:tcW w:w="3898" w:type="dxa"/>
            <w:tcBorders>
              <w:tl2br w:val="nil"/>
              <w:tr2bl w:val="nil"/>
            </w:tcBorders>
            <w:shd w:val="clear" w:color="auto" w:fill="auto"/>
            <w:vAlign w:val="center"/>
          </w:tcPr>
          <w:p>
            <w:pPr>
              <w:spacing w:line="400" w:lineRule="exact"/>
              <w:rPr>
                <w:rFonts w:ascii="宋体" w:hAnsi="宋体" w:cs="宋体"/>
                <w:kern w:val="0"/>
                <w:sz w:val="18"/>
                <w:szCs w:val="18"/>
              </w:rPr>
            </w:pPr>
            <w:r>
              <w:rPr>
                <w:rFonts w:hint="eastAsia" w:ascii="宋体" w:hAnsi="宋体" w:cs="宋体"/>
                <w:kern w:val="0"/>
                <w:sz w:val="18"/>
                <w:szCs w:val="18"/>
                <w:lang w:bidi="ar"/>
              </w:rPr>
              <w:t>梯度线性@20cm（提供datasheet证明）</w:t>
            </w:r>
          </w:p>
        </w:tc>
        <w:tc>
          <w:tcPr>
            <w:tcW w:w="3629" w:type="dxa"/>
            <w:tcBorders>
              <w:tl2br w:val="nil"/>
              <w:tr2bl w:val="nil"/>
            </w:tcBorders>
            <w:shd w:val="clear" w:color="auto" w:fill="auto"/>
            <w:vAlign w:val="center"/>
          </w:tcPr>
          <w:p>
            <w:pPr>
              <w:spacing w:line="400" w:lineRule="exact"/>
              <w:rPr>
                <w:rFonts w:ascii="宋体" w:hAnsi="宋体" w:cs="宋体"/>
                <w:kern w:val="0"/>
                <w:sz w:val="18"/>
                <w:szCs w:val="18"/>
                <w:lang w:bidi="ar"/>
              </w:rPr>
            </w:pPr>
            <w:r>
              <w:rPr>
                <w:rFonts w:hint="eastAsia" w:ascii="宋体" w:hAnsi="宋体" w:cs="宋体"/>
                <w:kern w:val="0"/>
                <w:sz w:val="18"/>
                <w:szCs w:val="18"/>
                <w:lang w:bidi="ar"/>
              </w:rPr>
              <w:t xml:space="preserve">≤0.6%  </w:t>
            </w:r>
          </w:p>
        </w:tc>
        <w:tc>
          <w:tcPr>
            <w:tcW w:w="981" w:type="dxa"/>
            <w:vMerge w:val="continue"/>
            <w:tcBorders>
              <w:tl2br w:val="nil"/>
              <w:tr2bl w:val="nil"/>
            </w:tcBorders>
            <w:shd w:val="clear" w:color="auto" w:fill="auto"/>
            <w:vAlign w:val="center"/>
          </w:tcPr>
          <w:p>
            <w:pPr>
              <w:spacing w:line="400" w:lineRule="exact"/>
              <w:rPr>
                <w:rFonts w:ascii="宋体" w:hAnsi="宋体" w:cs="宋体"/>
                <w:kern w:val="0"/>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25"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kern w:val="0"/>
                <w:sz w:val="18"/>
                <w:szCs w:val="18"/>
              </w:rPr>
            </w:pPr>
            <w:r>
              <w:rPr>
                <w:rFonts w:hint="eastAsia" w:ascii="宋体" w:hAnsi="宋体" w:cs="宋体"/>
                <w:sz w:val="18"/>
                <w:szCs w:val="18"/>
                <w:lang w:bidi="ar"/>
              </w:rPr>
              <w:t>11</w:t>
            </w:r>
          </w:p>
        </w:tc>
        <w:tc>
          <w:tcPr>
            <w:tcW w:w="3898" w:type="dxa"/>
            <w:tcBorders>
              <w:tl2br w:val="nil"/>
              <w:tr2bl w:val="nil"/>
            </w:tcBorders>
            <w:shd w:val="clear" w:color="auto" w:fill="auto"/>
            <w:vAlign w:val="center"/>
          </w:tcPr>
          <w:p>
            <w:pPr>
              <w:spacing w:line="400" w:lineRule="exact"/>
              <w:rPr>
                <w:rFonts w:ascii="宋体" w:hAnsi="宋体" w:cs="宋体"/>
                <w:kern w:val="0"/>
                <w:sz w:val="18"/>
                <w:szCs w:val="18"/>
              </w:rPr>
            </w:pPr>
            <w:r>
              <w:rPr>
                <w:rFonts w:hint="eastAsia" w:ascii="宋体" w:hAnsi="宋体" w:cs="宋体"/>
                <w:kern w:val="0"/>
                <w:sz w:val="18"/>
                <w:szCs w:val="18"/>
                <w:lang w:bidi="ar"/>
              </w:rPr>
              <w:t>梯度线性@50cm（提供datasheet证明）</w:t>
            </w:r>
          </w:p>
        </w:tc>
        <w:tc>
          <w:tcPr>
            <w:tcW w:w="3629" w:type="dxa"/>
            <w:tcBorders>
              <w:tl2br w:val="nil"/>
              <w:tr2bl w:val="nil"/>
            </w:tcBorders>
            <w:shd w:val="clear" w:color="auto" w:fill="auto"/>
            <w:vAlign w:val="center"/>
          </w:tcPr>
          <w:p>
            <w:pPr>
              <w:spacing w:line="400" w:lineRule="exact"/>
              <w:rPr>
                <w:rFonts w:ascii="宋体" w:hAnsi="宋体" w:cs="宋体"/>
                <w:kern w:val="0"/>
                <w:sz w:val="18"/>
                <w:szCs w:val="18"/>
                <w:lang w:bidi="ar"/>
              </w:rPr>
            </w:pPr>
            <w:r>
              <w:rPr>
                <w:rFonts w:hint="eastAsia" w:ascii="宋体" w:hAnsi="宋体" w:cs="宋体"/>
                <w:kern w:val="0"/>
                <w:sz w:val="18"/>
                <w:szCs w:val="18"/>
                <w:lang w:bidi="ar"/>
              </w:rPr>
              <w:t xml:space="preserve">≤2.5%  </w:t>
            </w:r>
          </w:p>
        </w:tc>
        <w:tc>
          <w:tcPr>
            <w:tcW w:w="981" w:type="dxa"/>
            <w:vMerge w:val="continue"/>
            <w:tcBorders>
              <w:tl2br w:val="nil"/>
              <w:tr2bl w:val="nil"/>
            </w:tcBorders>
            <w:shd w:val="clear" w:color="auto" w:fill="auto"/>
            <w:vAlign w:val="center"/>
          </w:tcPr>
          <w:p>
            <w:pPr>
              <w:spacing w:line="400" w:lineRule="exact"/>
              <w:rPr>
                <w:rFonts w:ascii="宋体" w:hAnsi="宋体" w:cs="宋体"/>
                <w:kern w:val="0"/>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4"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kern w:val="0"/>
                <w:sz w:val="18"/>
                <w:szCs w:val="18"/>
              </w:rPr>
            </w:pPr>
            <w:r>
              <w:rPr>
                <w:rFonts w:hint="eastAsia" w:ascii="宋体" w:hAnsi="宋体" w:cs="宋体"/>
                <w:b/>
                <w:bCs/>
                <w:sz w:val="18"/>
                <w:szCs w:val="18"/>
                <w:lang w:bidi="ar"/>
              </w:rPr>
              <w:t>四</w:t>
            </w:r>
          </w:p>
        </w:tc>
        <w:tc>
          <w:tcPr>
            <w:tcW w:w="3898" w:type="dxa"/>
            <w:tcBorders>
              <w:tl2br w:val="nil"/>
              <w:tr2bl w:val="nil"/>
            </w:tcBorders>
            <w:shd w:val="clear" w:color="auto" w:fill="auto"/>
            <w:vAlign w:val="center"/>
          </w:tcPr>
          <w:p>
            <w:pPr>
              <w:spacing w:line="400" w:lineRule="exact"/>
              <w:rPr>
                <w:rFonts w:ascii="宋体" w:hAnsi="宋体" w:cs="宋体"/>
                <w:b/>
                <w:bCs/>
                <w:sz w:val="18"/>
                <w:szCs w:val="18"/>
              </w:rPr>
            </w:pPr>
            <w:r>
              <w:rPr>
                <w:rFonts w:hint="eastAsia" w:ascii="宋体" w:hAnsi="宋体" w:cs="宋体"/>
                <w:b/>
                <w:bCs/>
                <w:color w:val="000000"/>
                <w:sz w:val="18"/>
                <w:szCs w:val="18"/>
                <w:lang w:bidi="ar"/>
              </w:rPr>
              <w:t>射频系统 </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4"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kern w:val="0"/>
                <w:sz w:val="18"/>
                <w:szCs w:val="18"/>
              </w:rPr>
            </w:pPr>
            <w:r>
              <w:rPr>
                <w:rFonts w:hint="eastAsia" w:ascii="宋体" w:hAnsi="宋体" w:cs="宋体"/>
                <w:sz w:val="18"/>
                <w:szCs w:val="18"/>
                <w:lang w:bidi="ar"/>
              </w:rPr>
              <w:t>1</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kern w:val="0"/>
                <w:sz w:val="18"/>
                <w:szCs w:val="18"/>
                <w:lang w:bidi="ar"/>
              </w:rPr>
              <w:t>多源射频发射技术</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4"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kern w:val="0"/>
                <w:sz w:val="18"/>
                <w:szCs w:val="18"/>
              </w:rPr>
            </w:pPr>
            <w:r>
              <w:rPr>
                <w:rFonts w:hint="eastAsia" w:ascii="宋体" w:hAnsi="宋体" w:cs="宋体"/>
                <w:sz w:val="18"/>
                <w:szCs w:val="18"/>
                <w:lang w:bidi="ar"/>
              </w:rPr>
              <w:t>*1.1</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kern w:val="0"/>
                <w:sz w:val="18"/>
                <w:szCs w:val="18"/>
                <w:lang w:bidi="ar"/>
              </w:rPr>
              <w:t>各厂家须提供各自的射频多源发射技术，西门子提供TrueShape（非TrueForm）技术、飞利浦提供Multi-transmit 4D技术、GE提供MultiDrive技术，其他厂家同样提供多源射频技术并注明技术名称。</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具备，提供原厂技术白皮书证明</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4"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kern w:val="0"/>
                <w:sz w:val="18"/>
                <w:szCs w:val="18"/>
              </w:rPr>
            </w:pPr>
            <w:r>
              <w:rPr>
                <w:rFonts w:hint="eastAsia" w:ascii="宋体" w:hAnsi="宋体" w:cs="宋体"/>
                <w:sz w:val="18"/>
                <w:szCs w:val="18"/>
                <w:lang w:bidi="ar"/>
              </w:rPr>
              <w:t>1.2</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kern w:val="0"/>
                <w:sz w:val="18"/>
                <w:szCs w:val="18"/>
                <w:lang w:bidi="ar"/>
              </w:rPr>
              <w:t>射频发射源</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4"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kern w:val="0"/>
                <w:sz w:val="18"/>
                <w:szCs w:val="18"/>
              </w:rPr>
            </w:pPr>
            <w:r>
              <w:rPr>
                <w:rFonts w:hint="eastAsia" w:ascii="宋体" w:hAnsi="宋体" w:cs="宋体"/>
                <w:sz w:val="18"/>
                <w:szCs w:val="18"/>
                <w:lang w:bidi="ar"/>
              </w:rPr>
              <w:t>1.3</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kern w:val="0"/>
                <w:sz w:val="18"/>
                <w:szCs w:val="18"/>
                <w:lang w:bidi="ar"/>
              </w:rPr>
              <w:t>独立射频源个数</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≥2，提供原厂技术白皮书证明</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4"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kern w:val="0"/>
                <w:sz w:val="18"/>
                <w:szCs w:val="18"/>
              </w:rPr>
            </w:pPr>
            <w:r>
              <w:rPr>
                <w:rFonts w:hint="eastAsia" w:ascii="宋体" w:hAnsi="宋体" w:cs="宋体"/>
                <w:sz w:val="18"/>
                <w:szCs w:val="18"/>
                <w:lang w:bidi="ar"/>
              </w:rPr>
              <w:t>1.4</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kern w:val="0"/>
                <w:sz w:val="18"/>
                <w:szCs w:val="18"/>
                <w:lang w:bidi="ar"/>
              </w:rPr>
              <w:t>独立射频放大器个数（非转换器）</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≥2，提供原厂技术白皮书证明</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4"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kern w:val="0"/>
                <w:sz w:val="18"/>
                <w:szCs w:val="18"/>
              </w:rPr>
            </w:pPr>
            <w:r>
              <w:rPr>
                <w:rFonts w:hint="eastAsia" w:ascii="宋体" w:hAnsi="宋体" w:cs="宋体"/>
                <w:color w:val="000000"/>
                <w:sz w:val="18"/>
                <w:szCs w:val="18"/>
                <w:lang w:bidi="ar"/>
              </w:rPr>
              <w:t>*2</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kern w:val="0"/>
                <w:sz w:val="18"/>
                <w:szCs w:val="18"/>
                <w:lang w:bidi="ar"/>
              </w:rPr>
              <w:t xml:space="preserve">射频功率 </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≥18KW*2</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29"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kern w:val="0"/>
                <w:sz w:val="18"/>
                <w:szCs w:val="18"/>
              </w:rPr>
            </w:pPr>
            <w:r>
              <w:rPr>
                <w:rFonts w:hint="eastAsia" w:ascii="宋体" w:hAnsi="宋体" w:cs="宋体"/>
                <w:sz w:val="18"/>
                <w:szCs w:val="18"/>
                <w:lang w:bidi="ar"/>
              </w:rPr>
              <w:t>3</w:t>
            </w:r>
          </w:p>
        </w:tc>
        <w:tc>
          <w:tcPr>
            <w:tcW w:w="3898" w:type="dxa"/>
            <w:tcBorders>
              <w:tl2br w:val="nil"/>
              <w:tr2bl w:val="nil"/>
            </w:tcBorders>
            <w:shd w:val="clear" w:color="auto" w:fill="auto"/>
            <w:vAlign w:val="center"/>
          </w:tcPr>
          <w:p>
            <w:pPr>
              <w:spacing w:line="400" w:lineRule="exact"/>
              <w:rPr>
                <w:rFonts w:ascii="宋体" w:hAnsi="宋体" w:cs="宋体"/>
                <w:kern w:val="0"/>
                <w:sz w:val="18"/>
                <w:szCs w:val="18"/>
              </w:rPr>
            </w:pPr>
            <w:r>
              <w:rPr>
                <w:rFonts w:hint="eastAsia" w:ascii="宋体" w:hAnsi="宋体" w:cs="宋体"/>
                <w:kern w:val="0"/>
                <w:sz w:val="18"/>
                <w:szCs w:val="18"/>
                <w:lang w:bidi="ar"/>
              </w:rPr>
              <w:t>发射带宽</w:t>
            </w:r>
          </w:p>
        </w:tc>
        <w:tc>
          <w:tcPr>
            <w:tcW w:w="3629" w:type="dxa"/>
            <w:tcBorders>
              <w:tl2br w:val="nil"/>
              <w:tr2bl w:val="nil"/>
            </w:tcBorders>
            <w:shd w:val="clear" w:color="auto" w:fill="auto"/>
            <w:vAlign w:val="center"/>
          </w:tcPr>
          <w:p>
            <w:pPr>
              <w:widowControl/>
              <w:spacing w:line="400" w:lineRule="exact"/>
              <w:jc w:val="left"/>
              <w:rPr>
                <w:rFonts w:ascii="宋体" w:hAnsi="宋体" w:cs="宋体"/>
                <w:sz w:val="18"/>
                <w:szCs w:val="18"/>
                <w:lang w:bidi="ar"/>
              </w:rPr>
            </w:pPr>
            <w:r>
              <w:rPr>
                <w:rFonts w:hint="eastAsia" w:ascii="宋体" w:hAnsi="宋体" w:cs="宋体"/>
                <w:sz w:val="18"/>
                <w:szCs w:val="18"/>
                <w:lang w:bidi="ar"/>
              </w:rPr>
              <w:t>≥</w:t>
            </w:r>
            <w:r>
              <w:rPr>
                <w:rFonts w:hint="eastAsia" w:ascii="宋体" w:hAnsi="宋体" w:cs="宋体"/>
                <w:kern w:val="0"/>
                <w:sz w:val="18"/>
                <w:szCs w:val="18"/>
                <w:lang w:bidi="ar"/>
              </w:rPr>
              <w:t xml:space="preserve">800kHz    </w:t>
            </w:r>
          </w:p>
        </w:tc>
        <w:tc>
          <w:tcPr>
            <w:tcW w:w="981" w:type="dxa"/>
            <w:vMerge w:val="continue"/>
            <w:tcBorders>
              <w:tl2br w:val="nil"/>
              <w:tr2bl w:val="nil"/>
            </w:tcBorders>
            <w:shd w:val="clear" w:color="auto" w:fill="auto"/>
            <w:vAlign w:val="center"/>
          </w:tcPr>
          <w:p>
            <w:pPr>
              <w:widowControl/>
              <w:spacing w:line="400" w:lineRule="exact"/>
              <w:jc w:val="lef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0"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kern w:val="0"/>
                <w:sz w:val="18"/>
                <w:szCs w:val="18"/>
              </w:rPr>
            </w:pPr>
            <w:r>
              <w:rPr>
                <w:rFonts w:hint="eastAsia" w:ascii="宋体" w:hAnsi="宋体" w:cs="宋体"/>
                <w:sz w:val="18"/>
                <w:szCs w:val="18"/>
                <w:lang w:bidi="ar"/>
              </w:rPr>
              <w:t>*4</w:t>
            </w:r>
          </w:p>
        </w:tc>
        <w:tc>
          <w:tcPr>
            <w:tcW w:w="3898" w:type="dxa"/>
            <w:tcBorders>
              <w:tl2br w:val="nil"/>
              <w:tr2bl w:val="nil"/>
            </w:tcBorders>
            <w:shd w:val="clear" w:color="auto" w:fill="auto"/>
            <w:vAlign w:val="center"/>
          </w:tcPr>
          <w:p>
            <w:pPr>
              <w:spacing w:line="400" w:lineRule="exact"/>
              <w:rPr>
                <w:rFonts w:ascii="宋体" w:hAnsi="宋体" w:cs="宋体"/>
                <w:kern w:val="0"/>
                <w:sz w:val="18"/>
                <w:szCs w:val="18"/>
              </w:rPr>
            </w:pPr>
            <w:r>
              <w:rPr>
                <w:rFonts w:hint="eastAsia" w:ascii="宋体" w:hAnsi="宋体" w:cs="宋体"/>
                <w:kern w:val="0"/>
                <w:sz w:val="18"/>
                <w:szCs w:val="18"/>
                <w:lang w:bidi="ar"/>
              </w:rPr>
              <w:t>相控阵射频同时并行接收独立通道数（非系统最大通道数或系统最大线圈单元数）</w:t>
            </w:r>
          </w:p>
        </w:tc>
        <w:tc>
          <w:tcPr>
            <w:tcW w:w="3629" w:type="dxa"/>
            <w:tcBorders>
              <w:tl2br w:val="nil"/>
              <w:tr2bl w:val="nil"/>
            </w:tcBorders>
            <w:shd w:val="clear" w:color="auto" w:fill="auto"/>
            <w:vAlign w:val="center"/>
          </w:tcPr>
          <w:p>
            <w:pPr>
              <w:spacing w:line="400" w:lineRule="exact"/>
              <w:rPr>
                <w:rFonts w:ascii="宋体" w:hAnsi="宋体" w:cs="宋体"/>
                <w:kern w:val="0"/>
                <w:sz w:val="18"/>
                <w:szCs w:val="18"/>
                <w:lang w:bidi="ar"/>
              </w:rPr>
            </w:pPr>
            <w:r>
              <w:rPr>
                <w:rFonts w:hint="eastAsia" w:ascii="宋体" w:hAnsi="宋体" w:cs="宋体"/>
                <w:kern w:val="0"/>
                <w:sz w:val="18"/>
                <w:szCs w:val="18"/>
                <w:lang w:bidi="ar"/>
              </w:rPr>
              <w:t>为了满足磁共振科研与临床高通道线圈拓展，要求各厂家提供的产品射频通道数必须 ≥ 128通道</w:t>
            </w:r>
          </w:p>
        </w:tc>
        <w:tc>
          <w:tcPr>
            <w:tcW w:w="981" w:type="dxa"/>
            <w:vMerge w:val="continue"/>
            <w:tcBorders>
              <w:tl2br w:val="nil"/>
              <w:tr2bl w:val="nil"/>
            </w:tcBorders>
            <w:shd w:val="clear" w:color="auto" w:fill="auto"/>
            <w:vAlign w:val="center"/>
          </w:tcPr>
          <w:p>
            <w:pPr>
              <w:spacing w:line="400" w:lineRule="exact"/>
              <w:rPr>
                <w:rFonts w:ascii="宋体" w:hAnsi="宋体" w:cs="宋体"/>
                <w:kern w:val="0"/>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9"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kern w:val="0"/>
                <w:sz w:val="18"/>
                <w:szCs w:val="18"/>
              </w:rPr>
            </w:pPr>
            <w:r>
              <w:rPr>
                <w:rFonts w:hint="eastAsia" w:ascii="宋体" w:hAnsi="宋体" w:cs="宋体"/>
                <w:sz w:val="18"/>
                <w:szCs w:val="18"/>
                <w:lang w:bidi="ar"/>
              </w:rPr>
              <w:t>5</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kern w:val="0"/>
                <w:sz w:val="18"/>
                <w:szCs w:val="18"/>
                <w:lang w:bidi="ar"/>
              </w:rPr>
              <w:t>数字影像链</w:t>
            </w:r>
          </w:p>
        </w:tc>
        <w:tc>
          <w:tcPr>
            <w:tcW w:w="3629" w:type="dxa"/>
            <w:tcBorders>
              <w:tl2br w:val="nil"/>
              <w:tr2bl w:val="nil"/>
            </w:tcBorders>
            <w:shd w:val="clear" w:color="auto" w:fill="auto"/>
            <w:vAlign w:val="center"/>
          </w:tcPr>
          <w:p>
            <w:pPr>
              <w:widowControl/>
              <w:spacing w:line="400" w:lineRule="exact"/>
              <w:jc w:val="lef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widowControl/>
              <w:spacing w:line="400" w:lineRule="exact"/>
              <w:jc w:val="lef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9"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kern w:val="0"/>
                <w:sz w:val="18"/>
                <w:szCs w:val="18"/>
              </w:rPr>
            </w:pPr>
            <w:r>
              <w:rPr>
                <w:rFonts w:hint="eastAsia" w:ascii="宋体" w:hAnsi="宋体" w:cs="宋体"/>
                <w:sz w:val="18"/>
                <w:szCs w:val="18"/>
                <w:lang w:bidi="ar"/>
              </w:rPr>
              <w:t>5.1</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kern w:val="0"/>
                <w:sz w:val="18"/>
                <w:szCs w:val="18"/>
                <w:lang w:bidi="ar"/>
              </w:rPr>
              <w:t>ADC模数转换器距离线圈单元距离</w:t>
            </w:r>
          </w:p>
        </w:tc>
        <w:tc>
          <w:tcPr>
            <w:tcW w:w="3629" w:type="dxa"/>
            <w:tcBorders>
              <w:tl2br w:val="nil"/>
              <w:tr2bl w:val="nil"/>
            </w:tcBorders>
            <w:shd w:val="clear" w:color="auto" w:fill="auto"/>
            <w:vAlign w:val="center"/>
          </w:tcPr>
          <w:p>
            <w:pPr>
              <w:widowControl/>
              <w:spacing w:line="400" w:lineRule="exact"/>
              <w:jc w:val="left"/>
              <w:rPr>
                <w:rFonts w:ascii="宋体" w:hAnsi="宋体" w:cs="宋体"/>
                <w:sz w:val="18"/>
                <w:szCs w:val="18"/>
                <w:lang w:bidi="ar"/>
              </w:rPr>
            </w:pPr>
            <w:r>
              <w:rPr>
                <w:rFonts w:hint="eastAsia" w:ascii="宋体" w:hAnsi="宋体" w:cs="宋体"/>
                <w:sz w:val="18"/>
                <w:szCs w:val="18"/>
                <w:lang w:bidi="ar"/>
              </w:rPr>
              <w:t>≤1cm</w:t>
            </w:r>
          </w:p>
        </w:tc>
        <w:tc>
          <w:tcPr>
            <w:tcW w:w="981" w:type="dxa"/>
            <w:vMerge w:val="continue"/>
            <w:tcBorders>
              <w:tl2br w:val="nil"/>
              <w:tr2bl w:val="nil"/>
            </w:tcBorders>
            <w:shd w:val="clear" w:color="auto" w:fill="auto"/>
            <w:vAlign w:val="center"/>
          </w:tcPr>
          <w:p>
            <w:pPr>
              <w:widowControl/>
              <w:spacing w:line="400" w:lineRule="exact"/>
              <w:jc w:val="lef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9"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kern w:val="0"/>
                <w:sz w:val="18"/>
                <w:szCs w:val="18"/>
              </w:rPr>
            </w:pPr>
            <w:r>
              <w:rPr>
                <w:rFonts w:hint="eastAsia" w:ascii="宋体" w:hAnsi="宋体" w:cs="宋体"/>
                <w:sz w:val="18"/>
                <w:szCs w:val="18"/>
                <w:lang w:bidi="ar"/>
              </w:rPr>
              <w:t>*5.2</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kern w:val="0"/>
                <w:sz w:val="18"/>
                <w:szCs w:val="18"/>
                <w:lang w:bidi="ar"/>
              </w:rPr>
              <w:t>线圈接口为数字接口</w:t>
            </w:r>
            <w:r>
              <w:rPr>
                <w:rFonts w:hint="eastAsia" w:ascii="宋体" w:hAnsi="宋体" w:cs="宋体"/>
                <w:sz w:val="18"/>
                <w:szCs w:val="18"/>
                <w:lang w:bidi="ar"/>
              </w:rPr>
              <w:t>（非模拟针插式接口）</w:t>
            </w:r>
          </w:p>
        </w:tc>
        <w:tc>
          <w:tcPr>
            <w:tcW w:w="3629" w:type="dxa"/>
            <w:tcBorders>
              <w:tl2br w:val="nil"/>
              <w:tr2bl w:val="nil"/>
            </w:tcBorders>
            <w:shd w:val="clear" w:color="auto" w:fill="auto"/>
            <w:vAlign w:val="center"/>
          </w:tcPr>
          <w:p>
            <w:pPr>
              <w:widowControl/>
              <w:spacing w:line="400" w:lineRule="exact"/>
              <w:jc w:val="left"/>
              <w:rPr>
                <w:rFonts w:ascii="宋体" w:hAnsi="宋体" w:cs="宋体"/>
                <w:sz w:val="18"/>
                <w:szCs w:val="18"/>
                <w:lang w:bidi="ar"/>
              </w:rPr>
            </w:pPr>
            <w:r>
              <w:rPr>
                <w:rFonts w:hint="eastAsia" w:ascii="宋体" w:hAnsi="宋体" w:cs="宋体"/>
                <w:sz w:val="18"/>
                <w:szCs w:val="18"/>
                <w:lang w:bidi="ar"/>
              </w:rPr>
              <w:t>具备，提供接口实物图片证明</w:t>
            </w:r>
          </w:p>
        </w:tc>
        <w:tc>
          <w:tcPr>
            <w:tcW w:w="981" w:type="dxa"/>
            <w:vMerge w:val="continue"/>
            <w:tcBorders>
              <w:tl2br w:val="nil"/>
              <w:tr2bl w:val="nil"/>
            </w:tcBorders>
            <w:shd w:val="clear" w:color="auto" w:fill="auto"/>
            <w:vAlign w:val="center"/>
          </w:tcPr>
          <w:p>
            <w:pPr>
              <w:widowControl/>
              <w:spacing w:line="400" w:lineRule="exact"/>
              <w:jc w:val="lef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9"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kern w:val="0"/>
                <w:sz w:val="18"/>
                <w:szCs w:val="18"/>
              </w:rPr>
            </w:pPr>
            <w:r>
              <w:rPr>
                <w:rFonts w:hint="eastAsia" w:ascii="宋体" w:hAnsi="宋体" w:cs="宋体"/>
                <w:sz w:val="18"/>
                <w:szCs w:val="18"/>
                <w:lang w:bidi="ar"/>
              </w:rPr>
              <w:t>5.3</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kern w:val="0"/>
                <w:sz w:val="18"/>
                <w:szCs w:val="18"/>
                <w:lang w:bidi="ar"/>
              </w:rPr>
              <w:t>信号传输从线圈至磁体</w:t>
            </w:r>
          </w:p>
        </w:tc>
        <w:tc>
          <w:tcPr>
            <w:tcW w:w="3629" w:type="dxa"/>
            <w:tcBorders>
              <w:tl2br w:val="nil"/>
              <w:tr2bl w:val="nil"/>
            </w:tcBorders>
            <w:shd w:val="clear" w:color="auto" w:fill="auto"/>
            <w:vAlign w:val="center"/>
          </w:tcPr>
          <w:p>
            <w:pPr>
              <w:widowControl/>
              <w:spacing w:line="400" w:lineRule="exact"/>
              <w:jc w:val="left"/>
              <w:rPr>
                <w:rFonts w:ascii="宋体" w:hAnsi="宋体" w:cs="宋体"/>
                <w:sz w:val="18"/>
                <w:szCs w:val="18"/>
                <w:lang w:bidi="ar"/>
              </w:rPr>
            </w:pPr>
            <w:r>
              <w:rPr>
                <w:rFonts w:hint="eastAsia" w:ascii="宋体" w:hAnsi="宋体" w:cs="宋体"/>
                <w:sz w:val="18"/>
                <w:szCs w:val="18"/>
                <w:lang w:bidi="ar"/>
              </w:rPr>
              <w:t>数字传输</w:t>
            </w:r>
          </w:p>
        </w:tc>
        <w:tc>
          <w:tcPr>
            <w:tcW w:w="981" w:type="dxa"/>
            <w:vMerge w:val="continue"/>
            <w:tcBorders>
              <w:tl2br w:val="nil"/>
              <w:tr2bl w:val="nil"/>
            </w:tcBorders>
            <w:shd w:val="clear" w:color="auto" w:fill="auto"/>
            <w:vAlign w:val="center"/>
          </w:tcPr>
          <w:p>
            <w:pPr>
              <w:widowControl/>
              <w:spacing w:line="400" w:lineRule="exact"/>
              <w:jc w:val="lef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9"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kern w:val="0"/>
                <w:sz w:val="18"/>
                <w:szCs w:val="18"/>
              </w:rPr>
            </w:pPr>
            <w:r>
              <w:rPr>
                <w:rFonts w:hint="eastAsia" w:ascii="宋体" w:hAnsi="宋体" w:cs="宋体"/>
                <w:sz w:val="18"/>
                <w:szCs w:val="18"/>
                <w:lang w:bidi="ar"/>
              </w:rPr>
              <w:t>5.4</w:t>
            </w:r>
          </w:p>
        </w:tc>
        <w:tc>
          <w:tcPr>
            <w:tcW w:w="3898" w:type="dxa"/>
            <w:tcBorders>
              <w:tl2br w:val="nil"/>
              <w:tr2bl w:val="nil"/>
            </w:tcBorders>
            <w:shd w:val="clear" w:color="auto" w:fill="auto"/>
            <w:vAlign w:val="center"/>
          </w:tcPr>
          <w:p>
            <w:pPr>
              <w:spacing w:line="400" w:lineRule="exact"/>
              <w:jc w:val="left"/>
              <w:rPr>
                <w:rFonts w:ascii="宋体" w:hAnsi="宋体" w:cs="宋体"/>
                <w:sz w:val="18"/>
                <w:szCs w:val="18"/>
              </w:rPr>
            </w:pPr>
            <w:r>
              <w:rPr>
                <w:rFonts w:hint="eastAsia" w:ascii="宋体" w:hAnsi="宋体" w:cs="宋体"/>
                <w:kern w:val="0"/>
                <w:sz w:val="18"/>
                <w:szCs w:val="18"/>
                <w:lang w:bidi="ar"/>
              </w:rPr>
              <w:t>信号传输从磁体至重建器</w:t>
            </w:r>
          </w:p>
        </w:tc>
        <w:tc>
          <w:tcPr>
            <w:tcW w:w="3629" w:type="dxa"/>
            <w:tcBorders>
              <w:tl2br w:val="nil"/>
              <w:tr2bl w:val="nil"/>
            </w:tcBorders>
            <w:shd w:val="clear" w:color="auto" w:fill="auto"/>
            <w:vAlign w:val="center"/>
          </w:tcPr>
          <w:p>
            <w:pPr>
              <w:widowControl/>
              <w:spacing w:line="400" w:lineRule="exact"/>
              <w:jc w:val="left"/>
              <w:rPr>
                <w:rFonts w:ascii="宋体" w:hAnsi="宋体" w:cs="宋体"/>
                <w:sz w:val="18"/>
                <w:szCs w:val="18"/>
                <w:lang w:bidi="ar"/>
              </w:rPr>
            </w:pPr>
            <w:r>
              <w:rPr>
                <w:rFonts w:hint="eastAsia" w:ascii="宋体" w:hAnsi="宋体" w:cs="宋体"/>
                <w:sz w:val="18"/>
                <w:szCs w:val="18"/>
                <w:lang w:bidi="ar"/>
              </w:rPr>
              <w:t>数字传输</w:t>
            </w:r>
          </w:p>
        </w:tc>
        <w:tc>
          <w:tcPr>
            <w:tcW w:w="981" w:type="dxa"/>
            <w:vMerge w:val="continue"/>
            <w:tcBorders>
              <w:tl2br w:val="nil"/>
              <w:tr2bl w:val="nil"/>
            </w:tcBorders>
            <w:shd w:val="clear" w:color="auto" w:fill="auto"/>
            <w:vAlign w:val="center"/>
          </w:tcPr>
          <w:p>
            <w:pPr>
              <w:widowControl/>
              <w:spacing w:line="400" w:lineRule="exact"/>
              <w:jc w:val="lef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9"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kern w:val="0"/>
                <w:sz w:val="18"/>
                <w:szCs w:val="18"/>
              </w:rPr>
            </w:pPr>
            <w:r>
              <w:rPr>
                <w:rFonts w:hint="eastAsia" w:ascii="宋体" w:hAnsi="宋体" w:cs="宋体"/>
                <w:sz w:val="18"/>
                <w:szCs w:val="18"/>
                <w:lang w:bidi="ar"/>
              </w:rPr>
              <w:t>6</w:t>
            </w:r>
          </w:p>
        </w:tc>
        <w:tc>
          <w:tcPr>
            <w:tcW w:w="3898" w:type="dxa"/>
            <w:tcBorders>
              <w:tl2br w:val="nil"/>
              <w:tr2bl w:val="nil"/>
            </w:tcBorders>
            <w:shd w:val="clear" w:color="auto" w:fill="auto"/>
            <w:vAlign w:val="center"/>
          </w:tcPr>
          <w:p>
            <w:pPr>
              <w:spacing w:line="400" w:lineRule="exact"/>
              <w:jc w:val="left"/>
              <w:rPr>
                <w:rFonts w:ascii="宋体" w:hAnsi="宋体" w:cs="宋体"/>
                <w:sz w:val="18"/>
                <w:szCs w:val="18"/>
              </w:rPr>
            </w:pPr>
            <w:r>
              <w:rPr>
                <w:rFonts w:hint="eastAsia" w:ascii="宋体" w:hAnsi="宋体" w:cs="宋体"/>
                <w:kern w:val="0"/>
                <w:sz w:val="18"/>
                <w:szCs w:val="18"/>
                <w:lang w:bidi="ar"/>
              </w:rPr>
              <w:t>最高接收动态范围</w:t>
            </w:r>
          </w:p>
        </w:tc>
        <w:tc>
          <w:tcPr>
            <w:tcW w:w="3629" w:type="dxa"/>
            <w:tcBorders>
              <w:tl2br w:val="nil"/>
              <w:tr2bl w:val="nil"/>
            </w:tcBorders>
            <w:shd w:val="clear" w:color="auto" w:fill="auto"/>
            <w:vAlign w:val="center"/>
          </w:tcPr>
          <w:p>
            <w:pPr>
              <w:widowControl/>
              <w:spacing w:line="400" w:lineRule="exact"/>
              <w:jc w:val="left"/>
              <w:rPr>
                <w:rFonts w:ascii="宋体" w:hAnsi="宋体" w:cs="宋体"/>
                <w:sz w:val="18"/>
                <w:szCs w:val="18"/>
                <w:lang w:bidi="ar"/>
              </w:rPr>
            </w:pPr>
            <w:r>
              <w:rPr>
                <w:rFonts w:hint="eastAsia" w:ascii="宋体" w:hAnsi="宋体" w:cs="宋体"/>
                <w:sz w:val="18"/>
                <w:szCs w:val="18"/>
                <w:lang w:bidi="ar"/>
              </w:rPr>
              <w:t>≥</w:t>
            </w:r>
            <w:r>
              <w:rPr>
                <w:rFonts w:hint="eastAsia" w:ascii="宋体" w:hAnsi="宋体" w:cs="宋体"/>
                <w:kern w:val="0"/>
                <w:sz w:val="18"/>
                <w:szCs w:val="18"/>
                <w:lang w:bidi="ar"/>
              </w:rPr>
              <w:t>180dB</w:t>
            </w:r>
          </w:p>
        </w:tc>
        <w:tc>
          <w:tcPr>
            <w:tcW w:w="981" w:type="dxa"/>
            <w:vMerge w:val="continue"/>
            <w:tcBorders>
              <w:tl2br w:val="nil"/>
              <w:tr2bl w:val="nil"/>
            </w:tcBorders>
            <w:shd w:val="clear" w:color="auto" w:fill="auto"/>
            <w:vAlign w:val="center"/>
          </w:tcPr>
          <w:p>
            <w:pPr>
              <w:widowControl/>
              <w:spacing w:line="400" w:lineRule="exact"/>
              <w:jc w:val="lef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9"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kern w:val="0"/>
                <w:sz w:val="18"/>
                <w:szCs w:val="18"/>
              </w:rPr>
            </w:pPr>
            <w:r>
              <w:rPr>
                <w:rFonts w:hint="eastAsia" w:ascii="宋体" w:hAnsi="宋体" w:cs="宋体"/>
                <w:sz w:val="18"/>
                <w:szCs w:val="18"/>
                <w:lang w:bidi="ar"/>
              </w:rPr>
              <w:t>7</w:t>
            </w:r>
          </w:p>
        </w:tc>
        <w:tc>
          <w:tcPr>
            <w:tcW w:w="3898" w:type="dxa"/>
            <w:tcBorders>
              <w:tl2br w:val="nil"/>
              <w:tr2bl w:val="nil"/>
            </w:tcBorders>
            <w:shd w:val="clear" w:color="auto" w:fill="auto"/>
            <w:vAlign w:val="center"/>
          </w:tcPr>
          <w:p>
            <w:pPr>
              <w:spacing w:line="400" w:lineRule="exact"/>
              <w:jc w:val="left"/>
              <w:rPr>
                <w:rFonts w:ascii="宋体" w:hAnsi="宋体" w:cs="宋体"/>
                <w:sz w:val="18"/>
                <w:szCs w:val="18"/>
              </w:rPr>
            </w:pPr>
            <w:r>
              <w:rPr>
                <w:rFonts w:hint="eastAsia" w:ascii="宋体" w:hAnsi="宋体" w:cs="宋体"/>
                <w:kern w:val="0"/>
                <w:sz w:val="18"/>
                <w:szCs w:val="18"/>
                <w:lang w:bidi="ar"/>
              </w:rPr>
              <w:t>射频同步精度</w:t>
            </w:r>
          </w:p>
        </w:tc>
        <w:tc>
          <w:tcPr>
            <w:tcW w:w="3629" w:type="dxa"/>
            <w:tcBorders>
              <w:tl2br w:val="nil"/>
              <w:tr2bl w:val="nil"/>
            </w:tcBorders>
            <w:shd w:val="clear" w:color="auto" w:fill="auto"/>
            <w:vAlign w:val="center"/>
          </w:tcPr>
          <w:p>
            <w:pPr>
              <w:widowControl/>
              <w:spacing w:line="400" w:lineRule="exact"/>
              <w:jc w:val="left"/>
              <w:rPr>
                <w:rFonts w:ascii="宋体" w:hAnsi="宋体" w:cs="宋体"/>
                <w:kern w:val="0"/>
                <w:sz w:val="18"/>
                <w:szCs w:val="18"/>
                <w:lang w:bidi="ar"/>
              </w:rPr>
            </w:pPr>
            <w:r>
              <w:rPr>
                <w:rFonts w:hint="eastAsia" w:ascii="宋体" w:hAnsi="宋体" w:cs="宋体"/>
                <w:kern w:val="0"/>
                <w:sz w:val="18"/>
                <w:szCs w:val="18"/>
                <w:lang w:bidi="ar"/>
              </w:rPr>
              <w:t xml:space="preserve">≤25ps  </w:t>
            </w:r>
          </w:p>
        </w:tc>
        <w:tc>
          <w:tcPr>
            <w:tcW w:w="981" w:type="dxa"/>
            <w:vMerge w:val="continue"/>
            <w:tcBorders>
              <w:tl2br w:val="nil"/>
              <w:tr2bl w:val="nil"/>
            </w:tcBorders>
            <w:shd w:val="clear" w:color="auto" w:fill="auto"/>
            <w:vAlign w:val="center"/>
          </w:tcPr>
          <w:p>
            <w:pPr>
              <w:widowControl/>
              <w:spacing w:line="400" w:lineRule="exact"/>
              <w:jc w:val="left"/>
              <w:rPr>
                <w:rFonts w:ascii="宋体" w:hAnsi="宋体" w:cs="宋体"/>
                <w:kern w:val="0"/>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9" w:hRule="atLeast"/>
          <w:tblHeader/>
          <w:jc w:val="center"/>
        </w:trPr>
        <w:tc>
          <w:tcPr>
            <w:tcW w:w="1229" w:type="dxa"/>
            <w:tcBorders>
              <w:tl2br w:val="nil"/>
              <w:tr2bl w:val="nil"/>
            </w:tcBorders>
            <w:shd w:val="clear" w:color="auto" w:fill="auto"/>
            <w:vAlign w:val="center"/>
          </w:tcPr>
          <w:p>
            <w:pPr>
              <w:widowControl/>
              <w:spacing w:line="400" w:lineRule="exact"/>
              <w:jc w:val="center"/>
              <w:rPr>
                <w:rFonts w:ascii="宋体" w:hAnsi="宋体" w:cs="宋体"/>
                <w:kern w:val="0"/>
                <w:sz w:val="18"/>
                <w:szCs w:val="18"/>
              </w:rPr>
            </w:pPr>
            <w:r>
              <w:rPr>
                <w:rFonts w:hint="eastAsia" w:ascii="宋体" w:hAnsi="宋体" w:cs="宋体"/>
                <w:kern w:val="0"/>
                <w:sz w:val="18"/>
                <w:szCs w:val="18"/>
                <w:lang w:bidi="ar"/>
              </w:rPr>
              <w:t>*8</w:t>
            </w:r>
          </w:p>
        </w:tc>
        <w:tc>
          <w:tcPr>
            <w:tcW w:w="3898" w:type="dxa"/>
            <w:tcBorders>
              <w:tl2br w:val="nil"/>
              <w:tr2bl w:val="nil"/>
            </w:tcBorders>
            <w:shd w:val="clear" w:color="auto" w:fill="auto"/>
            <w:vAlign w:val="center"/>
          </w:tcPr>
          <w:p>
            <w:pPr>
              <w:spacing w:line="400" w:lineRule="exact"/>
              <w:jc w:val="left"/>
              <w:rPr>
                <w:rFonts w:ascii="宋体" w:hAnsi="宋体" w:cs="宋体"/>
                <w:kern w:val="0"/>
                <w:sz w:val="18"/>
                <w:szCs w:val="18"/>
              </w:rPr>
            </w:pPr>
            <w:r>
              <w:rPr>
                <w:rFonts w:hint="eastAsia" w:ascii="宋体" w:hAnsi="宋体" w:cs="宋体"/>
                <w:kern w:val="0"/>
                <w:sz w:val="18"/>
                <w:szCs w:val="18"/>
                <w:lang w:bidi="ar"/>
              </w:rPr>
              <w:t>射频接收线圈，</w:t>
            </w:r>
            <w:r>
              <w:rPr>
                <w:rFonts w:hint="eastAsia" w:ascii="宋体" w:hAnsi="宋体" w:cs="宋体"/>
                <w:sz w:val="18"/>
                <w:szCs w:val="18"/>
                <w:lang w:bidi="ar"/>
              </w:rPr>
              <w:t>需达到如下要求：</w:t>
            </w:r>
          </w:p>
        </w:tc>
        <w:tc>
          <w:tcPr>
            <w:tcW w:w="3629" w:type="dxa"/>
            <w:tcBorders>
              <w:tl2br w:val="nil"/>
              <w:tr2bl w:val="nil"/>
            </w:tcBorders>
            <w:shd w:val="clear" w:color="auto" w:fill="auto"/>
            <w:vAlign w:val="center"/>
          </w:tcPr>
          <w:p>
            <w:pPr>
              <w:widowControl/>
              <w:spacing w:line="400" w:lineRule="exact"/>
              <w:jc w:val="lef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widowControl/>
              <w:spacing w:line="400" w:lineRule="exact"/>
              <w:jc w:val="lef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9" w:hRule="atLeast"/>
          <w:tblHeader/>
          <w:jc w:val="center"/>
        </w:trPr>
        <w:tc>
          <w:tcPr>
            <w:tcW w:w="1229" w:type="dxa"/>
            <w:tcBorders>
              <w:tl2br w:val="nil"/>
              <w:tr2bl w:val="nil"/>
            </w:tcBorders>
            <w:shd w:val="clear" w:color="auto" w:fill="auto"/>
            <w:vAlign w:val="center"/>
          </w:tcPr>
          <w:p>
            <w:pPr>
              <w:widowControl/>
              <w:spacing w:line="400" w:lineRule="exact"/>
              <w:jc w:val="center"/>
              <w:rPr>
                <w:rFonts w:ascii="宋体" w:hAnsi="宋体" w:cs="宋体"/>
                <w:kern w:val="0"/>
                <w:sz w:val="18"/>
                <w:szCs w:val="18"/>
              </w:rPr>
            </w:pPr>
            <w:r>
              <w:rPr>
                <w:rFonts w:hint="eastAsia" w:ascii="宋体" w:hAnsi="宋体" w:cs="宋体"/>
                <w:kern w:val="0"/>
                <w:sz w:val="18"/>
                <w:szCs w:val="18"/>
                <w:lang w:bidi="ar"/>
              </w:rPr>
              <w:t>8.1</w:t>
            </w:r>
          </w:p>
        </w:tc>
        <w:tc>
          <w:tcPr>
            <w:tcW w:w="3898" w:type="dxa"/>
            <w:tcBorders>
              <w:tl2br w:val="nil"/>
              <w:tr2bl w:val="nil"/>
            </w:tcBorders>
            <w:shd w:val="clear" w:color="auto" w:fill="auto"/>
            <w:vAlign w:val="center"/>
          </w:tcPr>
          <w:p>
            <w:pPr>
              <w:spacing w:line="400" w:lineRule="exact"/>
              <w:rPr>
                <w:rFonts w:ascii="宋体" w:hAnsi="宋体" w:cs="宋体"/>
                <w:kern w:val="0"/>
                <w:sz w:val="18"/>
                <w:szCs w:val="18"/>
              </w:rPr>
            </w:pPr>
            <w:r>
              <w:rPr>
                <w:rFonts w:hint="eastAsia" w:ascii="宋体" w:hAnsi="宋体" w:cs="宋体"/>
                <w:kern w:val="0"/>
                <w:sz w:val="18"/>
                <w:szCs w:val="18"/>
                <w:lang w:bidi="ar"/>
              </w:rPr>
              <w:t>一体化头颈联合线圈</w:t>
            </w:r>
          </w:p>
        </w:tc>
        <w:tc>
          <w:tcPr>
            <w:tcW w:w="3629" w:type="dxa"/>
            <w:tcBorders>
              <w:tl2br w:val="nil"/>
              <w:tr2bl w:val="nil"/>
            </w:tcBorders>
            <w:shd w:val="clear" w:color="auto" w:fill="auto"/>
            <w:vAlign w:val="center"/>
          </w:tcPr>
          <w:p>
            <w:pPr>
              <w:spacing w:line="400" w:lineRule="exact"/>
              <w:rPr>
                <w:rFonts w:ascii="宋体" w:hAnsi="宋体" w:cs="宋体"/>
                <w:kern w:val="0"/>
                <w:sz w:val="18"/>
                <w:szCs w:val="18"/>
                <w:lang w:bidi="ar"/>
              </w:rPr>
            </w:pPr>
            <w:r>
              <w:rPr>
                <w:rFonts w:hint="eastAsia" w:ascii="宋体" w:hAnsi="宋体" w:cs="宋体"/>
                <w:kern w:val="0"/>
                <w:sz w:val="18"/>
                <w:szCs w:val="18"/>
                <w:lang w:bidi="ar"/>
              </w:rPr>
              <w:t>≥ 20通道</w:t>
            </w:r>
          </w:p>
        </w:tc>
        <w:tc>
          <w:tcPr>
            <w:tcW w:w="981" w:type="dxa"/>
            <w:vMerge w:val="continue"/>
            <w:tcBorders>
              <w:tl2br w:val="nil"/>
              <w:tr2bl w:val="nil"/>
            </w:tcBorders>
            <w:shd w:val="clear" w:color="auto" w:fill="auto"/>
            <w:vAlign w:val="center"/>
          </w:tcPr>
          <w:p>
            <w:pPr>
              <w:spacing w:line="400" w:lineRule="exact"/>
              <w:rPr>
                <w:rFonts w:ascii="宋体" w:hAnsi="宋体" w:cs="宋体"/>
                <w:kern w:val="0"/>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9" w:hRule="atLeast"/>
          <w:tblHeader/>
          <w:jc w:val="center"/>
        </w:trPr>
        <w:tc>
          <w:tcPr>
            <w:tcW w:w="1229" w:type="dxa"/>
            <w:tcBorders>
              <w:tl2br w:val="nil"/>
              <w:tr2bl w:val="nil"/>
            </w:tcBorders>
            <w:shd w:val="clear" w:color="auto" w:fill="auto"/>
            <w:vAlign w:val="center"/>
          </w:tcPr>
          <w:p>
            <w:pPr>
              <w:widowControl/>
              <w:spacing w:line="400" w:lineRule="exact"/>
              <w:jc w:val="center"/>
              <w:rPr>
                <w:rFonts w:ascii="宋体" w:hAnsi="宋体" w:cs="宋体"/>
                <w:color w:val="000000"/>
                <w:sz w:val="18"/>
                <w:szCs w:val="18"/>
              </w:rPr>
            </w:pPr>
            <w:r>
              <w:rPr>
                <w:rFonts w:hint="eastAsia" w:ascii="宋体" w:hAnsi="宋体" w:cs="宋体"/>
                <w:kern w:val="0"/>
                <w:sz w:val="18"/>
                <w:szCs w:val="18"/>
                <w:lang w:bidi="ar"/>
              </w:rPr>
              <w:t>8.2</w:t>
            </w:r>
          </w:p>
        </w:tc>
        <w:tc>
          <w:tcPr>
            <w:tcW w:w="3898" w:type="dxa"/>
            <w:tcBorders>
              <w:tl2br w:val="nil"/>
              <w:tr2bl w:val="nil"/>
            </w:tcBorders>
            <w:shd w:val="clear" w:color="auto" w:fill="auto"/>
            <w:vAlign w:val="center"/>
          </w:tcPr>
          <w:p>
            <w:pPr>
              <w:spacing w:line="400" w:lineRule="exact"/>
              <w:rPr>
                <w:rFonts w:ascii="宋体" w:hAnsi="宋体" w:cs="宋体"/>
                <w:kern w:val="0"/>
                <w:sz w:val="18"/>
                <w:szCs w:val="18"/>
              </w:rPr>
            </w:pPr>
            <w:r>
              <w:rPr>
                <w:rFonts w:hint="eastAsia" w:ascii="宋体" w:hAnsi="宋体" w:cs="宋体"/>
                <w:kern w:val="0"/>
                <w:sz w:val="18"/>
                <w:szCs w:val="18"/>
                <w:lang w:bidi="ar"/>
              </w:rPr>
              <w:t>一体化心胸腹体部线圈</w:t>
            </w:r>
          </w:p>
        </w:tc>
        <w:tc>
          <w:tcPr>
            <w:tcW w:w="3629" w:type="dxa"/>
            <w:tcBorders>
              <w:tl2br w:val="nil"/>
              <w:tr2bl w:val="nil"/>
            </w:tcBorders>
            <w:shd w:val="clear" w:color="auto" w:fill="auto"/>
            <w:vAlign w:val="center"/>
          </w:tcPr>
          <w:p>
            <w:pPr>
              <w:spacing w:line="400" w:lineRule="exact"/>
              <w:jc w:val="left"/>
              <w:rPr>
                <w:rFonts w:ascii="宋体" w:hAnsi="宋体" w:cs="宋体"/>
                <w:kern w:val="0"/>
                <w:sz w:val="18"/>
                <w:szCs w:val="18"/>
                <w:lang w:bidi="ar"/>
              </w:rPr>
            </w:pPr>
            <w:r>
              <w:rPr>
                <w:rFonts w:hint="eastAsia" w:ascii="宋体" w:hAnsi="宋体" w:cs="宋体"/>
                <w:kern w:val="0"/>
                <w:sz w:val="18"/>
                <w:szCs w:val="18"/>
                <w:lang w:bidi="ar"/>
              </w:rPr>
              <w:t>≥30通道，单片头足方向覆盖范围≥60cm，如覆盖范围不足60cm,为满足胸腹盆腔覆盖，需提供2片以上。</w:t>
            </w:r>
          </w:p>
        </w:tc>
        <w:tc>
          <w:tcPr>
            <w:tcW w:w="981" w:type="dxa"/>
            <w:vMerge w:val="continue"/>
            <w:tcBorders>
              <w:tl2br w:val="nil"/>
              <w:tr2bl w:val="nil"/>
            </w:tcBorders>
            <w:shd w:val="clear" w:color="auto" w:fill="auto"/>
            <w:vAlign w:val="center"/>
          </w:tcPr>
          <w:p>
            <w:pPr>
              <w:spacing w:line="400" w:lineRule="exact"/>
              <w:jc w:val="left"/>
              <w:rPr>
                <w:rFonts w:ascii="宋体" w:hAnsi="宋体" w:cs="宋体"/>
                <w:kern w:val="0"/>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9" w:hRule="atLeast"/>
          <w:tblHeader/>
          <w:jc w:val="center"/>
        </w:trPr>
        <w:tc>
          <w:tcPr>
            <w:tcW w:w="1229" w:type="dxa"/>
            <w:tcBorders>
              <w:tl2br w:val="nil"/>
              <w:tr2bl w:val="nil"/>
            </w:tcBorders>
            <w:shd w:val="clear" w:color="auto" w:fill="auto"/>
            <w:vAlign w:val="center"/>
          </w:tcPr>
          <w:p>
            <w:pPr>
              <w:widowControl/>
              <w:spacing w:line="400" w:lineRule="exact"/>
              <w:jc w:val="center"/>
              <w:rPr>
                <w:rFonts w:ascii="宋体" w:hAnsi="宋体" w:cs="宋体"/>
                <w:kern w:val="0"/>
                <w:sz w:val="18"/>
                <w:szCs w:val="18"/>
              </w:rPr>
            </w:pPr>
            <w:r>
              <w:rPr>
                <w:rFonts w:hint="eastAsia" w:ascii="宋体" w:hAnsi="宋体" w:cs="宋体"/>
                <w:kern w:val="0"/>
                <w:sz w:val="18"/>
                <w:szCs w:val="18"/>
                <w:lang w:bidi="ar"/>
              </w:rPr>
              <w:t>8.3</w:t>
            </w:r>
          </w:p>
        </w:tc>
        <w:tc>
          <w:tcPr>
            <w:tcW w:w="3898" w:type="dxa"/>
            <w:tcBorders>
              <w:tl2br w:val="nil"/>
              <w:tr2bl w:val="nil"/>
            </w:tcBorders>
            <w:shd w:val="clear" w:color="auto" w:fill="auto"/>
            <w:vAlign w:val="center"/>
          </w:tcPr>
          <w:p>
            <w:pPr>
              <w:spacing w:line="400" w:lineRule="exact"/>
              <w:jc w:val="left"/>
              <w:rPr>
                <w:rFonts w:ascii="宋体" w:hAnsi="宋体" w:cs="宋体"/>
                <w:kern w:val="0"/>
                <w:sz w:val="18"/>
                <w:szCs w:val="18"/>
              </w:rPr>
            </w:pPr>
            <w:r>
              <w:rPr>
                <w:rFonts w:hint="eastAsia" w:ascii="宋体" w:hAnsi="宋体" w:cs="宋体"/>
                <w:kern w:val="0"/>
                <w:sz w:val="18"/>
                <w:szCs w:val="18"/>
                <w:lang w:bidi="ar"/>
              </w:rPr>
              <w:t>一体化全脊柱线圈</w:t>
            </w:r>
          </w:p>
        </w:tc>
        <w:tc>
          <w:tcPr>
            <w:tcW w:w="3629" w:type="dxa"/>
            <w:tcBorders>
              <w:tl2br w:val="nil"/>
              <w:tr2bl w:val="nil"/>
            </w:tcBorders>
            <w:shd w:val="clear" w:color="auto" w:fill="auto"/>
            <w:vAlign w:val="center"/>
          </w:tcPr>
          <w:p>
            <w:pPr>
              <w:widowControl/>
              <w:spacing w:line="400" w:lineRule="exact"/>
              <w:jc w:val="left"/>
              <w:rPr>
                <w:rFonts w:ascii="宋体" w:hAnsi="宋体" w:cs="宋体"/>
                <w:color w:val="000000"/>
                <w:sz w:val="18"/>
                <w:szCs w:val="18"/>
                <w:lang w:bidi="ar"/>
              </w:rPr>
            </w:pPr>
            <w:r>
              <w:rPr>
                <w:rFonts w:hint="eastAsia" w:ascii="宋体" w:hAnsi="宋体" w:cs="宋体"/>
                <w:color w:val="000000"/>
                <w:sz w:val="18"/>
                <w:szCs w:val="18"/>
                <w:lang w:bidi="ar"/>
              </w:rPr>
              <w:t>≥40通道</w:t>
            </w:r>
          </w:p>
        </w:tc>
        <w:tc>
          <w:tcPr>
            <w:tcW w:w="981" w:type="dxa"/>
            <w:vMerge w:val="continue"/>
            <w:tcBorders>
              <w:tl2br w:val="nil"/>
              <w:tr2bl w:val="nil"/>
            </w:tcBorders>
            <w:shd w:val="clear" w:color="auto" w:fill="auto"/>
            <w:vAlign w:val="center"/>
          </w:tcPr>
          <w:p>
            <w:pPr>
              <w:widowControl/>
              <w:spacing w:line="400" w:lineRule="exact"/>
              <w:jc w:val="left"/>
              <w:rPr>
                <w:rFonts w:ascii="宋体" w:hAnsi="宋体" w:cs="宋体"/>
                <w:color w:val="000000"/>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0"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kern w:val="0"/>
                <w:sz w:val="18"/>
                <w:szCs w:val="18"/>
              </w:rPr>
            </w:pPr>
            <w:r>
              <w:rPr>
                <w:rFonts w:hint="eastAsia" w:ascii="宋体" w:hAnsi="宋体" w:cs="宋体"/>
                <w:kern w:val="0"/>
                <w:sz w:val="18"/>
                <w:szCs w:val="18"/>
                <w:lang w:bidi="ar"/>
              </w:rPr>
              <w:t>8.4</w:t>
            </w:r>
          </w:p>
        </w:tc>
        <w:tc>
          <w:tcPr>
            <w:tcW w:w="3898" w:type="dxa"/>
            <w:tcBorders>
              <w:tl2br w:val="nil"/>
              <w:tr2bl w:val="nil"/>
            </w:tcBorders>
            <w:shd w:val="clear" w:color="auto" w:fill="auto"/>
            <w:vAlign w:val="center"/>
          </w:tcPr>
          <w:p>
            <w:pPr>
              <w:tabs>
                <w:tab w:val="left" w:pos="714"/>
              </w:tabs>
              <w:spacing w:line="400" w:lineRule="exact"/>
              <w:rPr>
                <w:rFonts w:ascii="宋体" w:hAnsi="宋体" w:cs="宋体"/>
                <w:kern w:val="0"/>
                <w:sz w:val="18"/>
                <w:szCs w:val="18"/>
              </w:rPr>
            </w:pPr>
            <w:r>
              <w:rPr>
                <w:rFonts w:hint="eastAsia" w:ascii="宋体" w:hAnsi="宋体" w:cs="宋体"/>
                <w:kern w:val="0"/>
                <w:sz w:val="18"/>
                <w:szCs w:val="18"/>
                <w:lang w:bidi="ar"/>
              </w:rPr>
              <w:t>多功能柔性线圈</w:t>
            </w:r>
          </w:p>
        </w:tc>
        <w:tc>
          <w:tcPr>
            <w:tcW w:w="3629" w:type="dxa"/>
            <w:tcBorders>
              <w:tl2br w:val="nil"/>
              <w:tr2bl w:val="nil"/>
            </w:tcBorders>
            <w:shd w:val="clear" w:color="auto" w:fill="auto"/>
            <w:vAlign w:val="center"/>
          </w:tcPr>
          <w:p>
            <w:pPr>
              <w:spacing w:line="400" w:lineRule="exact"/>
              <w:rPr>
                <w:rFonts w:ascii="宋体" w:hAnsi="宋体" w:cs="宋体"/>
                <w:kern w:val="0"/>
                <w:sz w:val="18"/>
                <w:szCs w:val="18"/>
                <w:lang w:bidi="ar"/>
              </w:rPr>
            </w:pPr>
            <w:r>
              <w:rPr>
                <w:rFonts w:hint="eastAsia" w:ascii="宋体" w:hAnsi="宋体" w:cs="宋体"/>
                <w:kern w:val="0"/>
                <w:sz w:val="18"/>
                <w:szCs w:val="18"/>
                <w:lang w:bidi="ar"/>
              </w:rPr>
              <w:t>≥6通道</w:t>
            </w:r>
          </w:p>
        </w:tc>
        <w:tc>
          <w:tcPr>
            <w:tcW w:w="981" w:type="dxa"/>
            <w:vMerge w:val="continue"/>
            <w:tcBorders>
              <w:tl2br w:val="nil"/>
              <w:tr2bl w:val="nil"/>
            </w:tcBorders>
            <w:shd w:val="clear" w:color="auto" w:fill="auto"/>
            <w:vAlign w:val="center"/>
          </w:tcPr>
          <w:p>
            <w:pPr>
              <w:spacing w:line="400" w:lineRule="exact"/>
              <w:rPr>
                <w:rFonts w:ascii="宋体" w:hAnsi="宋体" w:cs="宋体"/>
                <w:kern w:val="0"/>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0"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kern w:val="0"/>
                <w:sz w:val="18"/>
                <w:szCs w:val="18"/>
              </w:rPr>
            </w:pPr>
            <w:r>
              <w:rPr>
                <w:rFonts w:hint="eastAsia" w:ascii="宋体" w:hAnsi="宋体" w:cs="宋体"/>
                <w:kern w:val="0"/>
                <w:sz w:val="18"/>
                <w:szCs w:val="18"/>
                <w:lang w:bidi="ar"/>
              </w:rPr>
              <w:t>8.5</w:t>
            </w:r>
          </w:p>
        </w:tc>
        <w:tc>
          <w:tcPr>
            <w:tcW w:w="3898" w:type="dxa"/>
            <w:tcBorders>
              <w:tl2br w:val="nil"/>
              <w:tr2bl w:val="nil"/>
            </w:tcBorders>
            <w:shd w:val="clear" w:color="auto" w:fill="auto"/>
            <w:vAlign w:val="center"/>
          </w:tcPr>
          <w:p>
            <w:pPr>
              <w:tabs>
                <w:tab w:val="left" w:pos="714"/>
              </w:tabs>
              <w:spacing w:line="400" w:lineRule="exact"/>
              <w:rPr>
                <w:rFonts w:ascii="宋体" w:hAnsi="宋体" w:cs="宋体"/>
                <w:kern w:val="0"/>
                <w:sz w:val="18"/>
                <w:szCs w:val="18"/>
              </w:rPr>
            </w:pPr>
            <w:r>
              <w:rPr>
                <w:rFonts w:hint="eastAsia" w:ascii="宋体" w:hAnsi="宋体" w:cs="宋体"/>
                <w:kern w:val="0"/>
                <w:sz w:val="18"/>
                <w:szCs w:val="18"/>
                <w:lang w:bidi="ar"/>
              </w:rPr>
              <w:t>乳腺专用线圈</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≥7通道</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0"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kern w:val="0"/>
                <w:sz w:val="18"/>
                <w:szCs w:val="18"/>
              </w:rPr>
            </w:pPr>
            <w:r>
              <w:rPr>
                <w:rFonts w:hint="eastAsia" w:ascii="宋体" w:hAnsi="宋体" w:cs="宋体"/>
                <w:kern w:val="0"/>
                <w:sz w:val="18"/>
                <w:szCs w:val="18"/>
                <w:lang w:bidi="ar"/>
              </w:rPr>
              <w:t>8.6</w:t>
            </w:r>
          </w:p>
        </w:tc>
        <w:tc>
          <w:tcPr>
            <w:tcW w:w="3898" w:type="dxa"/>
            <w:tcBorders>
              <w:tl2br w:val="nil"/>
              <w:tr2bl w:val="nil"/>
            </w:tcBorders>
            <w:shd w:val="clear" w:color="auto" w:fill="auto"/>
            <w:vAlign w:val="center"/>
          </w:tcPr>
          <w:p>
            <w:pPr>
              <w:tabs>
                <w:tab w:val="left" w:pos="714"/>
              </w:tabs>
              <w:spacing w:line="400" w:lineRule="exact"/>
              <w:rPr>
                <w:rFonts w:ascii="宋体" w:hAnsi="宋体" w:cs="宋体"/>
                <w:sz w:val="18"/>
                <w:szCs w:val="18"/>
              </w:rPr>
            </w:pPr>
            <w:r>
              <w:rPr>
                <w:rFonts w:hint="eastAsia" w:ascii="宋体" w:hAnsi="宋体" w:cs="宋体"/>
                <w:kern w:val="0"/>
                <w:sz w:val="18"/>
                <w:szCs w:val="18"/>
                <w:lang w:bidi="ar"/>
              </w:rPr>
              <w:t>膝关节专用硬式线圈（不可用柔性线圈代替）</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≥16通道</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4"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b/>
                <w:bCs/>
                <w:sz w:val="18"/>
                <w:szCs w:val="18"/>
              </w:rPr>
            </w:pPr>
            <w:r>
              <w:rPr>
                <w:rFonts w:hint="eastAsia" w:ascii="宋体" w:hAnsi="宋体" w:cs="宋体"/>
                <w:b/>
                <w:bCs/>
                <w:sz w:val="18"/>
                <w:szCs w:val="18"/>
                <w:lang w:bidi="ar"/>
              </w:rPr>
              <w:t>五</w:t>
            </w:r>
          </w:p>
        </w:tc>
        <w:tc>
          <w:tcPr>
            <w:tcW w:w="3898" w:type="dxa"/>
            <w:tcBorders>
              <w:tl2br w:val="nil"/>
              <w:tr2bl w:val="nil"/>
            </w:tcBorders>
            <w:shd w:val="clear" w:color="auto" w:fill="auto"/>
            <w:vAlign w:val="center"/>
          </w:tcPr>
          <w:p>
            <w:pPr>
              <w:tabs>
                <w:tab w:val="left" w:pos="1620"/>
              </w:tabs>
              <w:spacing w:line="400" w:lineRule="exact"/>
              <w:rPr>
                <w:rFonts w:ascii="宋体" w:hAnsi="宋体" w:cs="宋体"/>
                <w:b/>
                <w:bCs/>
                <w:sz w:val="18"/>
                <w:szCs w:val="18"/>
              </w:rPr>
            </w:pPr>
            <w:r>
              <w:rPr>
                <w:rFonts w:hint="eastAsia" w:ascii="宋体" w:hAnsi="宋体" w:cs="宋体"/>
                <w:b/>
                <w:bCs/>
                <w:sz w:val="18"/>
                <w:szCs w:val="18"/>
                <w:lang w:bidi="ar"/>
              </w:rPr>
              <w:t>计算机</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4" w:hRule="atLeast"/>
          <w:tblHeader/>
          <w:jc w:val="center"/>
        </w:trPr>
        <w:tc>
          <w:tcPr>
            <w:tcW w:w="1229" w:type="dxa"/>
            <w:tcBorders>
              <w:tl2br w:val="nil"/>
              <w:tr2bl w:val="nil"/>
            </w:tcBorders>
            <w:shd w:val="clear" w:color="auto" w:fill="auto"/>
            <w:vAlign w:val="center"/>
          </w:tcPr>
          <w:p>
            <w:pPr>
              <w:numPr>
                <w:ilvl w:val="0"/>
                <w:numId w:val="7"/>
              </w:numPr>
              <w:tabs>
                <w:tab w:val="left" w:pos="1620"/>
              </w:tabs>
              <w:spacing w:line="400" w:lineRule="exact"/>
              <w:jc w:val="center"/>
              <w:rPr>
                <w:rFonts w:ascii="宋体" w:hAnsi="宋体" w:cs="宋体"/>
                <w:sz w:val="18"/>
                <w:szCs w:val="18"/>
              </w:rPr>
            </w:pP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CPU主频</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≥3.3GHz</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4" w:hRule="atLeast"/>
          <w:tblHeader/>
          <w:jc w:val="center"/>
        </w:trPr>
        <w:tc>
          <w:tcPr>
            <w:tcW w:w="1229" w:type="dxa"/>
            <w:tcBorders>
              <w:tl2br w:val="nil"/>
              <w:tr2bl w:val="nil"/>
            </w:tcBorders>
            <w:shd w:val="clear" w:color="auto" w:fill="auto"/>
            <w:vAlign w:val="center"/>
          </w:tcPr>
          <w:p>
            <w:pPr>
              <w:numPr>
                <w:ilvl w:val="0"/>
                <w:numId w:val="7"/>
              </w:numPr>
              <w:tabs>
                <w:tab w:val="left" w:pos="1620"/>
              </w:tabs>
              <w:spacing w:line="400" w:lineRule="exact"/>
              <w:jc w:val="center"/>
              <w:rPr>
                <w:rFonts w:ascii="宋体" w:hAnsi="宋体" w:cs="宋体"/>
                <w:sz w:val="18"/>
                <w:szCs w:val="18"/>
              </w:rPr>
            </w:pP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处理器位数</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64位</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4" w:hRule="atLeast"/>
          <w:tblHeader/>
          <w:jc w:val="center"/>
        </w:trPr>
        <w:tc>
          <w:tcPr>
            <w:tcW w:w="1229" w:type="dxa"/>
            <w:tcBorders>
              <w:tl2br w:val="nil"/>
              <w:tr2bl w:val="nil"/>
            </w:tcBorders>
            <w:shd w:val="clear" w:color="auto" w:fill="auto"/>
            <w:vAlign w:val="center"/>
          </w:tcPr>
          <w:p>
            <w:pPr>
              <w:numPr>
                <w:ilvl w:val="0"/>
                <w:numId w:val="7"/>
              </w:numPr>
              <w:tabs>
                <w:tab w:val="left" w:pos="1620"/>
              </w:tabs>
              <w:spacing w:line="400" w:lineRule="exact"/>
              <w:jc w:val="center"/>
              <w:rPr>
                <w:rFonts w:ascii="宋体" w:hAnsi="宋体" w:cs="宋体"/>
                <w:sz w:val="18"/>
                <w:szCs w:val="18"/>
              </w:rPr>
            </w:pP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 xml:space="preserve">主内存 </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≥32GB</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4" w:hRule="atLeast"/>
          <w:tblHeader/>
          <w:jc w:val="center"/>
        </w:trPr>
        <w:tc>
          <w:tcPr>
            <w:tcW w:w="1229" w:type="dxa"/>
            <w:tcBorders>
              <w:tl2br w:val="nil"/>
              <w:tr2bl w:val="nil"/>
            </w:tcBorders>
            <w:shd w:val="clear" w:color="auto" w:fill="auto"/>
            <w:vAlign w:val="center"/>
          </w:tcPr>
          <w:p>
            <w:pPr>
              <w:numPr>
                <w:ilvl w:val="0"/>
                <w:numId w:val="7"/>
              </w:numPr>
              <w:tabs>
                <w:tab w:val="left" w:pos="1620"/>
              </w:tabs>
              <w:spacing w:line="400" w:lineRule="exact"/>
              <w:jc w:val="center"/>
              <w:rPr>
                <w:rFonts w:ascii="宋体" w:hAnsi="宋体" w:cs="宋体"/>
                <w:sz w:val="18"/>
                <w:szCs w:val="18"/>
              </w:rPr>
            </w:pP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 xml:space="preserve">硬盘容量 </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≥700GB</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4" w:hRule="atLeast"/>
          <w:tblHeader/>
          <w:jc w:val="center"/>
        </w:trPr>
        <w:tc>
          <w:tcPr>
            <w:tcW w:w="1229" w:type="dxa"/>
            <w:tcBorders>
              <w:tl2br w:val="nil"/>
              <w:tr2bl w:val="nil"/>
            </w:tcBorders>
            <w:shd w:val="clear" w:color="auto" w:fill="auto"/>
            <w:vAlign w:val="center"/>
          </w:tcPr>
          <w:p>
            <w:pPr>
              <w:numPr>
                <w:ilvl w:val="0"/>
                <w:numId w:val="7"/>
              </w:numPr>
              <w:tabs>
                <w:tab w:val="left" w:pos="1620"/>
              </w:tabs>
              <w:spacing w:line="400" w:lineRule="exact"/>
              <w:jc w:val="center"/>
              <w:rPr>
                <w:rFonts w:ascii="宋体" w:hAnsi="宋体" w:cs="宋体"/>
                <w:sz w:val="18"/>
                <w:szCs w:val="18"/>
              </w:rPr>
            </w:pP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 xml:space="preserve">硬盘图像存储量 </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≥600,000幅(256×256)</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4" w:hRule="atLeast"/>
          <w:tblHeader/>
          <w:jc w:val="center"/>
        </w:trPr>
        <w:tc>
          <w:tcPr>
            <w:tcW w:w="1229" w:type="dxa"/>
            <w:tcBorders>
              <w:tl2br w:val="nil"/>
              <w:tr2bl w:val="nil"/>
            </w:tcBorders>
            <w:shd w:val="clear" w:color="auto" w:fill="auto"/>
            <w:vAlign w:val="center"/>
          </w:tcPr>
          <w:p>
            <w:pPr>
              <w:numPr>
                <w:ilvl w:val="0"/>
                <w:numId w:val="7"/>
              </w:numPr>
              <w:tabs>
                <w:tab w:val="left" w:pos="1620"/>
              </w:tabs>
              <w:spacing w:line="400" w:lineRule="exact"/>
              <w:jc w:val="center"/>
              <w:rPr>
                <w:rFonts w:ascii="宋体" w:hAnsi="宋体" w:cs="宋体"/>
                <w:sz w:val="18"/>
                <w:szCs w:val="18"/>
              </w:rPr>
            </w:pP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图像重建计算机内存</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 96GB</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4" w:hRule="atLeast"/>
          <w:tblHeader/>
          <w:jc w:val="center"/>
        </w:trPr>
        <w:tc>
          <w:tcPr>
            <w:tcW w:w="1229" w:type="dxa"/>
            <w:tcBorders>
              <w:tl2br w:val="nil"/>
              <w:tr2bl w:val="nil"/>
            </w:tcBorders>
            <w:shd w:val="clear" w:color="auto" w:fill="auto"/>
            <w:vAlign w:val="center"/>
          </w:tcPr>
          <w:p>
            <w:pPr>
              <w:numPr>
                <w:ilvl w:val="0"/>
                <w:numId w:val="7"/>
              </w:numPr>
              <w:tabs>
                <w:tab w:val="left" w:pos="1620"/>
              </w:tabs>
              <w:spacing w:line="400" w:lineRule="exact"/>
              <w:jc w:val="center"/>
              <w:rPr>
                <w:rFonts w:ascii="宋体" w:hAnsi="宋体" w:cs="宋体"/>
                <w:sz w:val="18"/>
                <w:szCs w:val="18"/>
              </w:rPr>
            </w:pP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图像重建速度（256 FFT，100% FOV）</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≥100,000幅/秒</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4" w:hRule="atLeast"/>
          <w:tblHeader/>
          <w:jc w:val="center"/>
        </w:trPr>
        <w:tc>
          <w:tcPr>
            <w:tcW w:w="1229" w:type="dxa"/>
            <w:tcBorders>
              <w:tl2br w:val="nil"/>
              <w:tr2bl w:val="nil"/>
            </w:tcBorders>
            <w:shd w:val="clear" w:color="auto" w:fill="auto"/>
            <w:vAlign w:val="center"/>
          </w:tcPr>
          <w:p>
            <w:pPr>
              <w:numPr>
                <w:ilvl w:val="0"/>
                <w:numId w:val="7"/>
              </w:numPr>
              <w:tabs>
                <w:tab w:val="left" w:pos="1620"/>
              </w:tabs>
              <w:spacing w:line="400" w:lineRule="exact"/>
              <w:jc w:val="center"/>
              <w:rPr>
                <w:rFonts w:ascii="宋体" w:hAnsi="宋体" w:cs="宋体"/>
                <w:sz w:val="18"/>
                <w:szCs w:val="18"/>
              </w:rPr>
            </w:pP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同步扫描重建功能</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扫描,采集,重建时可同时进行阅片,后处理,照相和存盘功能</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4" w:hRule="atLeast"/>
          <w:tblHeader/>
          <w:jc w:val="center"/>
        </w:trPr>
        <w:tc>
          <w:tcPr>
            <w:tcW w:w="1229" w:type="dxa"/>
            <w:tcBorders>
              <w:tl2br w:val="nil"/>
              <w:tr2bl w:val="nil"/>
            </w:tcBorders>
            <w:shd w:val="clear" w:color="auto" w:fill="auto"/>
            <w:vAlign w:val="center"/>
          </w:tcPr>
          <w:p>
            <w:pPr>
              <w:numPr>
                <w:ilvl w:val="0"/>
                <w:numId w:val="7"/>
              </w:numPr>
              <w:tabs>
                <w:tab w:val="left" w:pos="1620"/>
              </w:tabs>
              <w:spacing w:line="400" w:lineRule="exact"/>
              <w:jc w:val="center"/>
              <w:rPr>
                <w:rFonts w:ascii="宋体" w:hAnsi="宋体" w:cs="宋体"/>
                <w:b/>
                <w:bCs/>
                <w:sz w:val="18"/>
                <w:szCs w:val="18"/>
              </w:rPr>
            </w:pPr>
          </w:p>
        </w:tc>
        <w:tc>
          <w:tcPr>
            <w:tcW w:w="3898" w:type="dxa"/>
            <w:tcBorders>
              <w:tl2br w:val="nil"/>
              <w:tr2bl w:val="nil"/>
            </w:tcBorders>
            <w:shd w:val="clear" w:color="auto" w:fill="auto"/>
            <w:vAlign w:val="center"/>
          </w:tcPr>
          <w:p>
            <w:pPr>
              <w:tabs>
                <w:tab w:val="left" w:pos="1620"/>
              </w:tabs>
              <w:spacing w:line="400" w:lineRule="exact"/>
              <w:rPr>
                <w:rFonts w:ascii="宋体" w:hAnsi="宋体" w:cs="宋体"/>
                <w:sz w:val="18"/>
                <w:szCs w:val="18"/>
              </w:rPr>
            </w:pPr>
            <w:r>
              <w:rPr>
                <w:rFonts w:hint="eastAsia" w:ascii="宋体" w:hAnsi="宋体" w:cs="宋体"/>
                <w:sz w:val="18"/>
                <w:szCs w:val="18"/>
                <w:lang w:bidi="ar"/>
              </w:rPr>
              <w:t>显示器</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≥23寸彩色LCD率液晶显示器</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4" w:hRule="atLeast"/>
          <w:tblHeader/>
          <w:jc w:val="center"/>
        </w:trPr>
        <w:tc>
          <w:tcPr>
            <w:tcW w:w="1229" w:type="dxa"/>
            <w:tcBorders>
              <w:tl2br w:val="nil"/>
              <w:tr2bl w:val="nil"/>
            </w:tcBorders>
            <w:shd w:val="clear" w:color="auto" w:fill="auto"/>
            <w:vAlign w:val="center"/>
          </w:tcPr>
          <w:p>
            <w:pPr>
              <w:numPr>
                <w:ilvl w:val="0"/>
                <w:numId w:val="7"/>
              </w:numPr>
              <w:tabs>
                <w:tab w:val="left" w:pos="1620"/>
              </w:tabs>
              <w:spacing w:line="400" w:lineRule="exact"/>
              <w:jc w:val="center"/>
              <w:rPr>
                <w:rFonts w:ascii="宋体" w:hAnsi="宋体" w:cs="宋体"/>
                <w:sz w:val="18"/>
                <w:szCs w:val="18"/>
              </w:rPr>
            </w:pPr>
          </w:p>
        </w:tc>
        <w:tc>
          <w:tcPr>
            <w:tcW w:w="3898" w:type="dxa"/>
            <w:tcBorders>
              <w:tl2br w:val="nil"/>
              <w:tr2bl w:val="nil"/>
            </w:tcBorders>
            <w:shd w:val="clear" w:color="auto" w:fill="auto"/>
            <w:vAlign w:val="center"/>
          </w:tcPr>
          <w:p>
            <w:pPr>
              <w:tabs>
                <w:tab w:val="left" w:pos="1620"/>
              </w:tabs>
              <w:spacing w:line="400" w:lineRule="exact"/>
              <w:rPr>
                <w:rFonts w:ascii="宋体" w:hAnsi="宋体" w:cs="宋体"/>
                <w:sz w:val="18"/>
                <w:szCs w:val="18"/>
              </w:rPr>
            </w:pPr>
            <w:r>
              <w:rPr>
                <w:rFonts w:hint="eastAsia" w:ascii="宋体" w:hAnsi="宋体" w:cs="宋体"/>
                <w:sz w:val="18"/>
                <w:szCs w:val="18"/>
                <w:lang w:bidi="ar"/>
              </w:rPr>
              <w:t>显示图像分辨率</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 xml:space="preserve">≥1920 x 1200 </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4"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b/>
                <w:bCs/>
                <w:sz w:val="18"/>
                <w:szCs w:val="18"/>
              </w:rPr>
            </w:pPr>
            <w:r>
              <w:rPr>
                <w:rFonts w:hint="eastAsia" w:ascii="宋体" w:hAnsi="宋体" w:cs="宋体"/>
                <w:b/>
                <w:bCs/>
                <w:sz w:val="18"/>
                <w:szCs w:val="18"/>
                <w:lang w:bidi="ar"/>
              </w:rPr>
              <w:t>六</w:t>
            </w:r>
          </w:p>
        </w:tc>
        <w:tc>
          <w:tcPr>
            <w:tcW w:w="3898" w:type="dxa"/>
            <w:tcBorders>
              <w:tl2br w:val="nil"/>
              <w:tr2bl w:val="nil"/>
            </w:tcBorders>
            <w:shd w:val="clear" w:color="auto" w:fill="auto"/>
            <w:vAlign w:val="center"/>
          </w:tcPr>
          <w:p>
            <w:pPr>
              <w:tabs>
                <w:tab w:val="left" w:pos="1620"/>
              </w:tabs>
              <w:spacing w:line="400" w:lineRule="exact"/>
              <w:rPr>
                <w:rFonts w:ascii="宋体" w:hAnsi="宋体" w:cs="宋体"/>
                <w:b/>
                <w:bCs/>
                <w:sz w:val="18"/>
                <w:szCs w:val="18"/>
              </w:rPr>
            </w:pPr>
            <w:r>
              <w:rPr>
                <w:rFonts w:hint="eastAsia" w:ascii="宋体" w:hAnsi="宋体" w:cs="宋体"/>
                <w:b/>
                <w:bCs/>
                <w:sz w:val="18"/>
                <w:szCs w:val="18"/>
                <w:lang w:bidi="ar"/>
              </w:rPr>
              <w:t>后处理接口</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4"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sz w:val="18"/>
                <w:szCs w:val="18"/>
              </w:rPr>
            </w:pPr>
            <w:r>
              <w:rPr>
                <w:rFonts w:hint="eastAsia" w:ascii="宋体" w:hAnsi="宋体" w:cs="宋体"/>
                <w:sz w:val="18"/>
                <w:szCs w:val="18"/>
                <w:lang w:bidi="ar"/>
              </w:rPr>
              <w:t>1</w:t>
            </w:r>
          </w:p>
        </w:tc>
        <w:tc>
          <w:tcPr>
            <w:tcW w:w="3898" w:type="dxa"/>
            <w:tcBorders>
              <w:tl2br w:val="nil"/>
              <w:tr2bl w:val="nil"/>
            </w:tcBorders>
            <w:shd w:val="clear" w:color="auto" w:fill="auto"/>
            <w:vAlign w:val="center"/>
          </w:tcPr>
          <w:p>
            <w:pPr>
              <w:tabs>
                <w:tab w:val="left" w:pos="1620"/>
              </w:tabs>
              <w:spacing w:line="400" w:lineRule="exact"/>
              <w:rPr>
                <w:rFonts w:ascii="宋体" w:hAnsi="宋体" w:cs="宋体"/>
                <w:sz w:val="18"/>
                <w:szCs w:val="18"/>
              </w:rPr>
            </w:pPr>
            <w:r>
              <w:rPr>
                <w:rFonts w:hint="eastAsia" w:ascii="宋体" w:hAnsi="宋体" w:cs="宋体"/>
                <w:sz w:val="18"/>
                <w:szCs w:val="18"/>
                <w:lang w:bidi="ar"/>
              </w:rPr>
              <w:t>软件控制照相技术</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4"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sz w:val="18"/>
                <w:szCs w:val="18"/>
              </w:rPr>
            </w:pPr>
            <w:r>
              <w:rPr>
                <w:rFonts w:hint="eastAsia" w:ascii="宋体" w:hAnsi="宋体" w:cs="宋体"/>
                <w:sz w:val="18"/>
                <w:szCs w:val="18"/>
                <w:lang w:bidi="ar"/>
              </w:rPr>
              <w:t>2</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DICOM 3.0接口及与PACS网络连接（包括打印，传输，接收，查询,Worklist ,MPPS等功能）</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4"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sz w:val="18"/>
                <w:szCs w:val="18"/>
              </w:rPr>
            </w:pPr>
            <w:r>
              <w:rPr>
                <w:rFonts w:hint="eastAsia" w:ascii="宋体" w:hAnsi="宋体" w:cs="宋体"/>
                <w:sz w:val="18"/>
                <w:szCs w:val="18"/>
                <w:lang w:bidi="ar"/>
              </w:rPr>
              <w:t>3</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标准激光相机数字接口</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4"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sz w:val="18"/>
                <w:szCs w:val="18"/>
              </w:rPr>
            </w:pPr>
            <w:r>
              <w:rPr>
                <w:rFonts w:hint="eastAsia" w:ascii="宋体" w:hAnsi="宋体" w:cs="宋体"/>
                <w:b/>
                <w:bCs/>
                <w:sz w:val="18"/>
                <w:szCs w:val="18"/>
                <w:lang w:bidi="ar"/>
              </w:rPr>
              <w:t>七</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b/>
                <w:bCs/>
                <w:sz w:val="18"/>
                <w:szCs w:val="18"/>
                <w:lang w:bidi="ar"/>
              </w:rPr>
              <w:t>磁体智能显示屏系统</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4"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sz w:val="18"/>
                <w:szCs w:val="18"/>
              </w:rPr>
            </w:pPr>
            <w:r>
              <w:rPr>
                <w:rFonts w:hint="eastAsia" w:ascii="宋体" w:hAnsi="宋体" w:cs="宋体"/>
                <w:sz w:val="18"/>
                <w:szCs w:val="18"/>
                <w:lang w:bidi="ar"/>
              </w:rPr>
              <w:t>1</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显示屏个数</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≥2个</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4"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sz w:val="18"/>
                <w:szCs w:val="18"/>
              </w:rPr>
            </w:pPr>
            <w:r>
              <w:rPr>
                <w:rFonts w:hint="eastAsia" w:ascii="宋体" w:hAnsi="宋体" w:cs="宋体"/>
                <w:sz w:val="18"/>
                <w:szCs w:val="18"/>
                <w:lang w:bidi="ar"/>
              </w:rPr>
              <w:t>2</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显示屏位置</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分别位于磁体两侧</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4"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sz w:val="18"/>
                <w:szCs w:val="18"/>
              </w:rPr>
            </w:pPr>
            <w:r>
              <w:rPr>
                <w:rFonts w:hint="eastAsia" w:ascii="宋体" w:hAnsi="宋体" w:cs="宋体"/>
                <w:sz w:val="18"/>
                <w:szCs w:val="18"/>
                <w:lang w:bidi="ar"/>
              </w:rPr>
              <w:t>3</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显示屏尺寸</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≥12英寸</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4"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sz w:val="18"/>
                <w:szCs w:val="18"/>
              </w:rPr>
            </w:pPr>
            <w:r>
              <w:rPr>
                <w:rFonts w:hint="eastAsia" w:ascii="宋体" w:hAnsi="宋体" w:cs="宋体"/>
                <w:sz w:val="18"/>
                <w:szCs w:val="18"/>
                <w:lang w:bidi="ar"/>
              </w:rPr>
              <w:t>4</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CPU</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≥双核</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4"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sz w:val="18"/>
                <w:szCs w:val="18"/>
              </w:rPr>
            </w:pPr>
            <w:r>
              <w:rPr>
                <w:rFonts w:hint="eastAsia" w:ascii="宋体" w:hAnsi="宋体" w:cs="宋体"/>
                <w:sz w:val="18"/>
                <w:szCs w:val="18"/>
                <w:lang w:bidi="ar"/>
              </w:rPr>
              <w:t>5</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操作系统</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Win10</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4"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sz w:val="18"/>
                <w:szCs w:val="18"/>
              </w:rPr>
            </w:pPr>
            <w:r>
              <w:rPr>
                <w:rFonts w:hint="eastAsia" w:ascii="宋体" w:hAnsi="宋体" w:cs="宋体"/>
                <w:sz w:val="18"/>
                <w:szCs w:val="18"/>
                <w:lang w:bidi="ar"/>
              </w:rPr>
              <w:t>6</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多点触屏</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4"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sz w:val="18"/>
                <w:szCs w:val="18"/>
              </w:rPr>
            </w:pPr>
            <w:r>
              <w:rPr>
                <w:rFonts w:hint="eastAsia" w:ascii="宋体" w:hAnsi="宋体" w:cs="宋体"/>
                <w:sz w:val="18"/>
                <w:szCs w:val="18"/>
                <w:lang w:bidi="ar"/>
              </w:rPr>
              <w:t>7</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可显示姓名、生日、性别、患者ID、年龄、体重等信息</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4"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sz w:val="18"/>
                <w:szCs w:val="18"/>
              </w:rPr>
            </w:pPr>
            <w:r>
              <w:rPr>
                <w:rFonts w:hint="eastAsia" w:ascii="宋体" w:hAnsi="宋体" w:cs="宋体"/>
                <w:sz w:val="18"/>
                <w:szCs w:val="18"/>
                <w:lang w:bidi="ar"/>
              </w:rPr>
              <w:t>8</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可显示扫描时长、扫描序列个数、SAR值、屏气等信息</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4"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sz w:val="18"/>
                <w:szCs w:val="18"/>
              </w:rPr>
            </w:pPr>
            <w:r>
              <w:rPr>
                <w:rFonts w:hint="eastAsia" w:ascii="宋体" w:hAnsi="宋体" w:cs="宋体"/>
                <w:sz w:val="18"/>
                <w:szCs w:val="18"/>
                <w:lang w:bidi="ar"/>
              </w:rPr>
              <w:t>9</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可显示推荐使用的线圈</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4"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sz w:val="18"/>
                <w:szCs w:val="18"/>
              </w:rPr>
            </w:pPr>
            <w:r>
              <w:rPr>
                <w:rFonts w:hint="eastAsia" w:ascii="宋体" w:hAnsi="宋体" w:cs="宋体"/>
                <w:sz w:val="18"/>
                <w:szCs w:val="18"/>
                <w:lang w:bidi="ar"/>
              </w:rPr>
              <w:t>10</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可显示推荐的病人摆位信息</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4"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sz w:val="18"/>
                <w:szCs w:val="18"/>
              </w:rPr>
            </w:pPr>
            <w:r>
              <w:rPr>
                <w:rFonts w:hint="eastAsia" w:ascii="宋体" w:hAnsi="宋体" w:cs="宋体"/>
                <w:sz w:val="18"/>
                <w:szCs w:val="18"/>
                <w:lang w:bidi="ar"/>
              </w:rPr>
              <w:t>11</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对比剂注射管理</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可显示对比剂类型和计量</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4"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sz w:val="18"/>
                <w:szCs w:val="18"/>
              </w:rPr>
            </w:pPr>
            <w:r>
              <w:rPr>
                <w:rFonts w:hint="eastAsia" w:ascii="宋体" w:hAnsi="宋体" w:cs="宋体"/>
                <w:sz w:val="18"/>
                <w:szCs w:val="18"/>
                <w:lang w:bidi="ar"/>
              </w:rPr>
              <w:t>12</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VCG信号显示、呼吸信号显示</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4"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sz w:val="18"/>
                <w:szCs w:val="18"/>
              </w:rPr>
            </w:pPr>
            <w:r>
              <w:rPr>
                <w:rFonts w:hint="eastAsia" w:ascii="宋体" w:hAnsi="宋体" w:cs="宋体"/>
                <w:sz w:val="18"/>
                <w:szCs w:val="18"/>
                <w:lang w:bidi="ar"/>
              </w:rPr>
              <w:t>13</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可调试通风、照明、音量等</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4"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sz w:val="18"/>
                <w:szCs w:val="18"/>
              </w:rPr>
            </w:pPr>
            <w:r>
              <w:rPr>
                <w:rFonts w:hint="eastAsia" w:ascii="宋体" w:hAnsi="宋体" w:cs="宋体"/>
                <w:sz w:val="18"/>
                <w:szCs w:val="18"/>
                <w:lang w:bidi="ar"/>
              </w:rPr>
              <w:t>14</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扫描室门关闭时可自动开启扫描</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8"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b/>
                <w:bCs/>
                <w:color w:val="000000"/>
                <w:sz w:val="18"/>
                <w:szCs w:val="18"/>
              </w:rPr>
            </w:pPr>
            <w:r>
              <w:rPr>
                <w:rFonts w:hint="eastAsia" w:ascii="宋体" w:hAnsi="宋体" w:cs="宋体"/>
                <w:b/>
                <w:bCs/>
                <w:color w:val="000000"/>
                <w:sz w:val="18"/>
                <w:szCs w:val="18"/>
                <w:lang w:bidi="ar"/>
              </w:rPr>
              <w:t>八</w:t>
            </w:r>
          </w:p>
        </w:tc>
        <w:tc>
          <w:tcPr>
            <w:tcW w:w="3898" w:type="dxa"/>
            <w:tcBorders>
              <w:tl2br w:val="nil"/>
              <w:tr2bl w:val="nil"/>
            </w:tcBorders>
            <w:shd w:val="clear" w:color="auto" w:fill="auto"/>
            <w:vAlign w:val="center"/>
          </w:tcPr>
          <w:p>
            <w:pPr>
              <w:spacing w:line="400" w:lineRule="exact"/>
              <w:rPr>
                <w:rFonts w:ascii="宋体" w:hAnsi="宋体" w:cs="宋体"/>
                <w:b/>
                <w:bCs/>
                <w:color w:val="000000"/>
                <w:sz w:val="18"/>
                <w:szCs w:val="18"/>
              </w:rPr>
            </w:pPr>
            <w:r>
              <w:rPr>
                <w:rFonts w:hint="eastAsia" w:ascii="宋体" w:hAnsi="宋体" w:cs="宋体"/>
                <w:b/>
                <w:bCs/>
                <w:color w:val="000000"/>
                <w:sz w:val="18"/>
                <w:szCs w:val="18"/>
                <w:lang w:bidi="ar"/>
              </w:rPr>
              <w:t>扫描参数 </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8"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color w:val="000000"/>
                <w:sz w:val="18"/>
                <w:szCs w:val="18"/>
              </w:rPr>
            </w:pPr>
            <w:r>
              <w:rPr>
                <w:rFonts w:hint="eastAsia" w:ascii="宋体" w:hAnsi="宋体" w:cs="宋体"/>
                <w:color w:val="000000"/>
                <w:sz w:val="18"/>
                <w:szCs w:val="18"/>
                <w:lang w:bidi="ar"/>
              </w:rPr>
              <w:t>1</w:t>
            </w:r>
          </w:p>
        </w:tc>
        <w:tc>
          <w:tcPr>
            <w:tcW w:w="3898" w:type="dxa"/>
            <w:tcBorders>
              <w:tl2br w:val="nil"/>
              <w:tr2bl w:val="nil"/>
            </w:tcBorders>
            <w:shd w:val="clear" w:color="auto" w:fill="auto"/>
            <w:vAlign w:val="center"/>
          </w:tcPr>
          <w:p>
            <w:pPr>
              <w:spacing w:line="400" w:lineRule="exact"/>
              <w:rPr>
                <w:rFonts w:ascii="宋体" w:hAnsi="宋体" w:cs="宋体"/>
                <w:color w:val="000000"/>
                <w:sz w:val="18"/>
                <w:szCs w:val="18"/>
              </w:rPr>
            </w:pPr>
            <w:r>
              <w:rPr>
                <w:rFonts w:hint="eastAsia" w:ascii="宋体" w:hAnsi="宋体" w:cs="宋体"/>
                <w:color w:val="000000"/>
                <w:sz w:val="18"/>
                <w:szCs w:val="18"/>
                <w:lang w:bidi="ar"/>
              </w:rPr>
              <w:t>最小FOV</w:t>
            </w:r>
          </w:p>
        </w:tc>
        <w:tc>
          <w:tcPr>
            <w:tcW w:w="3629" w:type="dxa"/>
            <w:tcBorders>
              <w:tl2br w:val="nil"/>
              <w:tr2bl w:val="nil"/>
            </w:tcBorders>
            <w:shd w:val="clear" w:color="auto" w:fill="auto"/>
            <w:vAlign w:val="center"/>
          </w:tcPr>
          <w:p>
            <w:pPr>
              <w:spacing w:line="400" w:lineRule="exact"/>
              <w:rPr>
                <w:rFonts w:ascii="宋体" w:hAnsi="宋体" w:cs="宋体"/>
                <w:color w:val="000000"/>
                <w:sz w:val="18"/>
                <w:szCs w:val="18"/>
                <w:lang w:bidi="ar"/>
              </w:rPr>
            </w:pPr>
            <w:r>
              <w:rPr>
                <w:rFonts w:hint="eastAsia" w:ascii="宋体" w:hAnsi="宋体" w:cs="宋体"/>
                <w:color w:val="000000"/>
                <w:sz w:val="18"/>
                <w:szCs w:val="18"/>
                <w:lang w:bidi="ar"/>
              </w:rPr>
              <w:t>≤5mm</w:t>
            </w:r>
          </w:p>
        </w:tc>
        <w:tc>
          <w:tcPr>
            <w:tcW w:w="981" w:type="dxa"/>
            <w:vMerge w:val="continue"/>
            <w:tcBorders>
              <w:tl2br w:val="nil"/>
              <w:tr2bl w:val="nil"/>
            </w:tcBorders>
            <w:shd w:val="clear" w:color="auto" w:fill="auto"/>
            <w:vAlign w:val="center"/>
          </w:tcPr>
          <w:p>
            <w:pPr>
              <w:spacing w:line="400" w:lineRule="exact"/>
              <w:rPr>
                <w:rFonts w:ascii="宋体" w:hAnsi="宋体" w:cs="宋体"/>
                <w:color w:val="000000"/>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8"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color w:val="000000"/>
                <w:sz w:val="18"/>
                <w:szCs w:val="18"/>
              </w:rPr>
            </w:pPr>
            <w:r>
              <w:rPr>
                <w:rFonts w:hint="eastAsia" w:ascii="宋体" w:hAnsi="宋体" w:cs="宋体"/>
                <w:color w:val="000000"/>
                <w:sz w:val="18"/>
                <w:szCs w:val="18"/>
                <w:lang w:bidi="ar"/>
              </w:rPr>
              <w:t>*2</w:t>
            </w:r>
          </w:p>
        </w:tc>
        <w:tc>
          <w:tcPr>
            <w:tcW w:w="3898" w:type="dxa"/>
            <w:tcBorders>
              <w:tl2br w:val="nil"/>
              <w:tr2bl w:val="nil"/>
            </w:tcBorders>
            <w:shd w:val="clear" w:color="auto" w:fill="auto"/>
            <w:vAlign w:val="center"/>
          </w:tcPr>
          <w:p>
            <w:pPr>
              <w:spacing w:line="400" w:lineRule="exact"/>
              <w:rPr>
                <w:rFonts w:ascii="宋体" w:hAnsi="宋体" w:cs="宋体"/>
                <w:b/>
                <w:bCs/>
                <w:color w:val="000000"/>
                <w:sz w:val="18"/>
                <w:szCs w:val="18"/>
              </w:rPr>
            </w:pPr>
            <w:r>
              <w:rPr>
                <w:rFonts w:hint="eastAsia" w:ascii="宋体" w:hAnsi="宋体" w:cs="宋体"/>
                <w:color w:val="000000"/>
                <w:sz w:val="18"/>
                <w:szCs w:val="18"/>
                <w:lang w:bidi="ar"/>
              </w:rPr>
              <w:t>最大FOV</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w:t>
            </w:r>
            <w:r>
              <w:rPr>
                <w:rFonts w:hint="eastAsia" w:ascii="宋体" w:hAnsi="宋体" w:cs="宋体"/>
                <w:color w:val="000000"/>
                <w:sz w:val="18"/>
                <w:szCs w:val="18"/>
                <w:lang w:bidi="ar"/>
              </w:rPr>
              <w:t>550mm</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8"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color w:val="000000"/>
                <w:sz w:val="18"/>
                <w:szCs w:val="18"/>
              </w:rPr>
            </w:pPr>
            <w:r>
              <w:rPr>
                <w:rFonts w:hint="eastAsia" w:ascii="宋体" w:hAnsi="宋体" w:cs="宋体"/>
                <w:color w:val="000000"/>
                <w:sz w:val="18"/>
                <w:szCs w:val="18"/>
                <w:lang w:bidi="ar"/>
              </w:rPr>
              <w:t>3</w:t>
            </w:r>
          </w:p>
        </w:tc>
        <w:tc>
          <w:tcPr>
            <w:tcW w:w="3898" w:type="dxa"/>
            <w:tcBorders>
              <w:tl2br w:val="nil"/>
              <w:tr2bl w:val="nil"/>
            </w:tcBorders>
            <w:shd w:val="clear" w:color="auto" w:fill="auto"/>
            <w:vAlign w:val="center"/>
          </w:tcPr>
          <w:p>
            <w:pPr>
              <w:spacing w:line="400" w:lineRule="exact"/>
              <w:rPr>
                <w:rFonts w:ascii="宋体" w:hAnsi="宋体" w:cs="宋体"/>
                <w:b/>
                <w:bCs/>
                <w:color w:val="000000"/>
                <w:sz w:val="18"/>
                <w:szCs w:val="18"/>
              </w:rPr>
            </w:pPr>
            <w:r>
              <w:rPr>
                <w:rFonts w:hint="eastAsia" w:ascii="宋体" w:hAnsi="宋体" w:cs="宋体"/>
                <w:color w:val="000000"/>
                <w:sz w:val="18"/>
                <w:szCs w:val="18"/>
                <w:lang w:bidi="ar"/>
              </w:rPr>
              <w:t>最薄2D层厚</w:t>
            </w:r>
          </w:p>
        </w:tc>
        <w:tc>
          <w:tcPr>
            <w:tcW w:w="3629" w:type="dxa"/>
            <w:tcBorders>
              <w:tl2br w:val="nil"/>
              <w:tr2bl w:val="nil"/>
            </w:tcBorders>
            <w:shd w:val="clear" w:color="auto" w:fill="auto"/>
            <w:vAlign w:val="center"/>
          </w:tcPr>
          <w:p>
            <w:pPr>
              <w:spacing w:line="400" w:lineRule="exact"/>
              <w:rPr>
                <w:rFonts w:ascii="宋体" w:hAnsi="宋体" w:cs="宋体"/>
                <w:color w:val="000000"/>
                <w:sz w:val="18"/>
                <w:szCs w:val="18"/>
                <w:lang w:bidi="ar"/>
              </w:rPr>
            </w:pPr>
            <w:r>
              <w:rPr>
                <w:rFonts w:hint="eastAsia" w:ascii="宋体" w:hAnsi="宋体" w:cs="宋体"/>
                <w:color w:val="000000"/>
                <w:sz w:val="18"/>
                <w:szCs w:val="18"/>
                <w:lang w:bidi="ar"/>
              </w:rPr>
              <w:t>≤0.5mm</w:t>
            </w:r>
          </w:p>
        </w:tc>
        <w:tc>
          <w:tcPr>
            <w:tcW w:w="981" w:type="dxa"/>
            <w:vMerge w:val="continue"/>
            <w:tcBorders>
              <w:tl2br w:val="nil"/>
              <w:tr2bl w:val="nil"/>
            </w:tcBorders>
            <w:shd w:val="clear" w:color="auto" w:fill="auto"/>
            <w:vAlign w:val="center"/>
          </w:tcPr>
          <w:p>
            <w:pPr>
              <w:spacing w:line="400" w:lineRule="exact"/>
              <w:rPr>
                <w:rFonts w:ascii="宋体" w:hAnsi="宋体" w:cs="宋体"/>
                <w:color w:val="000000"/>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8"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color w:val="000000"/>
                <w:sz w:val="18"/>
                <w:szCs w:val="18"/>
              </w:rPr>
            </w:pPr>
            <w:r>
              <w:rPr>
                <w:rFonts w:hint="eastAsia" w:ascii="宋体" w:hAnsi="宋体" w:cs="宋体"/>
                <w:color w:val="000000"/>
                <w:sz w:val="18"/>
                <w:szCs w:val="18"/>
                <w:lang w:bidi="ar"/>
              </w:rPr>
              <w:t>4</w:t>
            </w:r>
          </w:p>
        </w:tc>
        <w:tc>
          <w:tcPr>
            <w:tcW w:w="3898" w:type="dxa"/>
            <w:tcBorders>
              <w:tl2br w:val="nil"/>
              <w:tr2bl w:val="nil"/>
            </w:tcBorders>
            <w:shd w:val="clear" w:color="auto" w:fill="auto"/>
            <w:vAlign w:val="center"/>
          </w:tcPr>
          <w:p>
            <w:pPr>
              <w:spacing w:line="400" w:lineRule="exact"/>
              <w:rPr>
                <w:rFonts w:ascii="宋体" w:hAnsi="宋体" w:cs="宋体"/>
                <w:b/>
                <w:bCs/>
                <w:color w:val="000000"/>
                <w:sz w:val="18"/>
                <w:szCs w:val="18"/>
              </w:rPr>
            </w:pPr>
            <w:r>
              <w:rPr>
                <w:rFonts w:hint="eastAsia" w:ascii="宋体" w:hAnsi="宋体" w:cs="宋体"/>
                <w:color w:val="000000"/>
                <w:sz w:val="18"/>
                <w:szCs w:val="18"/>
                <w:lang w:bidi="ar"/>
              </w:rPr>
              <w:t>最薄3D层厚</w:t>
            </w:r>
          </w:p>
        </w:tc>
        <w:tc>
          <w:tcPr>
            <w:tcW w:w="3629" w:type="dxa"/>
            <w:tcBorders>
              <w:tl2br w:val="nil"/>
              <w:tr2bl w:val="nil"/>
            </w:tcBorders>
            <w:shd w:val="clear" w:color="auto" w:fill="auto"/>
            <w:vAlign w:val="center"/>
          </w:tcPr>
          <w:p>
            <w:pPr>
              <w:spacing w:line="400" w:lineRule="exact"/>
              <w:rPr>
                <w:rFonts w:ascii="宋体" w:hAnsi="宋体" w:cs="宋体"/>
                <w:color w:val="000000"/>
                <w:sz w:val="18"/>
                <w:szCs w:val="18"/>
                <w:lang w:bidi="ar"/>
              </w:rPr>
            </w:pPr>
            <w:r>
              <w:rPr>
                <w:rFonts w:hint="eastAsia" w:ascii="宋体" w:hAnsi="宋体" w:cs="宋体"/>
                <w:color w:val="000000"/>
                <w:sz w:val="18"/>
                <w:szCs w:val="18"/>
                <w:lang w:bidi="ar"/>
              </w:rPr>
              <w:t>≤0.05mm</w:t>
            </w:r>
          </w:p>
        </w:tc>
        <w:tc>
          <w:tcPr>
            <w:tcW w:w="981" w:type="dxa"/>
            <w:vMerge w:val="continue"/>
            <w:tcBorders>
              <w:tl2br w:val="nil"/>
              <w:tr2bl w:val="nil"/>
            </w:tcBorders>
            <w:shd w:val="clear" w:color="auto" w:fill="auto"/>
            <w:vAlign w:val="center"/>
          </w:tcPr>
          <w:p>
            <w:pPr>
              <w:spacing w:line="400" w:lineRule="exact"/>
              <w:rPr>
                <w:rFonts w:ascii="宋体" w:hAnsi="宋体" w:cs="宋体"/>
                <w:color w:val="000000"/>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8"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color w:val="000000"/>
                <w:sz w:val="18"/>
                <w:szCs w:val="18"/>
              </w:rPr>
            </w:pPr>
            <w:r>
              <w:rPr>
                <w:rFonts w:hint="eastAsia" w:ascii="宋体" w:hAnsi="宋体" w:cs="宋体"/>
                <w:color w:val="000000"/>
                <w:sz w:val="18"/>
                <w:szCs w:val="18"/>
                <w:lang w:bidi="ar"/>
              </w:rPr>
              <w:t>5</w:t>
            </w:r>
          </w:p>
        </w:tc>
        <w:tc>
          <w:tcPr>
            <w:tcW w:w="3898" w:type="dxa"/>
            <w:tcBorders>
              <w:tl2br w:val="nil"/>
              <w:tr2bl w:val="nil"/>
            </w:tcBorders>
            <w:shd w:val="clear" w:color="auto" w:fill="auto"/>
            <w:vAlign w:val="center"/>
          </w:tcPr>
          <w:p>
            <w:pPr>
              <w:spacing w:line="400" w:lineRule="exact"/>
              <w:rPr>
                <w:rFonts w:ascii="宋体" w:hAnsi="宋体" w:cs="宋体"/>
                <w:color w:val="000000"/>
                <w:sz w:val="18"/>
                <w:szCs w:val="18"/>
              </w:rPr>
            </w:pPr>
            <w:r>
              <w:rPr>
                <w:rFonts w:hint="eastAsia" w:ascii="宋体" w:hAnsi="宋体" w:cs="宋体"/>
                <w:color w:val="000000"/>
                <w:sz w:val="18"/>
                <w:szCs w:val="18"/>
                <w:lang w:bidi="ar"/>
              </w:rPr>
              <w:t>最大采集矩阵</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≥1024×1024</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8"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color w:val="000000"/>
                <w:sz w:val="18"/>
                <w:szCs w:val="18"/>
                <w:lang w:bidi="ar"/>
              </w:rPr>
              <w:t>6</w:t>
            </w:r>
          </w:p>
        </w:tc>
        <w:tc>
          <w:tcPr>
            <w:tcW w:w="3898" w:type="dxa"/>
            <w:tcBorders>
              <w:tl2br w:val="nil"/>
              <w:tr2bl w:val="nil"/>
            </w:tcBorders>
            <w:shd w:val="clear" w:color="auto" w:fill="auto"/>
            <w:vAlign w:val="center"/>
          </w:tcPr>
          <w:p>
            <w:pPr>
              <w:spacing w:line="400" w:lineRule="exact"/>
              <w:jc w:val="left"/>
              <w:rPr>
                <w:rFonts w:ascii="宋体" w:hAnsi="宋体" w:cs="宋体"/>
                <w:sz w:val="18"/>
                <w:szCs w:val="18"/>
              </w:rPr>
            </w:pPr>
            <w:r>
              <w:rPr>
                <w:rFonts w:hint="eastAsia" w:ascii="宋体" w:hAnsi="宋体" w:cs="宋体"/>
                <w:sz w:val="18"/>
                <w:szCs w:val="18"/>
                <w:lang w:bidi="ar"/>
              </w:rPr>
              <w:t>最短EPI TR (ms) (256*256矩阵)</w:t>
            </w:r>
          </w:p>
        </w:tc>
        <w:tc>
          <w:tcPr>
            <w:tcW w:w="3629" w:type="dxa"/>
            <w:tcBorders>
              <w:tl2br w:val="nil"/>
              <w:tr2bl w:val="nil"/>
            </w:tcBorders>
            <w:shd w:val="clear" w:color="auto" w:fill="auto"/>
            <w:vAlign w:val="center"/>
          </w:tcPr>
          <w:p>
            <w:pPr>
              <w:spacing w:line="400" w:lineRule="exact"/>
              <w:rPr>
                <w:rFonts w:ascii="宋体" w:hAnsi="宋体" w:cs="宋体"/>
                <w:color w:val="000000"/>
                <w:sz w:val="18"/>
                <w:szCs w:val="18"/>
                <w:lang w:bidi="ar"/>
              </w:rPr>
            </w:pPr>
            <w:r>
              <w:rPr>
                <w:rFonts w:hint="eastAsia" w:ascii="宋体" w:hAnsi="宋体" w:cs="宋体"/>
                <w:color w:val="000000"/>
                <w:sz w:val="18"/>
                <w:szCs w:val="18"/>
                <w:lang w:bidi="ar"/>
              </w:rPr>
              <w:t>≤4.2</w:t>
            </w:r>
          </w:p>
        </w:tc>
        <w:tc>
          <w:tcPr>
            <w:tcW w:w="981" w:type="dxa"/>
            <w:vMerge w:val="continue"/>
            <w:tcBorders>
              <w:tl2br w:val="nil"/>
              <w:tr2bl w:val="nil"/>
            </w:tcBorders>
            <w:shd w:val="clear" w:color="auto" w:fill="auto"/>
            <w:vAlign w:val="center"/>
          </w:tcPr>
          <w:p>
            <w:pPr>
              <w:spacing w:line="400" w:lineRule="exact"/>
              <w:rPr>
                <w:rFonts w:ascii="宋体" w:hAnsi="宋体" w:cs="宋体"/>
                <w:color w:val="000000"/>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8"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color w:val="000000"/>
                <w:sz w:val="18"/>
                <w:szCs w:val="18"/>
                <w:lang w:bidi="ar"/>
              </w:rPr>
              <w:t>7</w:t>
            </w:r>
          </w:p>
        </w:tc>
        <w:tc>
          <w:tcPr>
            <w:tcW w:w="3898" w:type="dxa"/>
            <w:tcBorders>
              <w:tl2br w:val="nil"/>
              <w:tr2bl w:val="nil"/>
            </w:tcBorders>
            <w:shd w:val="clear" w:color="auto" w:fill="auto"/>
            <w:vAlign w:val="center"/>
          </w:tcPr>
          <w:p>
            <w:pPr>
              <w:spacing w:line="400" w:lineRule="exact"/>
              <w:jc w:val="left"/>
              <w:rPr>
                <w:rFonts w:ascii="宋体" w:hAnsi="宋体" w:cs="宋体"/>
                <w:sz w:val="18"/>
                <w:szCs w:val="18"/>
              </w:rPr>
            </w:pPr>
            <w:r>
              <w:rPr>
                <w:rFonts w:hint="eastAsia" w:ascii="宋体" w:hAnsi="宋体" w:cs="宋体"/>
                <w:sz w:val="18"/>
                <w:szCs w:val="18"/>
                <w:lang w:bidi="ar"/>
              </w:rPr>
              <w:t>最短EPI TE (ms) (256*256矩阵)</w:t>
            </w:r>
          </w:p>
        </w:tc>
        <w:tc>
          <w:tcPr>
            <w:tcW w:w="3629" w:type="dxa"/>
            <w:tcBorders>
              <w:tl2br w:val="nil"/>
              <w:tr2bl w:val="nil"/>
            </w:tcBorders>
            <w:shd w:val="clear" w:color="auto" w:fill="auto"/>
            <w:vAlign w:val="center"/>
          </w:tcPr>
          <w:p>
            <w:pPr>
              <w:spacing w:line="400" w:lineRule="exact"/>
              <w:rPr>
                <w:rFonts w:ascii="宋体" w:hAnsi="宋体" w:cs="宋体"/>
                <w:color w:val="000000"/>
                <w:sz w:val="18"/>
                <w:szCs w:val="18"/>
                <w:lang w:bidi="ar"/>
              </w:rPr>
            </w:pPr>
            <w:r>
              <w:rPr>
                <w:rFonts w:hint="eastAsia" w:ascii="宋体" w:hAnsi="宋体" w:cs="宋体"/>
                <w:color w:val="000000"/>
                <w:sz w:val="18"/>
                <w:szCs w:val="18"/>
                <w:lang w:bidi="ar"/>
              </w:rPr>
              <w:t>≤1.5</w:t>
            </w:r>
          </w:p>
        </w:tc>
        <w:tc>
          <w:tcPr>
            <w:tcW w:w="981" w:type="dxa"/>
            <w:vMerge w:val="continue"/>
            <w:tcBorders>
              <w:tl2br w:val="nil"/>
              <w:tr2bl w:val="nil"/>
            </w:tcBorders>
            <w:shd w:val="clear" w:color="auto" w:fill="auto"/>
            <w:vAlign w:val="center"/>
          </w:tcPr>
          <w:p>
            <w:pPr>
              <w:spacing w:line="400" w:lineRule="exact"/>
              <w:rPr>
                <w:rFonts w:ascii="宋体" w:hAnsi="宋体" w:cs="宋体"/>
                <w:color w:val="000000"/>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8"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color w:val="000000"/>
                <w:sz w:val="18"/>
                <w:szCs w:val="18"/>
                <w:lang w:bidi="ar"/>
              </w:rPr>
              <w:t>8</w:t>
            </w:r>
          </w:p>
        </w:tc>
        <w:tc>
          <w:tcPr>
            <w:tcW w:w="3898" w:type="dxa"/>
            <w:tcBorders>
              <w:tl2br w:val="nil"/>
              <w:tr2bl w:val="nil"/>
            </w:tcBorders>
            <w:shd w:val="clear" w:color="auto" w:fill="auto"/>
            <w:vAlign w:val="center"/>
          </w:tcPr>
          <w:p>
            <w:pPr>
              <w:spacing w:line="400" w:lineRule="exact"/>
              <w:jc w:val="left"/>
              <w:rPr>
                <w:rFonts w:ascii="宋体" w:hAnsi="宋体" w:cs="宋体"/>
                <w:sz w:val="18"/>
                <w:szCs w:val="18"/>
              </w:rPr>
            </w:pPr>
            <w:r>
              <w:rPr>
                <w:rFonts w:hint="eastAsia" w:ascii="宋体" w:hAnsi="宋体" w:cs="宋体"/>
                <w:sz w:val="18"/>
                <w:szCs w:val="18"/>
                <w:lang w:bidi="ar"/>
              </w:rPr>
              <w:t>最短EPI TR (ms) (128*128矩阵)</w:t>
            </w:r>
          </w:p>
        </w:tc>
        <w:tc>
          <w:tcPr>
            <w:tcW w:w="3629" w:type="dxa"/>
            <w:tcBorders>
              <w:tl2br w:val="nil"/>
              <w:tr2bl w:val="nil"/>
            </w:tcBorders>
            <w:shd w:val="clear" w:color="auto" w:fill="auto"/>
            <w:vAlign w:val="center"/>
          </w:tcPr>
          <w:p>
            <w:pPr>
              <w:spacing w:line="400" w:lineRule="exact"/>
              <w:rPr>
                <w:rFonts w:ascii="宋体" w:hAnsi="宋体" w:cs="宋体"/>
                <w:color w:val="000000"/>
                <w:sz w:val="18"/>
                <w:szCs w:val="18"/>
                <w:lang w:bidi="ar"/>
              </w:rPr>
            </w:pPr>
            <w:r>
              <w:rPr>
                <w:rFonts w:hint="eastAsia" w:ascii="宋体" w:hAnsi="宋体" w:cs="宋体"/>
                <w:color w:val="000000"/>
                <w:sz w:val="18"/>
                <w:szCs w:val="18"/>
                <w:lang w:bidi="ar"/>
              </w:rPr>
              <w:t>≤2.6</w:t>
            </w:r>
          </w:p>
        </w:tc>
        <w:tc>
          <w:tcPr>
            <w:tcW w:w="981" w:type="dxa"/>
            <w:vMerge w:val="continue"/>
            <w:tcBorders>
              <w:tl2br w:val="nil"/>
              <w:tr2bl w:val="nil"/>
            </w:tcBorders>
            <w:shd w:val="clear" w:color="auto" w:fill="auto"/>
            <w:vAlign w:val="center"/>
          </w:tcPr>
          <w:p>
            <w:pPr>
              <w:spacing w:line="400" w:lineRule="exact"/>
              <w:rPr>
                <w:rFonts w:ascii="宋体" w:hAnsi="宋体" w:cs="宋体"/>
                <w:color w:val="000000"/>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8"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color w:val="000000"/>
                <w:sz w:val="18"/>
                <w:szCs w:val="18"/>
                <w:lang w:bidi="ar"/>
              </w:rPr>
              <w:t>9</w:t>
            </w:r>
          </w:p>
        </w:tc>
        <w:tc>
          <w:tcPr>
            <w:tcW w:w="3898" w:type="dxa"/>
            <w:tcBorders>
              <w:tl2br w:val="nil"/>
              <w:tr2bl w:val="nil"/>
            </w:tcBorders>
            <w:shd w:val="clear" w:color="auto" w:fill="auto"/>
            <w:vAlign w:val="center"/>
          </w:tcPr>
          <w:p>
            <w:pPr>
              <w:spacing w:line="400" w:lineRule="exact"/>
              <w:jc w:val="left"/>
              <w:rPr>
                <w:rFonts w:ascii="宋体" w:hAnsi="宋体" w:cs="宋体"/>
                <w:sz w:val="18"/>
                <w:szCs w:val="18"/>
              </w:rPr>
            </w:pPr>
            <w:r>
              <w:rPr>
                <w:rFonts w:hint="eastAsia" w:ascii="宋体" w:hAnsi="宋体" w:cs="宋体"/>
                <w:sz w:val="18"/>
                <w:szCs w:val="18"/>
                <w:lang w:bidi="ar"/>
              </w:rPr>
              <w:t>最短EPI TE (ms) (128*128矩阵)</w:t>
            </w:r>
          </w:p>
        </w:tc>
        <w:tc>
          <w:tcPr>
            <w:tcW w:w="3629" w:type="dxa"/>
            <w:tcBorders>
              <w:tl2br w:val="nil"/>
              <w:tr2bl w:val="nil"/>
            </w:tcBorders>
            <w:shd w:val="clear" w:color="auto" w:fill="auto"/>
            <w:vAlign w:val="center"/>
          </w:tcPr>
          <w:p>
            <w:pPr>
              <w:spacing w:line="400" w:lineRule="exact"/>
              <w:rPr>
                <w:rFonts w:ascii="宋体" w:hAnsi="宋体" w:cs="宋体"/>
                <w:color w:val="000000"/>
                <w:sz w:val="18"/>
                <w:szCs w:val="18"/>
                <w:lang w:bidi="ar"/>
              </w:rPr>
            </w:pPr>
            <w:r>
              <w:rPr>
                <w:rFonts w:hint="eastAsia" w:ascii="宋体" w:hAnsi="宋体" w:cs="宋体"/>
                <w:color w:val="000000"/>
                <w:sz w:val="18"/>
                <w:szCs w:val="18"/>
                <w:lang w:bidi="ar"/>
              </w:rPr>
              <w:t>≤1.1</w:t>
            </w:r>
          </w:p>
        </w:tc>
        <w:tc>
          <w:tcPr>
            <w:tcW w:w="981" w:type="dxa"/>
            <w:vMerge w:val="continue"/>
            <w:tcBorders>
              <w:tl2br w:val="nil"/>
              <w:tr2bl w:val="nil"/>
            </w:tcBorders>
            <w:shd w:val="clear" w:color="auto" w:fill="auto"/>
            <w:vAlign w:val="center"/>
          </w:tcPr>
          <w:p>
            <w:pPr>
              <w:spacing w:line="400" w:lineRule="exact"/>
              <w:rPr>
                <w:rFonts w:ascii="宋体" w:hAnsi="宋体" w:cs="宋体"/>
                <w:color w:val="000000"/>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8"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color w:val="000000"/>
                <w:sz w:val="18"/>
                <w:szCs w:val="18"/>
                <w:lang w:bidi="ar"/>
              </w:rPr>
              <w:t>10</w:t>
            </w:r>
          </w:p>
        </w:tc>
        <w:tc>
          <w:tcPr>
            <w:tcW w:w="3898" w:type="dxa"/>
            <w:tcBorders>
              <w:tl2br w:val="nil"/>
              <w:tr2bl w:val="nil"/>
            </w:tcBorders>
            <w:shd w:val="clear" w:color="auto" w:fill="auto"/>
            <w:vAlign w:val="center"/>
          </w:tcPr>
          <w:p>
            <w:pPr>
              <w:spacing w:line="400" w:lineRule="exact"/>
              <w:jc w:val="left"/>
              <w:rPr>
                <w:rFonts w:ascii="宋体" w:hAnsi="宋体" w:cs="宋体"/>
                <w:sz w:val="18"/>
                <w:szCs w:val="18"/>
              </w:rPr>
            </w:pPr>
            <w:r>
              <w:rPr>
                <w:rFonts w:hint="eastAsia" w:ascii="宋体" w:hAnsi="宋体" w:cs="宋体"/>
                <w:sz w:val="18"/>
                <w:szCs w:val="18"/>
                <w:lang w:bidi="ar"/>
              </w:rPr>
              <w:t>最短EPI TR (ms) (64*64矩阵)</w:t>
            </w:r>
          </w:p>
        </w:tc>
        <w:tc>
          <w:tcPr>
            <w:tcW w:w="3629" w:type="dxa"/>
            <w:tcBorders>
              <w:tl2br w:val="nil"/>
              <w:tr2bl w:val="nil"/>
            </w:tcBorders>
            <w:shd w:val="clear" w:color="auto" w:fill="auto"/>
            <w:vAlign w:val="center"/>
          </w:tcPr>
          <w:p>
            <w:pPr>
              <w:spacing w:line="400" w:lineRule="exact"/>
              <w:rPr>
                <w:rFonts w:ascii="宋体" w:hAnsi="宋体" w:cs="宋体"/>
                <w:color w:val="000000"/>
                <w:sz w:val="18"/>
                <w:szCs w:val="18"/>
                <w:lang w:bidi="ar"/>
              </w:rPr>
            </w:pPr>
            <w:r>
              <w:rPr>
                <w:rFonts w:hint="eastAsia" w:ascii="宋体" w:hAnsi="宋体" w:cs="宋体"/>
                <w:color w:val="000000"/>
                <w:sz w:val="18"/>
                <w:szCs w:val="18"/>
                <w:lang w:bidi="ar"/>
              </w:rPr>
              <w:t>≤2.0</w:t>
            </w:r>
          </w:p>
        </w:tc>
        <w:tc>
          <w:tcPr>
            <w:tcW w:w="981" w:type="dxa"/>
            <w:vMerge w:val="continue"/>
            <w:tcBorders>
              <w:tl2br w:val="nil"/>
              <w:tr2bl w:val="nil"/>
            </w:tcBorders>
            <w:shd w:val="clear" w:color="auto" w:fill="auto"/>
            <w:vAlign w:val="center"/>
          </w:tcPr>
          <w:p>
            <w:pPr>
              <w:spacing w:line="400" w:lineRule="exact"/>
              <w:rPr>
                <w:rFonts w:ascii="宋体" w:hAnsi="宋体" w:cs="宋体"/>
                <w:color w:val="000000"/>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8"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color w:val="000000"/>
                <w:sz w:val="18"/>
                <w:szCs w:val="18"/>
                <w:lang w:bidi="ar"/>
              </w:rPr>
              <w:t>11</w:t>
            </w:r>
          </w:p>
        </w:tc>
        <w:tc>
          <w:tcPr>
            <w:tcW w:w="3898" w:type="dxa"/>
            <w:tcBorders>
              <w:tl2br w:val="nil"/>
              <w:tr2bl w:val="nil"/>
            </w:tcBorders>
            <w:shd w:val="clear" w:color="auto" w:fill="auto"/>
            <w:vAlign w:val="center"/>
          </w:tcPr>
          <w:p>
            <w:pPr>
              <w:spacing w:line="400" w:lineRule="exact"/>
              <w:jc w:val="left"/>
              <w:rPr>
                <w:rFonts w:ascii="宋体" w:hAnsi="宋体" w:cs="宋体"/>
                <w:sz w:val="18"/>
                <w:szCs w:val="18"/>
              </w:rPr>
            </w:pPr>
            <w:r>
              <w:rPr>
                <w:rFonts w:hint="eastAsia" w:ascii="宋体" w:hAnsi="宋体" w:cs="宋体"/>
                <w:sz w:val="18"/>
                <w:szCs w:val="18"/>
                <w:lang w:bidi="ar"/>
              </w:rPr>
              <w:t>最短EPI TE (ms) (64*64矩阵)</w:t>
            </w:r>
          </w:p>
        </w:tc>
        <w:tc>
          <w:tcPr>
            <w:tcW w:w="3629" w:type="dxa"/>
            <w:tcBorders>
              <w:tl2br w:val="nil"/>
              <w:tr2bl w:val="nil"/>
            </w:tcBorders>
            <w:shd w:val="clear" w:color="auto" w:fill="auto"/>
            <w:vAlign w:val="center"/>
          </w:tcPr>
          <w:p>
            <w:pPr>
              <w:spacing w:line="400" w:lineRule="exact"/>
              <w:rPr>
                <w:rFonts w:ascii="宋体" w:hAnsi="宋体" w:cs="宋体"/>
                <w:color w:val="000000"/>
                <w:sz w:val="18"/>
                <w:szCs w:val="18"/>
                <w:lang w:bidi="ar"/>
              </w:rPr>
            </w:pPr>
            <w:r>
              <w:rPr>
                <w:rFonts w:hint="eastAsia" w:ascii="宋体" w:hAnsi="宋体" w:cs="宋体"/>
                <w:color w:val="000000"/>
                <w:sz w:val="18"/>
                <w:szCs w:val="18"/>
                <w:lang w:bidi="ar"/>
              </w:rPr>
              <w:t>≤0.9</w:t>
            </w:r>
          </w:p>
        </w:tc>
        <w:tc>
          <w:tcPr>
            <w:tcW w:w="981" w:type="dxa"/>
            <w:vMerge w:val="continue"/>
            <w:tcBorders>
              <w:tl2br w:val="nil"/>
              <w:tr2bl w:val="nil"/>
            </w:tcBorders>
            <w:shd w:val="clear" w:color="auto" w:fill="auto"/>
            <w:vAlign w:val="center"/>
          </w:tcPr>
          <w:p>
            <w:pPr>
              <w:spacing w:line="400" w:lineRule="exact"/>
              <w:rPr>
                <w:rFonts w:ascii="宋体" w:hAnsi="宋体" w:cs="宋体"/>
                <w:color w:val="000000"/>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8"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color w:val="000000"/>
                <w:sz w:val="18"/>
                <w:szCs w:val="18"/>
                <w:lang w:bidi="ar"/>
              </w:rPr>
              <w:t>*12</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最大弥散加权系数B值 </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≥20,000</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color w:val="000000"/>
                <w:sz w:val="18"/>
                <w:szCs w:val="18"/>
              </w:rPr>
            </w:pPr>
            <w:r>
              <w:rPr>
                <w:rFonts w:hint="eastAsia" w:ascii="宋体" w:hAnsi="宋体" w:cs="宋体"/>
                <w:color w:val="000000"/>
                <w:sz w:val="18"/>
                <w:szCs w:val="18"/>
                <w:lang w:bidi="ar"/>
              </w:rPr>
              <w:t>13</w:t>
            </w:r>
          </w:p>
        </w:tc>
        <w:tc>
          <w:tcPr>
            <w:tcW w:w="3898" w:type="dxa"/>
            <w:tcBorders>
              <w:tl2br w:val="nil"/>
              <w:tr2bl w:val="nil"/>
            </w:tcBorders>
            <w:shd w:val="clear" w:color="auto" w:fill="auto"/>
            <w:vAlign w:val="center"/>
          </w:tcPr>
          <w:p>
            <w:pPr>
              <w:spacing w:line="400" w:lineRule="exact"/>
              <w:jc w:val="left"/>
              <w:rPr>
                <w:rFonts w:ascii="宋体" w:hAnsi="宋体" w:cs="宋体"/>
                <w:color w:val="000000"/>
                <w:sz w:val="18"/>
                <w:szCs w:val="18"/>
              </w:rPr>
            </w:pPr>
            <w:r>
              <w:rPr>
                <w:rFonts w:hint="eastAsia" w:ascii="宋体" w:hAnsi="宋体" w:cs="宋体"/>
                <w:color w:val="000000"/>
                <w:sz w:val="18"/>
                <w:szCs w:val="18"/>
                <w:lang w:bidi="ar"/>
              </w:rPr>
              <w:t>TSE最大因子</w:t>
            </w:r>
          </w:p>
        </w:tc>
        <w:tc>
          <w:tcPr>
            <w:tcW w:w="3629" w:type="dxa"/>
            <w:tcBorders>
              <w:tl2br w:val="nil"/>
              <w:tr2bl w:val="nil"/>
            </w:tcBorders>
            <w:shd w:val="clear" w:color="auto" w:fill="auto"/>
            <w:vAlign w:val="center"/>
          </w:tcPr>
          <w:p>
            <w:pPr>
              <w:spacing w:line="400" w:lineRule="exact"/>
              <w:jc w:val="left"/>
              <w:rPr>
                <w:rFonts w:ascii="宋体" w:hAnsi="宋体" w:cs="宋体"/>
                <w:color w:val="000000"/>
                <w:sz w:val="18"/>
                <w:szCs w:val="18"/>
                <w:lang w:bidi="ar"/>
              </w:rPr>
            </w:pPr>
            <w:r>
              <w:rPr>
                <w:rFonts w:hint="eastAsia" w:ascii="宋体" w:hAnsi="宋体" w:cs="宋体"/>
                <w:color w:val="000000"/>
                <w:sz w:val="18"/>
                <w:szCs w:val="18"/>
                <w:lang w:bidi="ar"/>
              </w:rPr>
              <w:t>≥1024</w:t>
            </w:r>
          </w:p>
        </w:tc>
        <w:tc>
          <w:tcPr>
            <w:tcW w:w="981" w:type="dxa"/>
            <w:vMerge w:val="continue"/>
            <w:tcBorders>
              <w:tl2br w:val="nil"/>
              <w:tr2bl w:val="nil"/>
            </w:tcBorders>
            <w:shd w:val="clear" w:color="auto" w:fill="auto"/>
            <w:vAlign w:val="center"/>
          </w:tcPr>
          <w:p>
            <w:pPr>
              <w:spacing w:line="400" w:lineRule="exact"/>
              <w:jc w:val="left"/>
              <w:rPr>
                <w:rFonts w:ascii="宋体" w:hAnsi="宋体" w:cs="宋体"/>
                <w:color w:val="000000"/>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color w:val="000000"/>
                <w:sz w:val="18"/>
                <w:szCs w:val="18"/>
              </w:rPr>
            </w:pPr>
            <w:r>
              <w:rPr>
                <w:rFonts w:hint="eastAsia" w:ascii="宋体" w:hAnsi="宋体" w:cs="宋体"/>
                <w:color w:val="000000"/>
                <w:sz w:val="18"/>
                <w:szCs w:val="18"/>
                <w:lang w:bidi="ar"/>
              </w:rPr>
              <w:t>14</w:t>
            </w:r>
          </w:p>
        </w:tc>
        <w:tc>
          <w:tcPr>
            <w:tcW w:w="3898" w:type="dxa"/>
            <w:tcBorders>
              <w:tl2br w:val="nil"/>
              <w:tr2bl w:val="nil"/>
            </w:tcBorders>
            <w:shd w:val="clear" w:color="auto" w:fill="auto"/>
            <w:vAlign w:val="center"/>
          </w:tcPr>
          <w:p>
            <w:pPr>
              <w:spacing w:line="400" w:lineRule="exact"/>
              <w:jc w:val="left"/>
              <w:rPr>
                <w:rFonts w:ascii="宋体" w:hAnsi="宋体" w:cs="宋体"/>
                <w:color w:val="000000"/>
                <w:sz w:val="18"/>
                <w:szCs w:val="18"/>
              </w:rPr>
            </w:pPr>
            <w:r>
              <w:rPr>
                <w:rFonts w:hint="eastAsia" w:ascii="宋体" w:hAnsi="宋体" w:cs="宋体"/>
                <w:color w:val="000000"/>
                <w:sz w:val="18"/>
                <w:szCs w:val="18"/>
                <w:lang w:bidi="ar"/>
              </w:rPr>
              <w:t>EPI最大因子</w:t>
            </w:r>
          </w:p>
        </w:tc>
        <w:tc>
          <w:tcPr>
            <w:tcW w:w="3629" w:type="dxa"/>
            <w:tcBorders>
              <w:tl2br w:val="nil"/>
              <w:tr2bl w:val="nil"/>
            </w:tcBorders>
            <w:shd w:val="clear" w:color="auto" w:fill="auto"/>
            <w:vAlign w:val="center"/>
          </w:tcPr>
          <w:p>
            <w:pPr>
              <w:spacing w:line="400" w:lineRule="exact"/>
              <w:jc w:val="left"/>
              <w:rPr>
                <w:rFonts w:ascii="宋体" w:hAnsi="宋体" w:cs="宋体"/>
                <w:color w:val="000000"/>
                <w:sz w:val="18"/>
                <w:szCs w:val="18"/>
                <w:lang w:bidi="ar"/>
              </w:rPr>
            </w:pPr>
            <w:r>
              <w:rPr>
                <w:rFonts w:hint="eastAsia" w:ascii="宋体" w:hAnsi="宋体" w:cs="宋体"/>
                <w:color w:val="000000"/>
                <w:sz w:val="18"/>
                <w:szCs w:val="18"/>
                <w:lang w:bidi="ar"/>
              </w:rPr>
              <w:t>≥255</w:t>
            </w:r>
          </w:p>
        </w:tc>
        <w:tc>
          <w:tcPr>
            <w:tcW w:w="981" w:type="dxa"/>
            <w:vMerge w:val="continue"/>
            <w:tcBorders>
              <w:tl2br w:val="nil"/>
              <w:tr2bl w:val="nil"/>
            </w:tcBorders>
            <w:shd w:val="clear" w:color="auto" w:fill="auto"/>
            <w:vAlign w:val="center"/>
          </w:tcPr>
          <w:p>
            <w:pPr>
              <w:spacing w:line="400" w:lineRule="exact"/>
              <w:jc w:val="left"/>
              <w:rPr>
                <w:rFonts w:ascii="宋体" w:hAnsi="宋体" w:cs="宋体"/>
                <w:color w:val="000000"/>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b/>
                <w:bCs/>
                <w:color w:val="000000"/>
                <w:sz w:val="18"/>
                <w:szCs w:val="18"/>
              </w:rPr>
            </w:pPr>
            <w:r>
              <w:rPr>
                <w:rFonts w:hint="eastAsia" w:ascii="宋体" w:hAnsi="宋体" w:cs="宋体"/>
                <w:b/>
                <w:bCs/>
                <w:color w:val="000000"/>
                <w:sz w:val="18"/>
                <w:szCs w:val="18"/>
                <w:lang w:bidi="ar"/>
              </w:rPr>
              <w:t>九</w:t>
            </w:r>
          </w:p>
        </w:tc>
        <w:tc>
          <w:tcPr>
            <w:tcW w:w="3898" w:type="dxa"/>
            <w:tcBorders>
              <w:tl2br w:val="nil"/>
              <w:tr2bl w:val="nil"/>
            </w:tcBorders>
            <w:shd w:val="clear" w:color="auto" w:fill="auto"/>
            <w:vAlign w:val="center"/>
          </w:tcPr>
          <w:p>
            <w:pPr>
              <w:spacing w:line="400" w:lineRule="exact"/>
              <w:rPr>
                <w:rFonts w:ascii="宋体" w:hAnsi="宋体" w:cs="宋体"/>
                <w:b/>
                <w:bCs/>
                <w:color w:val="000000"/>
                <w:sz w:val="18"/>
                <w:szCs w:val="18"/>
              </w:rPr>
            </w:pPr>
            <w:r>
              <w:rPr>
                <w:rFonts w:hint="eastAsia" w:ascii="宋体" w:hAnsi="宋体" w:cs="宋体"/>
                <w:b/>
                <w:bCs/>
                <w:color w:val="000000"/>
                <w:sz w:val="18"/>
                <w:szCs w:val="18"/>
                <w:lang w:bidi="ar"/>
              </w:rPr>
              <w:t>扫描技术与序列</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sz w:val="18"/>
                <w:szCs w:val="18"/>
              </w:rPr>
            </w:pPr>
            <w:r>
              <w:rPr>
                <w:rFonts w:hint="eastAsia" w:ascii="宋体" w:hAnsi="宋体" w:cs="宋体"/>
                <w:sz w:val="18"/>
                <w:szCs w:val="18"/>
                <w:lang w:bidi="ar"/>
              </w:rPr>
              <w:t>1</w:t>
            </w:r>
          </w:p>
        </w:tc>
        <w:tc>
          <w:tcPr>
            <w:tcW w:w="3898" w:type="dxa"/>
            <w:tcBorders>
              <w:tl2br w:val="nil"/>
              <w:tr2bl w:val="nil"/>
            </w:tcBorders>
            <w:shd w:val="clear" w:color="auto" w:fill="auto"/>
            <w:vAlign w:val="center"/>
          </w:tcPr>
          <w:p>
            <w:pPr>
              <w:tabs>
                <w:tab w:val="left" w:pos="1620"/>
              </w:tabs>
              <w:spacing w:line="400" w:lineRule="exact"/>
              <w:rPr>
                <w:rFonts w:ascii="宋体" w:hAnsi="宋体" w:cs="宋体"/>
                <w:sz w:val="18"/>
                <w:szCs w:val="18"/>
              </w:rPr>
            </w:pPr>
            <w:r>
              <w:rPr>
                <w:rFonts w:hint="eastAsia" w:ascii="宋体" w:hAnsi="宋体" w:cs="宋体"/>
                <w:sz w:val="18"/>
                <w:szCs w:val="18"/>
                <w:lang w:bidi="ar"/>
              </w:rPr>
              <w:t>自旋回波序列，包括：</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sz w:val="18"/>
                <w:szCs w:val="18"/>
              </w:rPr>
            </w:pPr>
            <w:r>
              <w:rPr>
                <w:rFonts w:hint="eastAsia" w:ascii="宋体" w:hAnsi="宋体" w:cs="宋体"/>
                <w:sz w:val="18"/>
                <w:szCs w:val="18"/>
                <w:lang w:bidi="ar"/>
              </w:rPr>
              <w:t>1.1</w:t>
            </w:r>
          </w:p>
        </w:tc>
        <w:tc>
          <w:tcPr>
            <w:tcW w:w="3898" w:type="dxa"/>
            <w:tcBorders>
              <w:tl2br w:val="nil"/>
              <w:tr2bl w:val="nil"/>
            </w:tcBorders>
            <w:shd w:val="clear" w:color="auto" w:fill="auto"/>
            <w:vAlign w:val="center"/>
          </w:tcPr>
          <w:p>
            <w:pPr>
              <w:tabs>
                <w:tab w:val="left" w:pos="1620"/>
              </w:tabs>
              <w:spacing w:line="400" w:lineRule="exact"/>
              <w:rPr>
                <w:rFonts w:ascii="宋体" w:hAnsi="宋体" w:cs="宋体"/>
                <w:sz w:val="18"/>
                <w:szCs w:val="18"/>
              </w:rPr>
            </w:pPr>
            <w:r>
              <w:rPr>
                <w:rFonts w:hint="eastAsia" w:ascii="宋体" w:hAnsi="宋体" w:cs="宋体"/>
                <w:sz w:val="18"/>
                <w:szCs w:val="18"/>
                <w:lang w:bidi="ar"/>
              </w:rPr>
              <w:t>2D/3D自旋回波序列</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sz w:val="18"/>
                <w:szCs w:val="18"/>
              </w:rPr>
            </w:pPr>
            <w:r>
              <w:rPr>
                <w:rFonts w:hint="eastAsia" w:ascii="宋体" w:hAnsi="宋体" w:cs="宋体"/>
                <w:sz w:val="18"/>
                <w:szCs w:val="18"/>
                <w:lang w:bidi="ar"/>
              </w:rPr>
              <w:t>1.2</w:t>
            </w:r>
          </w:p>
        </w:tc>
        <w:tc>
          <w:tcPr>
            <w:tcW w:w="3898" w:type="dxa"/>
            <w:tcBorders>
              <w:tl2br w:val="nil"/>
              <w:tr2bl w:val="nil"/>
            </w:tcBorders>
            <w:shd w:val="clear" w:color="auto" w:fill="auto"/>
            <w:vAlign w:val="center"/>
          </w:tcPr>
          <w:p>
            <w:pPr>
              <w:tabs>
                <w:tab w:val="left" w:pos="1620"/>
              </w:tabs>
              <w:spacing w:line="400" w:lineRule="exact"/>
              <w:rPr>
                <w:rFonts w:ascii="宋体" w:hAnsi="宋体" w:cs="宋体"/>
                <w:sz w:val="18"/>
                <w:szCs w:val="18"/>
              </w:rPr>
            </w:pPr>
            <w:r>
              <w:rPr>
                <w:rFonts w:hint="eastAsia" w:ascii="宋体" w:hAnsi="宋体" w:cs="宋体"/>
                <w:sz w:val="18"/>
                <w:szCs w:val="18"/>
                <w:lang w:bidi="ar"/>
              </w:rPr>
              <w:t>组织弛豫时间测量自旋回波序列</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sz w:val="18"/>
                <w:szCs w:val="18"/>
              </w:rPr>
            </w:pPr>
            <w:r>
              <w:rPr>
                <w:rFonts w:hint="eastAsia" w:ascii="宋体" w:hAnsi="宋体" w:cs="宋体"/>
                <w:sz w:val="18"/>
                <w:szCs w:val="18"/>
                <w:lang w:bidi="ar"/>
              </w:rPr>
              <w:t>2</w:t>
            </w:r>
          </w:p>
        </w:tc>
        <w:tc>
          <w:tcPr>
            <w:tcW w:w="3898" w:type="dxa"/>
            <w:tcBorders>
              <w:tl2br w:val="nil"/>
              <w:tr2bl w:val="nil"/>
            </w:tcBorders>
            <w:shd w:val="clear" w:color="auto" w:fill="auto"/>
            <w:vAlign w:val="center"/>
          </w:tcPr>
          <w:p>
            <w:pPr>
              <w:tabs>
                <w:tab w:val="left" w:pos="1620"/>
              </w:tabs>
              <w:spacing w:line="400" w:lineRule="exact"/>
              <w:rPr>
                <w:rFonts w:ascii="宋体" w:hAnsi="宋体" w:cs="宋体"/>
                <w:sz w:val="18"/>
                <w:szCs w:val="18"/>
              </w:rPr>
            </w:pPr>
            <w:r>
              <w:rPr>
                <w:rFonts w:hint="eastAsia" w:ascii="宋体" w:hAnsi="宋体" w:cs="宋体"/>
                <w:caps/>
                <w:sz w:val="18"/>
                <w:szCs w:val="18"/>
                <w:lang w:bidi="ar"/>
              </w:rPr>
              <w:t>可选择角度的自旋回波</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sz w:val="18"/>
                <w:szCs w:val="18"/>
              </w:rPr>
            </w:pPr>
            <w:r>
              <w:rPr>
                <w:rFonts w:hint="eastAsia" w:ascii="宋体" w:hAnsi="宋体" w:cs="宋体"/>
                <w:sz w:val="18"/>
                <w:szCs w:val="18"/>
                <w:lang w:bidi="ar"/>
              </w:rPr>
              <w:t>3</w:t>
            </w:r>
          </w:p>
        </w:tc>
        <w:tc>
          <w:tcPr>
            <w:tcW w:w="3898" w:type="dxa"/>
            <w:tcBorders>
              <w:tl2br w:val="nil"/>
              <w:tr2bl w:val="nil"/>
            </w:tcBorders>
            <w:shd w:val="clear" w:color="auto" w:fill="auto"/>
            <w:vAlign w:val="center"/>
          </w:tcPr>
          <w:p>
            <w:pPr>
              <w:tabs>
                <w:tab w:val="left" w:pos="1620"/>
              </w:tabs>
              <w:spacing w:line="400" w:lineRule="exact"/>
              <w:rPr>
                <w:rFonts w:ascii="宋体" w:hAnsi="宋体" w:cs="宋体"/>
                <w:sz w:val="18"/>
                <w:szCs w:val="18"/>
              </w:rPr>
            </w:pPr>
            <w:r>
              <w:rPr>
                <w:rFonts w:hint="eastAsia" w:ascii="宋体" w:hAnsi="宋体" w:cs="宋体"/>
                <w:sz w:val="18"/>
                <w:szCs w:val="18"/>
                <w:lang w:bidi="ar"/>
              </w:rPr>
              <w:t>反转恢复序列</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sz w:val="18"/>
                <w:szCs w:val="18"/>
              </w:rPr>
            </w:pPr>
            <w:r>
              <w:rPr>
                <w:rFonts w:hint="eastAsia" w:ascii="宋体" w:hAnsi="宋体" w:cs="宋体"/>
                <w:sz w:val="18"/>
                <w:szCs w:val="18"/>
                <w:lang w:bidi="ar"/>
              </w:rPr>
              <w:t>4</w:t>
            </w:r>
          </w:p>
        </w:tc>
        <w:tc>
          <w:tcPr>
            <w:tcW w:w="3898" w:type="dxa"/>
            <w:tcBorders>
              <w:tl2br w:val="nil"/>
              <w:tr2bl w:val="nil"/>
            </w:tcBorders>
            <w:shd w:val="clear" w:color="auto" w:fill="auto"/>
            <w:vAlign w:val="center"/>
          </w:tcPr>
          <w:p>
            <w:pPr>
              <w:tabs>
                <w:tab w:val="left" w:pos="1620"/>
              </w:tabs>
              <w:spacing w:line="400" w:lineRule="exact"/>
              <w:rPr>
                <w:rFonts w:ascii="宋体" w:hAnsi="宋体" w:cs="宋体"/>
                <w:sz w:val="18"/>
                <w:szCs w:val="18"/>
              </w:rPr>
            </w:pPr>
            <w:r>
              <w:rPr>
                <w:rFonts w:hint="eastAsia" w:ascii="宋体" w:hAnsi="宋体" w:cs="宋体"/>
                <w:sz w:val="18"/>
                <w:szCs w:val="18"/>
                <w:lang w:bidi="ar"/>
              </w:rPr>
              <w:t>脂肪抑制序列</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sz w:val="18"/>
                <w:szCs w:val="18"/>
              </w:rPr>
            </w:pPr>
            <w:r>
              <w:rPr>
                <w:rFonts w:hint="eastAsia" w:ascii="宋体" w:hAnsi="宋体" w:cs="宋体"/>
                <w:sz w:val="18"/>
                <w:szCs w:val="18"/>
                <w:lang w:bidi="ar"/>
              </w:rPr>
              <w:t>5</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频谱特异式大范围脂肪抑制</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sz w:val="18"/>
                <w:szCs w:val="18"/>
              </w:rPr>
            </w:pPr>
            <w:r>
              <w:rPr>
                <w:rFonts w:hint="eastAsia" w:ascii="宋体" w:hAnsi="宋体" w:cs="宋体"/>
                <w:sz w:val="18"/>
                <w:szCs w:val="18"/>
                <w:lang w:bidi="ar"/>
              </w:rPr>
              <w:t>6</w:t>
            </w:r>
          </w:p>
        </w:tc>
        <w:tc>
          <w:tcPr>
            <w:tcW w:w="3898" w:type="dxa"/>
            <w:tcBorders>
              <w:tl2br w:val="nil"/>
              <w:tr2bl w:val="nil"/>
            </w:tcBorders>
            <w:shd w:val="clear" w:color="auto" w:fill="auto"/>
            <w:vAlign w:val="center"/>
          </w:tcPr>
          <w:p>
            <w:pPr>
              <w:tabs>
                <w:tab w:val="left" w:pos="1620"/>
              </w:tabs>
              <w:spacing w:line="400" w:lineRule="exact"/>
              <w:rPr>
                <w:rFonts w:ascii="宋体" w:hAnsi="宋体" w:cs="宋体"/>
                <w:sz w:val="18"/>
                <w:szCs w:val="18"/>
              </w:rPr>
            </w:pPr>
            <w:r>
              <w:rPr>
                <w:rFonts w:hint="eastAsia" w:ascii="宋体" w:hAnsi="宋体" w:cs="宋体"/>
                <w:sz w:val="18"/>
                <w:szCs w:val="18"/>
                <w:lang w:bidi="ar"/>
              </w:rPr>
              <w:t>快速自由水抑制序列, 包括有：</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提供</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sz w:val="18"/>
                <w:szCs w:val="18"/>
              </w:rPr>
            </w:pPr>
            <w:r>
              <w:rPr>
                <w:rFonts w:hint="eastAsia" w:ascii="宋体" w:hAnsi="宋体" w:cs="宋体"/>
                <w:sz w:val="18"/>
                <w:szCs w:val="18"/>
                <w:lang w:bidi="ar"/>
              </w:rPr>
              <w:t>6.1</w:t>
            </w:r>
          </w:p>
        </w:tc>
        <w:tc>
          <w:tcPr>
            <w:tcW w:w="3898" w:type="dxa"/>
            <w:tcBorders>
              <w:tl2br w:val="nil"/>
              <w:tr2bl w:val="nil"/>
            </w:tcBorders>
            <w:shd w:val="clear" w:color="auto" w:fill="auto"/>
            <w:vAlign w:val="center"/>
          </w:tcPr>
          <w:p>
            <w:pPr>
              <w:tabs>
                <w:tab w:val="left" w:pos="1620"/>
              </w:tabs>
              <w:spacing w:line="400" w:lineRule="exact"/>
              <w:rPr>
                <w:rFonts w:ascii="宋体" w:hAnsi="宋体" w:cs="宋体"/>
                <w:sz w:val="18"/>
                <w:szCs w:val="18"/>
              </w:rPr>
            </w:pPr>
            <w:r>
              <w:rPr>
                <w:rFonts w:hint="eastAsia" w:ascii="宋体" w:hAnsi="宋体" w:cs="宋体"/>
                <w:sz w:val="18"/>
                <w:szCs w:val="18"/>
                <w:lang w:bidi="ar"/>
              </w:rPr>
              <w:t>快速自由水抑制T2W成像技术</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sz w:val="18"/>
                <w:szCs w:val="18"/>
              </w:rPr>
            </w:pPr>
            <w:r>
              <w:rPr>
                <w:rFonts w:hint="eastAsia" w:ascii="宋体" w:hAnsi="宋体" w:cs="宋体"/>
                <w:sz w:val="18"/>
                <w:szCs w:val="18"/>
                <w:lang w:bidi="ar"/>
              </w:rPr>
              <w:t>6.2</w:t>
            </w:r>
          </w:p>
        </w:tc>
        <w:tc>
          <w:tcPr>
            <w:tcW w:w="3898" w:type="dxa"/>
            <w:tcBorders>
              <w:tl2br w:val="nil"/>
              <w:tr2bl w:val="nil"/>
            </w:tcBorders>
            <w:shd w:val="clear" w:color="auto" w:fill="auto"/>
            <w:vAlign w:val="center"/>
          </w:tcPr>
          <w:p>
            <w:pPr>
              <w:tabs>
                <w:tab w:val="left" w:pos="1620"/>
              </w:tabs>
              <w:spacing w:line="400" w:lineRule="exact"/>
              <w:rPr>
                <w:rFonts w:ascii="宋体" w:hAnsi="宋体" w:cs="宋体"/>
                <w:sz w:val="18"/>
                <w:szCs w:val="18"/>
              </w:rPr>
            </w:pPr>
            <w:r>
              <w:rPr>
                <w:rFonts w:hint="eastAsia" w:ascii="宋体" w:hAnsi="宋体" w:cs="宋体"/>
                <w:sz w:val="18"/>
                <w:szCs w:val="18"/>
                <w:lang w:bidi="ar"/>
              </w:rPr>
              <w:t>快速自由水抑制T1W成像技术</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sz w:val="18"/>
                <w:szCs w:val="18"/>
              </w:rPr>
            </w:pPr>
            <w:r>
              <w:rPr>
                <w:rFonts w:hint="eastAsia" w:ascii="宋体" w:hAnsi="宋体" w:cs="宋体"/>
                <w:sz w:val="18"/>
                <w:szCs w:val="18"/>
                <w:lang w:bidi="ar"/>
              </w:rPr>
              <w:t>7</w:t>
            </w:r>
          </w:p>
        </w:tc>
        <w:tc>
          <w:tcPr>
            <w:tcW w:w="3898" w:type="dxa"/>
            <w:tcBorders>
              <w:tl2br w:val="nil"/>
              <w:tr2bl w:val="nil"/>
            </w:tcBorders>
            <w:shd w:val="clear" w:color="auto" w:fill="auto"/>
            <w:vAlign w:val="center"/>
          </w:tcPr>
          <w:p>
            <w:pPr>
              <w:tabs>
                <w:tab w:val="left" w:pos="1620"/>
              </w:tabs>
              <w:spacing w:line="400" w:lineRule="exact"/>
              <w:rPr>
                <w:rFonts w:ascii="宋体" w:hAnsi="宋体" w:cs="宋体"/>
                <w:sz w:val="18"/>
                <w:szCs w:val="18"/>
              </w:rPr>
            </w:pPr>
            <w:r>
              <w:rPr>
                <w:rFonts w:hint="eastAsia" w:ascii="宋体" w:hAnsi="宋体" w:cs="宋体"/>
                <w:sz w:val="18"/>
                <w:szCs w:val="18"/>
                <w:lang w:bidi="ar"/>
              </w:rPr>
              <w:t>快速反转恢复序列(脂肪、水抑制)</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sz w:val="18"/>
                <w:szCs w:val="18"/>
              </w:rPr>
            </w:pPr>
            <w:r>
              <w:rPr>
                <w:rFonts w:hint="eastAsia" w:ascii="宋体" w:hAnsi="宋体" w:cs="宋体"/>
                <w:sz w:val="18"/>
                <w:szCs w:val="18"/>
                <w:lang w:bidi="ar"/>
              </w:rPr>
              <w:t>8</w:t>
            </w:r>
          </w:p>
        </w:tc>
        <w:tc>
          <w:tcPr>
            <w:tcW w:w="3898" w:type="dxa"/>
            <w:tcBorders>
              <w:tl2br w:val="nil"/>
              <w:tr2bl w:val="nil"/>
            </w:tcBorders>
            <w:shd w:val="clear" w:color="auto" w:fill="auto"/>
            <w:vAlign w:val="center"/>
          </w:tcPr>
          <w:p>
            <w:pPr>
              <w:tabs>
                <w:tab w:val="left" w:pos="1620"/>
              </w:tabs>
              <w:spacing w:line="400" w:lineRule="exact"/>
              <w:rPr>
                <w:rFonts w:ascii="宋体" w:hAnsi="宋体" w:cs="宋体"/>
                <w:sz w:val="18"/>
                <w:szCs w:val="18"/>
              </w:rPr>
            </w:pPr>
            <w:r>
              <w:rPr>
                <w:rFonts w:hint="eastAsia" w:ascii="宋体" w:hAnsi="宋体" w:cs="宋体"/>
                <w:sz w:val="18"/>
                <w:szCs w:val="18"/>
                <w:lang w:bidi="ar"/>
              </w:rPr>
              <w:t>单独灰质或白质成像技术</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sz w:val="18"/>
                <w:szCs w:val="18"/>
              </w:rPr>
            </w:pPr>
            <w:r>
              <w:rPr>
                <w:rFonts w:hint="eastAsia" w:ascii="宋体" w:hAnsi="宋体" w:cs="宋体"/>
                <w:sz w:val="18"/>
                <w:szCs w:val="18"/>
                <w:lang w:bidi="ar"/>
              </w:rPr>
              <w:t>9</w:t>
            </w:r>
          </w:p>
        </w:tc>
        <w:tc>
          <w:tcPr>
            <w:tcW w:w="3898" w:type="dxa"/>
            <w:tcBorders>
              <w:tl2br w:val="nil"/>
              <w:tr2bl w:val="nil"/>
            </w:tcBorders>
            <w:shd w:val="clear" w:color="auto" w:fill="auto"/>
            <w:vAlign w:val="center"/>
          </w:tcPr>
          <w:p>
            <w:pPr>
              <w:tabs>
                <w:tab w:val="left" w:pos="1620"/>
              </w:tabs>
              <w:spacing w:line="400" w:lineRule="exact"/>
              <w:rPr>
                <w:rFonts w:ascii="宋体" w:hAnsi="宋体" w:cs="宋体"/>
                <w:sz w:val="18"/>
                <w:szCs w:val="18"/>
              </w:rPr>
            </w:pPr>
            <w:r>
              <w:rPr>
                <w:rFonts w:hint="eastAsia" w:ascii="宋体" w:hAnsi="宋体" w:cs="宋体"/>
                <w:sz w:val="18"/>
                <w:szCs w:val="18"/>
                <w:lang w:bidi="ar"/>
              </w:rPr>
              <w:t>梯度回波序列(2D/3D), 包括有：</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sz w:val="18"/>
                <w:szCs w:val="18"/>
              </w:rPr>
            </w:pPr>
            <w:r>
              <w:rPr>
                <w:rFonts w:hint="eastAsia" w:ascii="宋体" w:hAnsi="宋体" w:cs="宋体"/>
                <w:sz w:val="18"/>
                <w:szCs w:val="18"/>
                <w:lang w:bidi="ar"/>
              </w:rPr>
              <w:t>9.1</w:t>
            </w:r>
          </w:p>
        </w:tc>
        <w:tc>
          <w:tcPr>
            <w:tcW w:w="3898" w:type="dxa"/>
            <w:tcBorders>
              <w:tl2br w:val="nil"/>
              <w:tr2bl w:val="nil"/>
            </w:tcBorders>
            <w:shd w:val="clear" w:color="auto" w:fill="auto"/>
            <w:vAlign w:val="center"/>
          </w:tcPr>
          <w:p>
            <w:pPr>
              <w:tabs>
                <w:tab w:val="left" w:pos="1620"/>
              </w:tabs>
              <w:spacing w:line="400" w:lineRule="exact"/>
              <w:rPr>
                <w:rFonts w:ascii="宋体" w:hAnsi="宋体" w:cs="宋体"/>
                <w:sz w:val="18"/>
                <w:szCs w:val="18"/>
              </w:rPr>
            </w:pPr>
            <w:r>
              <w:rPr>
                <w:rFonts w:hint="eastAsia" w:ascii="宋体" w:hAnsi="宋体" w:cs="宋体"/>
                <w:sz w:val="18"/>
                <w:szCs w:val="18"/>
                <w:lang w:bidi="ar"/>
              </w:rPr>
              <w:t>亚秒T1加权技术</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sz w:val="18"/>
                <w:szCs w:val="18"/>
              </w:rPr>
            </w:pPr>
            <w:r>
              <w:rPr>
                <w:rFonts w:hint="eastAsia" w:ascii="宋体" w:hAnsi="宋体" w:cs="宋体"/>
                <w:sz w:val="18"/>
                <w:szCs w:val="18"/>
                <w:lang w:bidi="ar"/>
              </w:rPr>
              <w:t>9.2</w:t>
            </w:r>
          </w:p>
        </w:tc>
        <w:tc>
          <w:tcPr>
            <w:tcW w:w="3898" w:type="dxa"/>
            <w:tcBorders>
              <w:tl2br w:val="nil"/>
              <w:tr2bl w:val="nil"/>
            </w:tcBorders>
            <w:shd w:val="clear" w:color="auto" w:fill="auto"/>
            <w:vAlign w:val="center"/>
          </w:tcPr>
          <w:p>
            <w:pPr>
              <w:tabs>
                <w:tab w:val="left" w:pos="1620"/>
              </w:tabs>
              <w:spacing w:line="400" w:lineRule="exact"/>
              <w:rPr>
                <w:rFonts w:ascii="宋体" w:hAnsi="宋体" w:cs="宋体"/>
                <w:sz w:val="18"/>
                <w:szCs w:val="18"/>
              </w:rPr>
            </w:pPr>
            <w:r>
              <w:rPr>
                <w:rFonts w:hint="eastAsia" w:ascii="宋体" w:hAnsi="宋体" w:cs="宋体"/>
                <w:sz w:val="18"/>
                <w:szCs w:val="18"/>
                <w:lang w:bidi="ar"/>
              </w:rPr>
              <w:t>亚秒T2加权技术</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sz w:val="18"/>
                <w:szCs w:val="18"/>
              </w:rPr>
            </w:pPr>
            <w:r>
              <w:rPr>
                <w:rFonts w:hint="eastAsia" w:ascii="宋体" w:hAnsi="宋体" w:cs="宋体"/>
                <w:sz w:val="18"/>
                <w:szCs w:val="18"/>
                <w:lang w:bidi="ar"/>
              </w:rPr>
              <w:t>10</w:t>
            </w:r>
          </w:p>
        </w:tc>
        <w:tc>
          <w:tcPr>
            <w:tcW w:w="3898" w:type="dxa"/>
            <w:tcBorders>
              <w:tl2br w:val="nil"/>
              <w:tr2bl w:val="nil"/>
            </w:tcBorders>
            <w:shd w:val="clear" w:color="auto" w:fill="auto"/>
            <w:vAlign w:val="center"/>
          </w:tcPr>
          <w:p>
            <w:pPr>
              <w:tabs>
                <w:tab w:val="left" w:pos="1620"/>
              </w:tabs>
              <w:spacing w:line="400" w:lineRule="exact"/>
              <w:rPr>
                <w:rFonts w:ascii="宋体" w:hAnsi="宋体" w:cs="宋体"/>
                <w:sz w:val="18"/>
                <w:szCs w:val="18"/>
              </w:rPr>
            </w:pPr>
            <w:r>
              <w:rPr>
                <w:rFonts w:hint="eastAsia" w:ascii="宋体" w:hAnsi="宋体" w:cs="宋体"/>
                <w:sz w:val="18"/>
                <w:szCs w:val="18"/>
                <w:lang w:bidi="ar"/>
              </w:rPr>
              <w:t>2D平衡式梯度回波序列(B-FFE或True-FISP或 FIESTA)</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sz w:val="18"/>
                <w:szCs w:val="18"/>
              </w:rPr>
            </w:pPr>
            <w:r>
              <w:rPr>
                <w:rFonts w:hint="eastAsia" w:ascii="宋体" w:hAnsi="宋体" w:cs="宋体"/>
                <w:sz w:val="18"/>
                <w:szCs w:val="18"/>
                <w:lang w:bidi="ar"/>
              </w:rPr>
              <w:t>11</w:t>
            </w:r>
          </w:p>
        </w:tc>
        <w:tc>
          <w:tcPr>
            <w:tcW w:w="3898" w:type="dxa"/>
            <w:tcBorders>
              <w:tl2br w:val="nil"/>
              <w:tr2bl w:val="nil"/>
            </w:tcBorders>
            <w:shd w:val="clear" w:color="auto" w:fill="auto"/>
            <w:vAlign w:val="center"/>
          </w:tcPr>
          <w:p>
            <w:pPr>
              <w:tabs>
                <w:tab w:val="left" w:pos="1620"/>
              </w:tabs>
              <w:spacing w:line="400" w:lineRule="exact"/>
              <w:rPr>
                <w:rFonts w:ascii="宋体" w:hAnsi="宋体" w:cs="宋体"/>
                <w:sz w:val="18"/>
                <w:szCs w:val="18"/>
              </w:rPr>
            </w:pPr>
            <w:r>
              <w:rPr>
                <w:rFonts w:hint="eastAsia" w:ascii="宋体" w:hAnsi="宋体" w:cs="宋体"/>
                <w:sz w:val="18"/>
                <w:szCs w:val="18"/>
                <w:lang w:bidi="ar"/>
              </w:rPr>
              <w:t>3D平衡式梯度回波序列(B-FFE或True-FISP或 FIESTA)</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sz w:val="18"/>
                <w:szCs w:val="18"/>
              </w:rPr>
            </w:pPr>
            <w:r>
              <w:rPr>
                <w:rFonts w:hint="eastAsia" w:ascii="宋体" w:hAnsi="宋体" w:cs="宋体"/>
                <w:sz w:val="18"/>
                <w:szCs w:val="18"/>
                <w:lang w:bidi="ar"/>
              </w:rPr>
              <w:t>12</w:t>
            </w:r>
          </w:p>
        </w:tc>
        <w:tc>
          <w:tcPr>
            <w:tcW w:w="3898" w:type="dxa"/>
            <w:tcBorders>
              <w:tl2br w:val="nil"/>
              <w:tr2bl w:val="nil"/>
            </w:tcBorders>
            <w:shd w:val="clear" w:color="auto" w:fill="auto"/>
            <w:vAlign w:val="center"/>
          </w:tcPr>
          <w:p>
            <w:pPr>
              <w:tabs>
                <w:tab w:val="left" w:pos="1620"/>
              </w:tabs>
              <w:spacing w:line="400" w:lineRule="exact"/>
              <w:rPr>
                <w:rFonts w:ascii="宋体" w:hAnsi="宋体" w:cs="宋体"/>
                <w:sz w:val="18"/>
                <w:szCs w:val="18"/>
              </w:rPr>
            </w:pPr>
            <w:r>
              <w:rPr>
                <w:rFonts w:hint="eastAsia" w:ascii="宋体" w:hAnsi="宋体" w:cs="宋体"/>
                <w:sz w:val="18"/>
                <w:szCs w:val="18"/>
                <w:lang w:bidi="ar"/>
              </w:rPr>
              <w:t>超快速场回波序列</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sz w:val="18"/>
                <w:szCs w:val="18"/>
              </w:rPr>
            </w:pPr>
            <w:r>
              <w:rPr>
                <w:rFonts w:hint="eastAsia" w:ascii="宋体" w:hAnsi="宋体" w:cs="宋体"/>
                <w:sz w:val="18"/>
                <w:szCs w:val="18"/>
                <w:lang w:bidi="ar"/>
              </w:rPr>
              <w:t>13</w:t>
            </w:r>
          </w:p>
        </w:tc>
        <w:tc>
          <w:tcPr>
            <w:tcW w:w="3898" w:type="dxa"/>
            <w:tcBorders>
              <w:tl2br w:val="nil"/>
              <w:tr2bl w:val="nil"/>
            </w:tcBorders>
            <w:shd w:val="clear" w:color="auto" w:fill="auto"/>
            <w:vAlign w:val="center"/>
          </w:tcPr>
          <w:p>
            <w:pPr>
              <w:tabs>
                <w:tab w:val="left" w:pos="1620"/>
              </w:tabs>
              <w:spacing w:line="400" w:lineRule="exact"/>
              <w:rPr>
                <w:rFonts w:ascii="宋体" w:hAnsi="宋体" w:cs="宋体"/>
                <w:sz w:val="18"/>
                <w:szCs w:val="18"/>
              </w:rPr>
            </w:pPr>
            <w:r>
              <w:rPr>
                <w:rFonts w:hint="eastAsia" w:ascii="宋体" w:hAnsi="宋体" w:cs="宋体"/>
                <w:sz w:val="18"/>
                <w:szCs w:val="18"/>
                <w:lang w:bidi="ar"/>
              </w:rPr>
              <w:t>多层快速动态成像</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sz w:val="18"/>
                <w:szCs w:val="18"/>
              </w:rPr>
            </w:pPr>
            <w:r>
              <w:rPr>
                <w:rFonts w:hint="eastAsia" w:ascii="宋体" w:hAnsi="宋体" w:cs="宋体"/>
                <w:sz w:val="18"/>
                <w:szCs w:val="18"/>
                <w:lang w:bidi="ar"/>
              </w:rPr>
              <w:t>14</w:t>
            </w:r>
          </w:p>
        </w:tc>
        <w:tc>
          <w:tcPr>
            <w:tcW w:w="3898" w:type="dxa"/>
            <w:tcBorders>
              <w:tl2br w:val="nil"/>
              <w:tr2bl w:val="nil"/>
            </w:tcBorders>
            <w:shd w:val="clear" w:color="auto" w:fill="auto"/>
            <w:vAlign w:val="center"/>
          </w:tcPr>
          <w:p>
            <w:pPr>
              <w:tabs>
                <w:tab w:val="left" w:pos="1620"/>
              </w:tabs>
              <w:spacing w:line="400" w:lineRule="exact"/>
              <w:rPr>
                <w:rFonts w:ascii="宋体" w:hAnsi="宋体" w:cs="宋体"/>
                <w:sz w:val="18"/>
                <w:szCs w:val="18"/>
              </w:rPr>
            </w:pPr>
            <w:r>
              <w:rPr>
                <w:rFonts w:hint="eastAsia" w:ascii="宋体" w:hAnsi="宋体" w:cs="宋体"/>
                <w:sz w:val="18"/>
                <w:szCs w:val="18"/>
                <w:lang w:bidi="ar"/>
              </w:rPr>
              <w:t>匙孔成像技术</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sz w:val="18"/>
                <w:szCs w:val="18"/>
              </w:rPr>
            </w:pPr>
            <w:r>
              <w:rPr>
                <w:rFonts w:hint="eastAsia" w:ascii="宋体" w:hAnsi="宋体" w:cs="宋体"/>
                <w:sz w:val="18"/>
                <w:szCs w:val="18"/>
                <w:lang w:bidi="ar"/>
              </w:rPr>
              <w:t>15</w:t>
            </w:r>
          </w:p>
        </w:tc>
        <w:tc>
          <w:tcPr>
            <w:tcW w:w="3898" w:type="dxa"/>
            <w:tcBorders>
              <w:tl2br w:val="nil"/>
              <w:tr2bl w:val="nil"/>
            </w:tcBorders>
            <w:shd w:val="clear" w:color="auto" w:fill="auto"/>
            <w:vAlign w:val="center"/>
          </w:tcPr>
          <w:p>
            <w:pPr>
              <w:tabs>
                <w:tab w:val="left" w:pos="1620"/>
              </w:tabs>
              <w:spacing w:line="400" w:lineRule="exact"/>
              <w:rPr>
                <w:rFonts w:ascii="宋体" w:hAnsi="宋体" w:cs="宋体"/>
                <w:sz w:val="18"/>
                <w:szCs w:val="18"/>
              </w:rPr>
            </w:pPr>
            <w:r>
              <w:rPr>
                <w:rFonts w:hint="eastAsia" w:ascii="宋体" w:hAnsi="宋体" w:cs="宋体"/>
                <w:sz w:val="18"/>
                <w:szCs w:val="18"/>
                <w:lang w:bidi="ar"/>
              </w:rPr>
              <w:t>三维成像</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sz w:val="18"/>
                <w:szCs w:val="18"/>
              </w:rPr>
            </w:pPr>
            <w:r>
              <w:rPr>
                <w:rFonts w:hint="eastAsia" w:ascii="宋体" w:hAnsi="宋体" w:cs="宋体"/>
                <w:sz w:val="18"/>
                <w:szCs w:val="18"/>
                <w:lang w:bidi="ar"/>
              </w:rPr>
              <w:t>16</w:t>
            </w:r>
          </w:p>
        </w:tc>
        <w:tc>
          <w:tcPr>
            <w:tcW w:w="3898" w:type="dxa"/>
            <w:tcBorders>
              <w:tl2br w:val="nil"/>
              <w:tr2bl w:val="nil"/>
            </w:tcBorders>
            <w:shd w:val="clear" w:color="auto" w:fill="auto"/>
            <w:vAlign w:val="center"/>
          </w:tcPr>
          <w:p>
            <w:pPr>
              <w:tabs>
                <w:tab w:val="left" w:pos="1620"/>
              </w:tabs>
              <w:spacing w:line="400" w:lineRule="exact"/>
              <w:rPr>
                <w:rFonts w:ascii="宋体" w:hAnsi="宋体" w:cs="宋体"/>
                <w:sz w:val="18"/>
                <w:szCs w:val="18"/>
              </w:rPr>
            </w:pPr>
            <w:r>
              <w:rPr>
                <w:rFonts w:hint="eastAsia" w:ascii="宋体" w:hAnsi="宋体" w:cs="宋体"/>
                <w:sz w:val="18"/>
                <w:szCs w:val="18"/>
                <w:lang w:bidi="ar"/>
              </w:rPr>
              <w:t>多块三维</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sz w:val="18"/>
                <w:szCs w:val="18"/>
              </w:rPr>
            </w:pPr>
            <w:r>
              <w:rPr>
                <w:rFonts w:hint="eastAsia" w:ascii="宋体" w:hAnsi="宋体" w:cs="宋体"/>
                <w:sz w:val="18"/>
                <w:szCs w:val="18"/>
                <w:lang w:bidi="ar"/>
              </w:rPr>
              <w:t>17</w:t>
            </w:r>
          </w:p>
        </w:tc>
        <w:tc>
          <w:tcPr>
            <w:tcW w:w="3898" w:type="dxa"/>
            <w:tcBorders>
              <w:tl2br w:val="nil"/>
              <w:tr2bl w:val="nil"/>
            </w:tcBorders>
            <w:shd w:val="clear" w:color="auto" w:fill="auto"/>
            <w:vAlign w:val="center"/>
          </w:tcPr>
          <w:p>
            <w:pPr>
              <w:tabs>
                <w:tab w:val="left" w:pos="1620"/>
              </w:tabs>
              <w:spacing w:line="400" w:lineRule="exact"/>
              <w:rPr>
                <w:rFonts w:ascii="宋体" w:hAnsi="宋体" w:cs="宋体"/>
                <w:sz w:val="18"/>
                <w:szCs w:val="18"/>
              </w:rPr>
            </w:pPr>
            <w:r>
              <w:rPr>
                <w:rFonts w:hint="eastAsia" w:ascii="宋体" w:hAnsi="宋体" w:cs="宋体"/>
                <w:sz w:val="18"/>
                <w:szCs w:val="18"/>
                <w:lang w:bidi="ar"/>
              </w:rPr>
              <w:t>多叠三维</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sz w:val="18"/>
                <w:szCs w:val="18"/>
              </w:rPr>
            </w:pPr>
            <w:r>
              <w:rPr>
                <w:rFonts w:hint="eastAsia" w:ascii="宋体" w:hAnsi="宋体" w:cs="宋体"/>
                <w:sz w:val="18"/>
                <w:szCs w:val="18"/>
                <w:lang w:bidi="ar"/>
              </w:rPr>
              <w:t>18</w:t>
            </w:r>
          </w:p>
        </w:tc>
        <w:tc>
          <w:tcPr>
            <w:tcW w:w="3898" w:type="dxa"/>
            <w:tcBorders>
              <w:tl2br w:val="nil"/>
              <w:tr2bl w:val="nil"/>
            </w:tcBorders>
            <w:shd w:val="clear" w:color="auto" w:fill="auto"/>
            <w:vAlign w:val="center"/>
          </w:tcPr>
          <w:p>
            <w:pPr>
              <w:tabs>
                <w:tab w:val="left" w:pos="1620"/>
              </w:tabs>
              <w:spacing w:line="400" w:lineRule="exact"/>
              <w:rPr>
                <w:rFonts w:ascii="宋体" w:hAnsi="宋体" w:cs="宋体"/>
                <w:sz w:val="18"/>
                <w:szCs w:val="18"/>
              </w:rPr>
            </w:pPr>
            <w:r>
              <w:rPr>
                <w:rFonts w:hint="eastAsia" w:ascii="宋体" w:hAnsi="宋体" w:cs="宋体"/>
                <w:sz w:val="18"/>
                <w:szCs w:val="18"/>
                <w:lang w:bidi="ar"/>
              </w:rPr>
              <w:t>智能化K空间快门成像</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sz w:val="18"/>
                <w:szCs w:val="18"/>
              </w:rPr>
            </w:pPr>
            <w:r>
              <w:rPr>
                <w:rFonts w:hint="eastAsia" w:ascii="宋体" w:hAnsi="宋体" w:cs="宋体"/>
                <w:sz w:val="18"/>
                <w:szCs w:val="18"/>
                <w:lang w:bidi="ar"/>
              </w:rPr>
              <w:t>19</w:t>
            </w:r>
          </w:p>
        </w:tc>
        <w:tc>
          <w:tcPr>
            <w:tcW w:w="3898" w:type="dxa"/>
            <w:tcBorders>
              <w:tl2br w:val="nil"/>
              <w:tr2bl w:val="nil"/>
            </w:tcBorders>
            <w:shd w:val="clear" w:color="auto" w:fill="auto"/>
            <w:vAlign w:val="center"/>
          </w:tcPr>
          <w:p>
            <w:pPr>
              <w:tabs>
                <w:tab w:val="left" w:pos="1620"/>
              </w:tabs>
              <w:spacing w:line="400" w:lineRule="exact"/>
              <w:rPr>
                <w:rFonts w:ascii="宋体" w:hAnsi="宋体" w:cs="宋体"/>
                <w:sz w:val="18"/>
                <w:szCs w:val="18"/>
              </w:rPr>
            </w:pPr>
            <w:r>
              <w:rPr>
                <w:rFonts w:hint="eastAsia" w:ascii="宋体" w:hAnsi="宋体" w:cs="宋体"/>
                <w:sz w:val="18"/>
                <w:szCs w:val="18"/>
                <w:lang w:bidi="ar"/>
              </w:rPr>
              <w:t>磁化转移对比</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sz w:val="18"/>
                <w:szCs w:val="18"/>
              </w:rPr>
            </w:pPr>
            <w:r>
              <w:rPr>
                <w:rFonts w:hint="eastAsia" w:ascii="宋体" w:hAnsi="宋体" w:cs="宋体"/>
                <w:sz w:val="18"/>
                <w:szCs w:val="18"/>
                <w:lang w:bidi="ar"/>
              </w:rPr>
              <w:t>20</w:t>
            </w:r>
          </w:p>
        </w:tc>
        <w:tc>
          <w:tcPr>
            <w:tcW w:w="3898" w:type="dxa"/>
            <w:tcBorders>
              <w:tl2br w:val="nil"/>
              <w:tr2bl w:val="nil"/>
            </w:tcBorders>
            <w:shd w:val="clear" w:color="auto" w:fill="auto"/>
            <w:vAlign w:val="center"/>
          </w:tcPr>
          <w:p>
            <w:pPr>
              <w:tabs>
                <w:tab w:val="left" w:pos="1620"/>
              </w:tabs>
              <w:spacing w:line="400" w:lineRule="exact"/>
              <w:rPr>
                <w:rFonts w:ascii="宋体" w:hAnsi="宋体" w:cs="宋体"/>
                <w:sz w:val="18"/>
                <w:szCs w:val="18"/>
              </w:rPr>
            </w:pPr>
            <w:r>
              <w:rPr>
                <w:rFonts w:hint="eastAsia" w:ascii="宋体" w:hAnsi="宋体" w:cs="宋体"/>
                <w:sz w:val="18"/>
                <w:szCs w:val="18"/>
                <w:lang w:bidi="ar"/>
              </w:rPr>
              <w:t>单次激发EPI技术</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sz w:val="18"/>
                <w:szCs w:val="18"/>
              </w:rPr>
            </w:pPr>
            <w:r>
              <w:rPr>
                <w:rFonts w:hint="eastAsia" w:ascii="宋体" w:hAnsi="宋体" w:cs="宋体"/>
                <w:sz w:val="18"/>
                <w:szCs w:val="18"/>
                <w:lang w:bidi="ar"/>
              </w:rPr>
              <w:t>21</w:t>
            </w:r>
          </w:p>
        </w:tc>
        <w:tc>
          <w:tcPr>
            <w:tcW w:w="3898" w:type="dxa"/>
            <w:tcBorders>
              <w:tl2br w:val="nil"/>
              <w:tr2bl w:val="nil"/>
            </w:tcBorders>
            <w:shd w:val="clear" w:color="auto" w:fill="auto"/>
            <w:vAlign w:val="center"/>
          </w:tcPr>
          <w:p>
            <w:pPr>
              <w:tabs>
                <w:tab w:val="left" w:pos="1620"/>
              </w:tabs>
              <w:spacing w:line="400" w:lineRule="exact"/>
              <w:rPr>
                <w:rFonts w:ascii="宋体" w:hAnsi="宋体" w:cs="宋体"/>
                <w:sz w:val="18"/>
                <w:szCs w:val="18"/>
              </w:rPr>
            </w:pPr>
            <w:r>
              <w:rPr>
                <w:rFonts w:hint="eastAsia" w:ascii="宋体" w:hAnsi="宋体" w:cs="宋体"/>
                <w:sz w:val="18"/>
                <w:szCs w:val="18"/>
                <w:lang w:bidi="ar"/>
              </w:rPr>
              <w:t>多次激发EPI技术</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sz w:val="18"/>
                <w:szCs w:val="18"/>
              </w:rPr>
            </w:pPr>
            <w:r>
              <w:rPr>
                <w:rFonts w:hint="eastAsia" w:ascii="宋体" w:hAnsi="宋体" w:cs="宋体"/>
                <w:sz w:val="18"/>
                <w:szCs w:val="18"/>
                <w:lang w:bidi="ar"/>
              </w:rPr>
              <w:t>22</w:t>
            </w:r>
          </w:p>
        </w:tc>
        <w:tc>
          <w:tcPr>
            <w:tcW w:w="3898" w:type="dxa"/>
            <w:tcBorders>
              <w:tl2br w:val="nil"/>
              <w:tr2bl w:val="nil"/>
            </w:tcBorders>
            <w:shd w:val="clear" w:color="auto" w:fill="auto"/>
            <w:vAlign w:val="center"/>
          </w:tcPr>
          <w:p>
            <w:pPr>
              <w:tabs>
                <w:tab w:val="left" w:pos="1620"/>
              </w:tabs>
              <w:spacing w:line="400" w:lineRule="exact"/>
              <w:rPr>
                <w:rFonts w:ascii="宋体" w:hAnsi="宋体" w:cs="宋体"/>
                <w:sz w:val="18"/>
                <w:szCs w:val="18"/>
              </w:rPr>
            </w:pPr>
            <w:r>
              <w:rPr>
                <w:rFonts w:hint="eastAsia" w:ascii="宋体" w:hAnsi="宋体" w:cs="宋体"/>
                <w:sz w:val="18"/>
                <w:szCs w:val="18"/>
                <w:lang w:bidi="ar"/>
              </w:rPr>
              <w:t xml:space="preserve">流入法血管造影 </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sz w:val="18"/>
                <w:szCs w:val="18"/>
              </w:rPr>
            </w:pPr>
            <w:r>
              <w:rPr>
                <w:rFonts w:hint="eastAsia" w:ascii="宋体" w:hAnsi="宋体" w:cs="宋体"/>
                <w:sz w:val="18"/>
                <w:szCs w:val="18"/>
                <w:lang w:bidi="ar"/>
              </w:rPr>
              <w:t>23</w:t>
            </w:r>
          </w:p>
        </w:tc>
        <w:tc>
          <w:tcPr>
            <w:tcW w:w="3898" w:type="dxa"/>
            <w:tcBorders>
              <w:tl2br w:val="nil"/>
              <w:tr2bl w:val="nil"/>
            </w:tcBorders>
            <w:shd w:val="clear" w:color="auto" w:fill="auto"/>
            <w:vAlign w:val="center"/>
          </w:tcPr>
          <w:p>
            <w:pPr>
              <w:tabs>
                <w:tab w:val="left" w:pos="1620"/>
              </w:tabs>
              <w:spacing w:line="400" w:lineRule="exact"/>
              <w:rPr>
                <w:rFonts w:ascii="宋体" w:hAnsi="宋体" w:cs="宋体"/>
                <w:sz w:val="18"/>
                <w:szCs w:val="18"/>
              </w:rPr>
            </w:pPr>
            <w:r>
              <w:rPr>
                <w:rFonts w:hint="eastAsia" w:ascii="宋体" w:hAnsi="宋体" w:cs="宋体"/>
                <w:sz w:val="18"/>
                <w:szCs w:val="18"/>
                <w:lang w:bidi="ar"/>
              </w:rPr>
              <w:t>快速流入法血管造影</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sz w:val="18"/>
                <w:szCs w:val="18"/>
              </w:rPr>
            </w:pPr>
            <w:r>
              <w:rPr>
                <w:rFonts w:hint="eastAsia" w:ascii="宋体" w:hAnsi="宋体" w:cs="宋体"/>
                <w:sz w:val="18"/>
                <w:szCs w:val="18"/>
                <w:lang w:bidi="ar"/>
              </w:rPr>
              <w:t>24</w:t>
            </w:r>
          </w:p>
        </w:tc>
        <w:tc>
          <w:tcPr>
            <w:tcW w:w="3898" w:type="dxa"/>
            <w:tcBorders>
              <w:tl2br w:val="nil"/>
              <w:tr2bl w:val="nil"/>
            </w:tcBorders>
            <w:shd w:val="clear" w:color="auto" w:fill="auto"/>
            <w:vAlign w:val="center"/>
          </w:tcPr>
          <w:p>
            <w:pPr>
              <w:tabs>
                <w:tab w:val="left" w:pos="1620"/>
              </w:tabs>
              <w:spacing w:line="400" w:lineRule="exact"/>
              <w:rPr>
                <w:rFonts w:ascii="宋体" w:hAnsi="宋体" w:cs="宋体"/>
                <w:sz w:val="18"/>
                <w:szCs w:val="18"/>
              </w:rPr>
            </w:pPr>
            <w:r>
              <w:rPr>
                <w:rFonts w:hint="eastAsia" w:ascii="宋体" w:hAnsi="宋体" w:cs="宋体"/>
                <w:sz w:val="18"/>
                <w:szCs w:val="18"/>
                <w:lang w:bidi="ar"/>
              </w:rPr>
              <w:t xml:space="preserve">造影剂增强MRA </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sz w:val="18"/>
                <w:szCs w:val="18"/>
              </w:rPr>
            </w:pPr>
            <w:r>
              <w:rPr>
                <w:rFonts w:hint="eastAsia" w:ascii="宋体" w:hAnsi="宋体" w:cs="宋体"/>
                <w:sz w:val="18"/>
                <w:szCs w:val="18"/>
                <w:lang w:bidi="ar"/>
              </w:rPr>
              <w:t>25</w:t>
            </w:r>
          </w:p>
        </w:tc>
        <w:tc>
          <w:tcPr>
            <w:tcW w:w="3898" w:type="dxa"/>
            <w:tcBorders>
              <w:tl2br w:val="nil"/>
              <w:tr2bl w:val="nil"/>
            </w:tcBorders>
            <w:shd w:val="clear" w:color="auto" w:fill="auto"/>
            <w:vAlign w:val="center"/>
          </w:tcPr>
          <w:p>
            <w:pPr>
              <w:tabs>
                <w:tab w:val="left" w:pos="1620"/>
              </w:tabs>
              <w:spacing w:line="400" w:lineRule="exact"/>
              <w:rPr>
                <w:rFonts w:ascii="宋体" w:hAnsi="宋体" w:cs="宋体"/>
                <w:sz w:val="18"/>
                <w:szCs w:val="18"/>
              </w:rPr>
            </w:pPr>
            <w:r>
              <w:rPr>
                <w:rFonts w:hint="eastAsia" w:ascii="宋体" w:hAnsi="宋体" w:cs="宋体"/>
                <w:sz w:val="18"/>
                <w:szCs w:val="18"/>
                <w:lang w:bidi="ar"/>
              </w:rPr>
              <w:t>倾角优化非饱和激发技术</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sz w:val="18"/>
                <w:szCs w:val="18"/>
              </w:rPr>
            </w:pPr>
            <w:r>
              <w:rPr>
                <w:rFonts w:hint="eastAsia" w:ascii="宋体" w:hAnsi="宋体" w:cs="宋体"/>
                <w:sz w:val="18"/>
                <w:szCs w:val="18"/>
                <w:lang w:bidi="ar"/>
              </w:rPr>
              <w:t>26</w:t>
            </w:r>
          </w:p>
        </w:tc>
        <w:tc>
          <w:tcPr>
            <w:tcW w:w="3898" w:type="dxa"/>
            <w:tcBorders>
              <w:tl2br w:val="nil"/>
              <w:tr2bl w:val="nil"/>
            </w:tcBorders>
            <w:shd w:val="clear" w:color="auto" w:fill="auto"/>
            <w:vAlign w:val="center"/>
          </w:tcPr>
          <w:p>
            <w:pPr>
              <w:tabs>
                <w:tab w:val="left" w:pos="1620"/>
              </w:tabs>
              <w:spacing w:line="400" w:lineRule="exact"/>
              <w:rPr>
                <w:rFonts w:ascii="宋体" w:hAnsi="宋体" w:cs="宋体"/>
                <w:sz w:val="18"/>
                <w:szCs w:val="18"/>
              </w:rPr>
            </w:pPr>
            <w:r>
              <w:rPr>
                <w:rFonts w:hint="eastAsia" w:ascii="宋体" w:hAnsi="宋体" w:cs="宋体"/>
                <w:sz w:val="18"/>
                <w:szCs w:val="18"/>
                <w:lang w:bidi="ar"/>
              </w:rPr>
              <w:t>相位对比血管造影</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sz w:val="18"/>
                <w:szCs w:val="18"/>
              </w:rPr>
            </w:pPr>
            <w:r>
              <w:rPr>
                <w:rFonts w:hint="eastAsia" w:ascii="宋体" w:hAnsi="宋体" w:cs="宋体"/>
                <w:sz w:val="18"/>
                <w:szCs w:val="18"/>
                <w:lang w:bidi="ar"/>
              </w:rPr>
              <w:t>27</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快速相位对比血管造影</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sz w:val="18"/>
                <w:szCs w:val="18"/>
              </w:rPr>
            </w:pPr>
            <w:r>
              <w:rPr>
                <w:rFonts w:hint="eastAsia" w:ascii="宋体" w:hAnsi="宋体" w:cs="宋体"/>
                <w:sz w:val="18"/>
                <w:szCs w:val="18"/>
                <w:lang w:bidi="ar"/>
              </w:rPr>
              <w:t>28</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伪影消除技术, 包括:</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提供</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sz w:val="18"/>
                <w:szCs w:val="18"/>
              </w:rPr>
            </w:pPr>
            <w:r>
              <w:rPr>
                <w:rFonts w:hint="eastAsia" w:ascii="宋体" w:hAnsi="宋体" w:cs="宋体"/>
                <w:sz w:val="18"/>
                <w:szCs w:val="18"/>
                <w:lang w:bidi="ar"/>
              </w:rPr>
              <w:t>28.1</w:t>
            </w:r>
          </w:p>
        </w:tc>
        <w:tc>
          <w:tcPr>
            <w:tcW w:w="3898" w:type="dxa"/>
            <w:tcBorders>
              <w:tl2br w:val="nil"/>
              <w:tr2bl w:val="nil"/>
            </w:tcBorders>
            <w:shd w:val="clear" w:color="auto" w:fill="auto"/>
            <w:vAlign w:val="center"/>
          </w:tcPr>
          <w:p>
            <w:pPr>
              <w:tabs>
                <w:tab w:val="left" w:pos="1620"/>
              </w:tabs>
              <w:spacing w:line="400" w:lineRule="exact"/>
              <w:rPr>
                <w:rFonts w:ascii="宋体" w:hAnsi="宋体" w:cs="宋体"/>
                <w:sz w:val="18"/>
                <w:szCs w:val="18"/>
              </w:rPr>
            </w:pPr>
            <w:r>
              <w:rPr>
                <w:rFonts w:hint="eastAsia" w:ascii="宋体" w:hAnsi="宋体" w:cs="宋体"/>
                <w:sz w:val="18"/>
                <w:szCs w:val="18"/>
                <w:lang w:bidi="ar"/>
              </w:rPr>
              <w:t>恒定信号技术</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28.2</w:t>
            </w:r>
          </w:p>
        </w:tc>
        <w:tc>
          <w:tcPr>
            <w:tcW w:w="3898" w:type="dxa"/>
            <w:tcBorders>
              <w:tl2br w:val="nil"/>
              <w:tr2bl w:val="nil"/>
            </w:tcBorders>
            <w:shd w:val="clear" w:color="auto" w:fill="auto"/>
            <w:vAlign w:val="center"/>
          </w:tcPr>
          <w:p>
            <w:pPr>
              <w:tabs>
                <w:tab w:val="left" w:pos="1620"/>
              </w:tabs>
              <w:spacing w:line="400" w:lineRule="exact"/>
              <w:rPr>
                <w:rFonts w:ascii="宋体" w:hAnsi="宋体" w:cs="宋体"/>
                <w:sz w:val="18"/>
                <w:szCs w:val="18"/>
              </w:rPr>
            </w:pPr>
            <w:r>
              <w:rPr>
                <w:rFonts w:hint="eastAsia" w:ascii="宋体" w:hAnsi="宋体" w:cs="宋体"/>
                <w:caps/>
                <w:sz w:val="18"/>
                <w:szCs w:val="18"/>
                <w:lang w:bidi="ar"/>
              </w:rPr>
              <w:t>流动校正梯度波形技术</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28.3</w:t>
            </w:r>
          </w:p>
        </w:tc>
        <w:tc>
          <w:tcPr>
            <w:tcW w:w="3898" w:type="dxa"/>
            <w:tcBorders>
              <w:tl2br w:val="nil"/>
              <w:tr2bl w:val="nil"/>
            </w:tcBorders>
            <w:shd w:val="clear" w:color="auto" w:fill="auto"/>
            <w:vAlign w:val="center"/>
          </w:tcPr>
          <w:p>
            <w:pPr>
              <w:tabs>
                <w:tab w:val="left" w:pos="1620"/>
              </w:tabs>
              <w:spacing w:line="400" w:lineRule="exact"/>
              <w:rPr>
                <w:rFonts w:ascii="宋体" w:hAnsi="宋体" w:cs="宋体"/>
                <w:sz w:val="18"/>
                <w:szCs w:val="18"/>
              </w:rPr>
            </w:pPr>
            <w:r>
              <w:rPr>
                <w:rFonts w:hint="eastAsia" w:ascii="宋体" w:hAnsi="宋体" w:cs="宋体"/>
                <w:sz w:val="18"/>
                <w:szCs w:val="18"/>
                <w:lang w:bidi="ar"/>
              </w:rPr>
              <w:t>区域饱和技术</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28.4</w:t>
            </w:r>
          </w:p>
        </w:tc>
        <w:tc>
          <w:tcPr>
            <w:tcW w:w="3898" w:type="dxa"/>
            <w:tcBorders>
              <w:tl2br w:val="nil"/>
              <w:tr2bl w:val="nil"/>
            </w:tcBorders>
            <w:shd w:val="clear" w:color="auto" w:fill="auto"/>
            <w:vAlign w:val="center"/>
          </w:tcPr>
          <w:p>
            <w:pPr>
              <w:tabs>
                <w:tab w:val="left" w:pos="1620"/>
              </w:tabs>
              <w:spacing w:line="400" w:lineRule="exact"/>
              <w:rPr>
                <w:rFonts w:ascii="宋体" w:hAnsi="宋体" w:cs="宋体"/>
                <w:sz w:val="18"/>
                <w:szCs w:val="18"/>
              </w:rPr>
            </w:pPr>
            <w:r>
              <w:rPr>
                <w:rFonts w:hint="eastAsia" w:ascii="宋体" w:hAnsi="宋体" w:cs="宋体"/>
                <w:sz w:val="18"/>
                <w:szCs w:val="18"/>
                <w:lang w:bidi="ar"/>
              </w:rPr>
              <w:t xml:space="preserve">卷积伪影去除技术  </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28.5</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 xml:space="preserve">周边脉动触发技术  </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28.6</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呼吸触发技术</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28.7</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减少呼吸运动伪影不增加扫描时间技术</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28.8</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智能伪影消除技术</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28.9</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手动启动和停止</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sz w:val="18"/>
                <w:szCs w:val="18"/>
              </w:rPr>
            </w:pPr>
            <w:r>
              <w:rPr>
                <w:rFonts w:hint="eastAsia" w:ascii="宋体" w:hAnsi="宋体" w:cs="宋体"/>
                <w:sz w:val="18"/>
                <w:szCs w:val="18"/>
                <w:lang w:bidi="ar"/>
              </w:rPr>
              <w:t>29</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节时技术,包括：</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sz w:val="18"/>
                <w:szCs w:val="18"/>
              </w:rPr>
            </w:pPr>
            <w:r>
              <w:rPr>
                <w:rFonts w:hint="eastAsia" w:ascii="宋体" w:hAnsi="宋体" w:cs="宋体"/>
                <w:sz w:val="18"/>
                <w:szCs w:val="18"/>
                <w:lang w:bidi="ar"/>
              </w:rPr>
              <w:t>29.1</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半扫描技术</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sz w:val="18"/>
                <w:szCs w:val="18"/>
              </w:rPr>
            </w:pPr>
            <w:r>
              <w:rPr>
                <w:rFonts w:hint="eastAsia" w:ascii="宋体" w:hAnsi="宋体" w:cs="宋体"/>
                <w:sz w:val="18"/>
                <w:szCs w:val="18"/>
                <w:lang w:bidi="ar"/>
              </w:rPr>
              <w:t xml:space="preserve">29.2 </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部分扫描采集技术</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29.3</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矩形视野采集技术</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29.4</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三维重叠连续采集技术</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29.5</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预备相位极小化扫描技术</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sz w:val="18"/>
                <w:szCs w:val="18"/>
              </w:rPr>
            </w:pPr>
            <w:r>
              <w:rPr>
                <w:rFonts w:hint="eastAsia" w:ascii="宋体" w:hAnsi="宋体" w:cs="宋体"/>
                <w:sz w:val="18"/>
                <w:szCs w:val="18"/>
                <w:lang w:bidi="ar"/>
              </w:rPr>
              <w:t>30</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神经系统成像技术,包括:</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sz w:val="18"/>
                <w:szCs w:val="18"/>
              </w:rPr>
            </w:pPr>
            <w:r>
              <w:rPr>
                <w:rFonts w:hint="eastAsia" w:ascii="宋体" w:hAnsi="宋体" w:cs="宋体"/>
                <w:sz w:val="18"/>
                <w:szCs w:val="18"/>
                <w:lang w:bidi="ar"/>
              </w:rPr>
              <w:t>30.1</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高分辨解剖成像</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30.2</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脊髓成像</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30.3</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脑脊液抑制技术</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30.4</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脂肪抑制</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30.5</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灰、白质最佳显示成像</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30.6</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弥散成像技术，包括:</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30.7</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ADC成像</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30.8</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各向同性采集</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30.9</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各向异性采集</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30.10</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一次扫描完成三弥散方向采集</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bCs/>
                <w:sz w:val="18"/>
                <w:szCs w:val="18"/>
              </w:rPr>
            </w:pPr>
            <w:r>
              <w:rPr>
                <w:rFonts w:hint="eastAsia" w:ascii="宋体" w:hAnsi="宋体" w:cs="宋体"/>
                <w:sz w:val="18"/>
                <w:szCs w:val="18"/>
                <w:lang w:bidi="ar"/>
              </w:rPr>
              <w:t>30.11</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bCs/>
                <w:sz w:val="18"/>
                <w:szCs w:val="18"/>
                <w:lang w:bidi="ar"/>
              </w:rPr>
              <w:t>灌注成像技术,包括:</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30.11.1</w:t>
            </w:r>
          </w:p>
        </w:tc>
        <w:tc>
          <w:tcPr>
            <w:tcW w:w="3898" w:type="dxa"/>
            <w:tcBorders>
              <w:tl2br w:val="nil"/>
              <w:tr2bl w:val="nil"/>
            </w:tcBorders>
            <w:shd w:val="clear" w:color="auto" w:fill="auto"/>
            <w:vAlign w:val="center"/>
          </w:tcPr>
          <w:p>
            <w:pPr>
              <w:tabs>
                <w:tab w:val="left" w:pos="1620"/>
              </w:tabs>
              <w:spacing w:line="400" w:lineRule="exact"/>
              <w:rPr>
                <w:rFonts w:ascii="宋体" w:hAnsi="宋体" w:cs="宋体"/>
                <w:sz w:val="18"/>
                <w:szCs w:val="18"/>
              </w:rPr>
            </w:pPr>
            <w:r>
              <w:rPr>
                <w:rFonts w:hint="eastAsia" w:ascii="宋体" w:hAnsi="宋体" w:cs="宋体"/>
                <w:sz w:val="18"/>
                <w:szCs w:val="18"/>
                <w:lang w:bidi="ar"/>
              </w:rPr>
              <w:t>线上计算血流动态图</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30.11.2</w:t>
            </w:r>
          </w:p>
        </w:tc>
        <w:tc>
          <w:tcPr>
            <w:tcW w:w="3898" w:type="dxa"/>
            <w:tcBorders>
              <w:tl2br w:val="nil"/>
              <w:tr2bl w:val="nil"/>
            </w:tcBorders>
            <w:shd w:val="clear" w:color="auto" w:fill="auto"/>
            <w:vAlign w:val="center"/>
          </w:tcPr>
          <w:p>
            <w:pPr>
              <w:tabs>
                <w:tab w:val="left" w:pos="1620"/>
              </w:tabs>
              <w:spacing w:line="400" w:lineRule="exact"/>
              <w:rPr>
                <w:rFonts w:ascii="宋体" w:hAnsi="宋体" w:cs="宋体"/>
                <w:sz w:val="18"/>
                <w:szCs w:val="18"/>
              </w:rPr>
            </w:pPr>
            <w:r>
              <w:rPr>
                <w:rFonts w:hint="eastAsia" w:ascii="宋体" w:hAnsi="宋体" w:cs="宋体"/>
                <w:sz w:val="18"/>
                <w:szCs w:val="18"/>
                <w:lang w:bidi="ar"/>
              </w:rPr>
              <w:t>平均通过时间</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30.11.3</w:t>
            </w:r>
          </w:p>
        </w:tc>
        <w:tc>
          <w:tcPr>
            <w:tcW w:w="3898" w:type="dxa"/>
            <w:tcBorders>
              <w:tl2br w:val="nil"/>
              <w:tr2bl w:val="nil"/>
            </w:tcBorders>
            <w:shd w:val="clear" w:color="auto" w:fill="auto"/>
            <w:vAlign w:val="center"/>
          </w:tcPr>
          <w:p>
            <w:pPr>
              <w:tabs>
                <w:tab w:val="left" w:pos="1620"/>
              </w:tabs>
              <w:spacing w:line="400" w:lineRule="exact"/>
              <w:rPr>
                <w:rFonts w:ascii="宋体" w:hAnsi="宋体" w:cs="宋体"/>
                <w:sz w:val="18"/>
                <w:szCs w:val="18"/>
              </w:rPr>
            </w:pPr>
            <w:r>
              <w:rPr>
                <w:rFonts w:hint="eastAsia" w:ascii="宋体" w:hAnsi="宋体" w:cs="宋体"/>
                <w:sz w:val="18"/>
                <w:szCs w:val="18"/>
                <w:lang w:bidi="ar"/>
              </w:rPr>
              <w:t>到达峰值时间</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30.11.4</w:t>
            </w:r>
          </w:p>
        </w:tc>
        <w:tc>
          <w:tcPr>
            <w:tcW w:w="3898" w:type="dxa"/>
            <w:tcBorders>
              <w:tl2br w:val="nil"/>
              <w:tr2bl w:val="nil"/>
            </w:tcBorders>
            <w:shd w:val="clear" w:color="auto" w:fill="auto"/>
            <w:vAlign w:val="center"/>
          </w:tcPr>
          <w:p>
            <w:pPr>
              <w:tabs>
                <w:tab w:val="left" w:pos="1620"/>
              </w:tabs>
              <w:spacing w:line="400" w:lineRule="exact"/>
              <w:rPr>
                <w:rFonts w:ascii="宋体" w:hAnsi="宋体" w:cs="宋体"/>
                <w:sz w:val="18"/>
                <w:szCs w:val="18"/>
              </w:rPr>
            </w:pPr>
            <w:r>
              <w:rPr>
                <w:rFonts w:hint="eastAsia" w:ascii="宋体" w:hAnsi="宋体" w:cs="宋体"/>
                <w:sz w:val="18"/>
                <w:szCs w:val="18"/>
                <w:lang w:bidi="ar"/>
              </w:rPr>
              <w:t>负积分图</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30.11.5</w:t>
            </w:r>
          </w:p>
        </w:tc>
        <w:tc>
          <w:tcPr>
            <w:tcW w:w="3898" w:type="dxa"/>
            <w:tcBorders>
              <w:tl2br w:val="nil"/>
              <w:tr2bl w:val="nil"/>
            </w:tcBorders>
            <w:shd w:val="clear" w:color="auto" w:fill="auto"/>
            <w:vAlign w:val="center"/>
          </w:tcPr>
          <w:p>
            <w:pPr>
              <w:tabs>
                <w:tab w:val="left" w:pos="1620"/>
              </w:tabs>
              <w:spacing w:line="400" w:lineRule="exact"/>
              <w:rPr>
                <w:rFonts w:ascii="宋体" w:hAnsi="宋体" w:cs="宋体"/>
                <w:sz w:val="18"/>
                <w:szCs w:val="18"/>
              </w:rPr>
            </w:pPr>
            <w:r>
              <w:rPr>
                <w:rFonts w:hint="eastAsia" w:ascii="宋体" w:hAnsi="宋体" w:cs="宋体"/>
                <w:sz w:val="18"/>
                <w:szCs w:val="18"/>
                <w:lang w:bidi="ar"/>
              </w:rPr>
              <w:t>索引图</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tabs>
                <w:tab w:val="left" w:pos="1620"/>
              </w:tabs>
              <w:spacing w:line="400" w:lineRule="exact"/>
              <w:ind w:firstLine="426" w:firstLineChars="237"/>
              <w:rPr>
                <w:rFonts w:ascii="宋体" w:hAnsi="宋体" w:cs="宋体"/>
                <w:b/>
                <w:bCs/>
                <w:sz w:val="18"/>
                <w:szCs w:val="18"/>
              </w:rPr>
            </w:pPr>
            <w:r>
              <w:rPr>
                <w:rFonts w:hint="eastAsia" w:ascii="宋体" w:hAnsi="宋体" w:cs="宋体"/>
                <w:sz w:val="18"/>
                <w:szCs w:val="18"/>
                <w:lang w:bidi="ar"/>
              </w:rPr>
              <w:t>31</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心血管成像技术,包括：</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sz w:val="18"/>
                <w:szCs w:val="18"/>
              </w:rPr>
            </w:pPr>
            <w:r>
              <w:rPr>
                <w:rFonts w:hint="eastAsia" w:ascii="宋体" w:hAnsi="宋体" w:cs="宋体"/>
                <w:sz w:val="18"/>
                <w:szCs w:val="18"/>
                <w:lang w:bidi="ar"/>
              </w:rPr>
              <w:t>31.1</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2D/3D时飞法技术</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31.2</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连续多层3D时飞法技术</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31.3</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门控流入技术</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31.4</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2D/3D相位对比技术</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31.5</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相位对比MRA技术</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31.6</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磁化传递(MTC法)血管造影</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pacing w:val="-20"/>
                <w:sz w:val="18"/>
                <w:szCs w:val="18"/>
              </w:rPr>
            </w:pPr>
            <w:r>
              <w:rPr>
                <w:rFonts w:hint="eastAsia" w:ascii="宋体" w:hAnsi="宋体" w:cs="宋体"/>
                <w:sz w:val="18"/>
                <w:szCs w:val="18"/>
                <w:lang w:bidi="ar"/>
              </w:rPr>
              <w:t>31.7</w:t>
            </w:r>
          </w:p>
        </w:tc>
        <w:tc>
          <w:tcPr>
            <w:tcW w:w="3898" w:type="dxa"/>
            <w:tcBorders>
              <w:tl2br w:val="nil"/>
              <w:tr2bl w:val="nil"/>
            </w:tcBorders>
            <w:shd w:val="clear" w:color="auto" w:fill="auto"/>
            <w:vAlign w:val="center"/>
          </w:tcPr>
          <w:p>
            <w:pPr>
              <w:spacing w:line="400" w:lineRule="exact"/>
              <w:jc w:val="left"/>
              <w:rPr>
                <w:rFonts w:ascii="宋体" w:hAnsi="宋体" w:cs="宋体"/>
                <w:sz w:val="18"/>
                <w:szCs w:val="18"/>
              </w:rPr>
            </w:pPr>
            <w:r>
              <w:rPr>
                <w:rFonts w:hint="eastAsia" w:ascii="宋体" w:hAnsi="宋体" w:cs="宋体"/>
                <w:spacing w:val="-20"/>
                <w:sz w:val="18"/>
                <w:szCs w:val="18"/>
                <w:lang w:bidi="ar"/>
              </w:rPr>
              <w:t>智 能 化 实 时 透 视 减 影 造 影 剂 追 踪 血 管 成 像 技 术</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31.8</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智能化自动床移造影剂跟踪技术</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31.9</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3D多层重叠成像技术</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31.10</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可变反转角度射频技术</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31.11</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血管选择技术</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31.12</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最大强度投影技术</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31.13</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多层面重建技术</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31.14</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实时交互式血管图像处理</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31.15</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流量定量分析技术</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31.16</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高时间分辨率的血管成像</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31.17</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区域饱和技术</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31.18</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心脏成像白血、黑血技术</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31.19</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二维、三维多相位心脏电影成像</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31.20</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无线蓝牙传输呼吸门控</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31.21</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无线蓝牙传输外周门控</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31.22</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频率编码方向扩大采集</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31.23</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相位编码方向扩大采集</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31.24</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饱和带数目</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≥6</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31.25</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脂肪饱和技术</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sz w:val="18"/>
                <w:szCs w:val="18"/>
              </w:rPr>
            </w:pPr>
            <w:r>
              <w:rPr>
                <w:rFonts w:hint="eastAsia" w:ascii="宋体" w:hAnsi="宋体" w:cs="宋体"/>
                <w:sz w:val="18"/>
                <w:szCs w:val="18"/>
                <w:lang w:bidi="ar"/>
              </w:rPr>
              <w:t>32</w:t>
            </w:r>
          </w:p>
        </w:tc>
        <w:tc>
          <w:tcPr>
            <w:tcW w:w="3898" w:type="dxa"/>
            <w:tcBorders>
              <w:tl2br w:val="nil"/>
              <w:tr2bl w:val="nil"/>
            </w:tcBorders>
            <w:shd w:val="clear" w:color="auto" w:fill="auto"/>
            <w:vAlign w:val="center"/>
          </w:tcPr>
          <w:p>
            <w:pPr>
              <w:spacing w:line="400" w:lineRule="exact"/>
              <w:jc w:val="left"/>
              <w:rPr>
                <w:rFonts w:ascii="宋体" w:hAnsi="宋体" w:cs="宋体"/>
                <w:sz w:val="18"/>
                <w:szCs w:val="18"/>
              </w:rPr>
            </w:pPr>
            <w:r>
              <w:rPr>
                <w:rFonts w:hint="eastAsia" w:ascii="宋体" w:hAnsi="宋体" w:cs="宋体"/>
                <w:sz w:val="18"/>
                <w:szCs w:val="18"/>
                <w:lang w:bidi="ar"/>
              </w:rPr>
              <w:t>并行采集技术成像(dS-SENSE或者ASSET或者iPAT)</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kern w:val="0"/>
                <w:sz w:val="18"/>
                <w:szCs w:val="18"/>
              </w:rPr>
            </w:pPr>
            <w:r>
              <w:rPr>
                <w:rFonts w:hint="eastAsia" w:ascii="宋体" w:hAnsi="宋体" w:cs="宋体"/>
                <w:sz w:val="18"/>
                <w:szCs w:val="18"/>
                <w:lang w:bidi="ar"/>
              </w:rPr>
              <w:t>33</w:t>
            </w:r>
          </w:p>
        </w:tc>
        <w:tc>
          <w:tcPr>
            <w:tcW w:w="3898" w:type="dxa"/>
            <w:tcBorders>
              <w:tl2br w:val="nil"/>
              <w:tr2bl w:val="nil"/>
            </w:tcBorders>
            <w:shd w:val="clear" w:color="auto" w:fill="auto"/>
            <w:vAlign w:val="center"/>
          </w:tcPr>
          <w:p>
            <w:pPr>
              <w:widowControl/>
              <w:spacing w:line="400" w:lineRule="exact"/>
              <w:ind w:left="-9" w:leftChars="-41" w:hanging="77" w:hangingChars="43"/>
              <w:jc w:val="left"/>
              <w:rPr>
                <w:rFonts w:ascii="宋体" w:hAnsi="宋体" w:cs="宋体"/>
                <w:color w:val="000000"/>
                <w:sz w:val="18"/>
                <w:szCs w:val="18"/>
              </w:rPr>
            </w:pPr>
            <w:r>
              <w:rPr>
                <w:rFonts w:hint="eastAsia" w:ascii="宋体" w:hAnsi="宋体" w:cs="宋体"/>
                <w:kern w:val="0"/>
                <w:sz w:val="18"/>
                <w:szCs w:val="18"/>
                <w:lang w:bidi="ar"/>
              </w:rPr>
              <w:t>运动伪影校正技术（Propeller 3.0或者Blade或者Multivane）</w:t>
            </w:r>
          </w:p>
        </w:tc>
        <w:tc>
          <w:tcPr>
            <w:tcW w:w="3629" w:type="dxa"/>
            <w:tcBorders>
              <w:tl2br w:val="nil"/>
              <w:tr2bl w:val="nil"/>
            </w:tcBorders>
            <w:shd w:val="clear" w:color="auto" w:fill="auto"/>
            <w:vAlign w:val="center"/>
          </w:tcPr>
          <w:p>
            <w:pPr>
              <w:spacing w:line="400" w:lineRule="exact"/>
              <w:rPr>
                <w:rFonts w:ascii="宋体" w:hAnsi="宋体" w:cs="宋体"/>
                <w:color w:val="000000"/>
                <w:sz w:val="18"/>
                <w:szCs w:val="18"/>
                <w:lang w:bidi="ar"/>
              </w:rPr>
            </w:pPr>
            <w:r>
              <w:rPr>
                <w:rFonts w:hint="eastAsia" w:ascii="宋体" w:hAnsi="宋体" w:cs="宋体"/>
                <w:color w:val="000000"/>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color w:val="000000"/>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sz w:val="18"/>
                <w:szCs w:val="18"/>
              </w:rPr>
            </w:pPr>
            <w:r>
              <w:rPr>
                <w:rFonts w:hint="eastAsia" w:ascii="宋体" w:hAnsi="宋体" w:cs="宋体"/>
                <w:sz w:val="18"/>
                <w:szCs w:val="18"/>
                <w:lang w:bidi="ar"/>
              </w:rPr>
              <w:t>34</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水成像</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sz w:val="18"/>
                <w:szCs w:val="18"/>
              </w:rPr>
            </w:pPr>
            <w:r>
              <w:rPr>
                <w:rFonts w:hint="eastAsia" w:ascii="宋体" w:hAnsi="宋体" w:cs="宋体"/>
                <w:sz w:val="18"/>
                <w:szCs w:val="18"/>
                <w:lang w:bidi="ar"/>
              </w:rPr>
              <w:t>35</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信/噪指示器</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sz w:val="18"/>
                <w:szCs w:val="18"/>
              </w:rPr>
            </w:pPr>
            <w:r>
              <w:rPr>
                <w:rFonts w:hint="eastAsia" w:ascii="宋体" w:hAnsi="宋体" w:cs="宋体"/>
                <w:sz w:val="18"/>
                <w:szCs w:val="18"/>
                <w:lang w:bidi="ar"/>
              </w:rPr>
              <w:t>36</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预扫描技术</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18"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sz w:val="18"/>
                <w:szCs w:val="18"/>
              </w:rPr>
            </w:pPr>
            <w:r>
              <w:rPr>
                <w:rFonts w:hint="eastAsia" w:ascii="宋体" w:hAnsi="宋体" w:cs="宋体"/>
                <w:sz w:val="18"/>
                <w:szCs w:val="18"/>
                <w:lang w:bidi="ar"/>
              </w:rPr>
              <w:t>37</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高分辨采集及重建技术</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具备，1024*1024采集及重建矩阵</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18"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b/>
                <w:bCs/>
                <w:sz w:val="18"/>
                <w:szCs w:val="18"/>
              </w:rPr>
            </w:pPr>
            <w:r>
              <w:rPr>
                <w:rFonts w:hint="eastAsia" w:ascii="宋体" w:hAnsi="宋体" w:cs="宋体"/>
                <w:sz w:val="18"/>
                <w:szCs w:val="18"/>
                <w:lang w:bidi="ar"/>
              </w:rPr>
              <w:t>38</w:t>
            </w:r>
          </w:p>
        </w:tc>
        <w:tc>
          <w:tcPr>
            <w:tcW w:w="3898" w:type="dxa"/>
            <w:tcBorders>
              <w:tl2br w:val="nil"/>
              <w:tr2bl w:val="nil"/>
            </w:tcBorders>
            <w:shd w:val="clear" w:color="auto" w:fill="auto"/>
            <w:vAlign w:val="center"/>
          </w:tcPr>
          <w:p>
            <w:pPr>
              <w:tabs>
                <w:tab w:val="left" w:pos="1620"/>
              </w:tabs>
              <w:spacing w:line="400" w:lineRule="exact"/>
              <w:rPr>
                <w:rFonts w:ascii="宋体" w:hAnsi="宋体" w:cs="宋体"/>
                <w:b/>
                <w:bCs/>
                <w:sz w:val="18"/>
                <w:szCs w:val="18"/>
              </w:rPr>
            </w:pPr>
            <w:r>
              <w:rPr>
                <w:rFonts w:hint="eastAsia" w:ascii="宋体" w:hAnsi="宋体" w:cs="宋体"/>
                <w:color w:val="000000"/>
                <w:sz w:val="18"/>
                <w:szCs w:val="18"/>
                <w:lang w:bidi="ar"/>
              </w:rPr>
              <w:t>心电向量门控技术</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3"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color w:val="000000"/>
                <w:sz w:val="18"/>
                <w:szCs w:val="18"/>
              </w:rPr>
            </w:pPr>
            <w:r>
              <w:rPr>
                <w:rFonts w:hint="eastAsia" w:ascii="宋体" w:hAnsi="宋体" w:cs="宋体"/>
                <w:sz w:val="18"/>
                <w:szCs w:val="18"/>
                <w:lang w:bidi="ar"/>
              </w:rPr>
              <w:t>39</w:t>
            </w:r>
          </w:p>
        </w:tc>
        <w:tc>
          <w:tcPr>
            <w:tcW w:w="3898" w:type="dxa"/>
            <w:tcBorders>
              <w:tl2br w:val="nil"/>
              <w:tr2bl w:val="nil"/>
            </w:tcBorders>
            <w:shd w:val="clear" w:color="auto" w:fill="auto"/>
            <w:vAlign w:val="center"/>
          </w:tcPr>
          <w:p>
            <w:pPr>
              <w:tabs>
                <w:tab w:val="left" w:pos="1620"/>
              </w:tabs>
              <w:spacing w:line="400" w:lineRule="exact"/>
              <w:jc w:val="left"/>
              <w:rPr>
                <w:rFonts w:ascii="宋体" w:hAnsi="宋体" w:cs="宋体"/>
                <w:sz w:val="18"/>
                <w:szCs w:val="18"/>
              </w:rPr>
            </w:pPr>
            <w:r>
              <w:rPr>
                <w:rFonts w:hint="eastAsia" w:ascii="宋体" w:hAnsi="宋体" w:cs="宋体"/>
                <w:color w:val="000000"/>
                <w:sz w:val="18"/>
                <w:szCs w:val="18"/>
                <w:lang w:bidi="ar"/>
              </w:rPr>
              <w:t>3D腹部增强扫描，(VIBE</w:t>
            </w:r>
            <w:r>
              <w:rPr>
                <w:rFonts w:hint="eastAsia" w:ascii="宋体" w:hAnsi="宋体" w:cs="宋体"/>
                <w:sz w:val="18"/>
                <w:szCs w:val="18"/>
                <w:lang w:bidi="ar"/>
              </w:rPr>
              <w:t>或者</w:t>
            </w:r>
            <w:r>
              <w:rPr>
                <w:rFonts w:hint="eastAsia" w:ascii="宋体" w:hAnsi="宋体" w:cs="宋体"/>
                <w:color w:val="000000"/>
                <w:sz w:val="18"/>
                <w:szCs w:val="18"/>
                <w:lang w:bidi="ar"/>
              </w:rPr>
              <w:t>LAVA</w:t>
            </w:r>
            <w:r>
              <w:rPr>
                <w:rFonts w:hint="eastAsia" w:ascii="宋体" w:hAnsi="宋体" w:cs="宋体"/>
                <w:sz w:val="18"/>
                <w:szCs w:val="18"/>
                <w:lang w:bidi="ar"/>
              </w:rPr>
              <w:t>或者</w:t>
            </w:r>
            <w:r>
              <w:rPr>
                <w:rFonts w:hint="eastAsia" w:ascii="宋体" w:hAnsi="宋体" w:cs="宋体"/>
                <w:color w:val="000000"/>
                <w:sz w:val="18"/>
                <w:szCs w:val="18"/>
                <w:lang w:bidi="ar"/>
              </w:rPr>
              <w:t>Thrive)</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3"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color w:val="000000"/>
                <w:sz w:val="18"/>
                <w:szCs w:val="18"/>
              </w:rPr>
            </w:pPr>
            <w:r>
              <w:rPr>
                <w:rFonts w:hint="eastAsia" w:ascii="宋体" w:hAnsi="宋体" w:cs="宋体"/>
                <w:sz w:val="18"/>
                <w:szCs w:val="18"/>
                <w:lang w:bidi="ar"/>
              </w:rPr>
              <w:t>40</w:t>
            </w:r>
          </w:p>
        </w:tc>
        <w:tc>
          <w:tcPr>
            <w:tcW w:w="3898" w:type="dxa"/>
            <w:tcBorders>
              <w:tl2br w:val="nil"/>
              <w:tr2bl w:val="nil"/>
            </w:tcBorders>
            <w:shd w:val="clear" w:color="auto" w:fill="auto"/>
            <w:vAlign w:val="center"/>
          </w:tcPr>
          <w:p>
            <w:pPr>
              <w:tabs>
                <w:tab w:val="left" w:pos="1620"/>
              </w:tabs>
              <w:spacing w:line="400" w:lineRule="exact"/>
              <w:rPr>
                <w:rFonts w:ascii="宋体" w:hAnsi="宋体" w:cs="宋体"/>
                <w:sz w:val="18"/>
                <w:szCs w:val="18"/>
              </w:rPr>
            </w:pPr>
            <w:r>
              <w:rPr>
                <w:rFonts w:hint="eastAsia" w:ascii="宋体" w:hAnsi="宋体" w:cs="宋体"/>
                <w:color w:val="000000"/>
                <w:sz w:val="18"/>
                <w:szCs w:val="18"/>
                <w:lang w:bidi="ar"/>
              </w:rPr>
              <w:t>一键式扫描卡片</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3"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41</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背景抑制弥散(DWIBS或者REVEAL或者WB-DWI)</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3"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41.1</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直接冠状位采集背景抑制弥散，非横断位重建</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3"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42</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非造影增强外周血管成像</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3"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b/>
                <w:sz w:val="18"/>
                <w:szCs w:val="18"/>
              </w:rPr>
            </w:pPr>
            <w:r>
              <w:rPr>
                <w:rFonts w:hint="eastAsia" w:ascii="宋体" w:hAnsi="宋体" w:cs="宋体"/>
                <w:b/>
                <w:sz w:val="18"/>
                <w:szCs w:val="18"/>
                <w:lang w:bidi="ar"/>
              </w:rPr>
              <w:t>十</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b/>
                <w:sz w:val="18"/>
                <w:szCs w:val="18"/>
                <w:lang w:bidi="ar"/>
              </w:rPr>
              <w:t>高级功能成像</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3"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color w:val="000000"/>
                <w:sz w:val="18"/>
                <w:szCs w:val="18"/>
                <w:lang w:bidi="ar"/>
              </w:rPr>
              <w:t>1</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脑功能成像BOLD</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3"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color w:val="000000"/>
                <w:sz w:val="18"/>
                <w:szCs w:val="18"/>
                <w:lang w:bidi="ar"/>
              </w:rPr>
              <w:t>2</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波谱成像</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3"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color w:val="000000"/>
                <w:sz w:val="18"/>
                <w:szCs w:val="18"/>
                <w:lang w:bidi="ar"/>
              </w:rPr>
              <w:t>2.1</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单体素波谱</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3"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color w:val="000000"/>
                <w:sz w:val="18"/>
                <w:szCs w:val="18"/>
                <w:lang w:bidi="ar"/>
              </w:rPr>
              <w:t>2.2</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多体素波谱</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3"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color w:val="000000"/>
                <w:sz w:val="18"/>
                <w:szCs w:val="18"/>
                <w:lang w:bidi="ar"/>
              </w:rPr>
              <w:t>2.3</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2D波谱</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3"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color w:val="000000"/>
                <w:sz w:val="18"/>
                <w:szCs w:val="18"/>
                <w:lang w:bidi="ar"/>
              </w:rPr>
              <w:t>2.4</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3D波谱</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3"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color w:val="000000"/>
                <w:sz w:val="18"/>
                <w:szCs w:val="18"/>
                <w:lang w:bidi="ar"/>
              </w:rPr>
              <w:t>2.5</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头部波谱分析</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3"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color w:val="000000"/>
                <w:sz w:val="18"/>
                <w:szCs w:val="18"/>
                <w:lang w:bidi="ar"/>
              </w:rPr>
              <w:t>2.6</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乳腺波谱分析</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3"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color w:val="000000"/>
                <w:sz w:val="18"/>
                <w:szCs w:val="18"/>
                <w:lang w:bidi="ar"/>
              </w:rPr>
              <w:t>*2.7</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前列腺波谱分析</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3"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color w:val="000000"/>
                <w:sz w:val="18"/>
                <w:szCs w:val="18"/>
                <w:lang w:bidi="ar"/>
              </w:rPr>
              <w:t>3</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DTI神经纤维束成像</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3"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color w:val="000000"/>
                <w:sz w:val="18"/>
                <w:szCs w:val="18"/>
                <w:lang w:bidi="ar"/>
              </w:rPr>
              <w:t>4</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快速自旋回波水脂分离成像 (mDIXON 或者DIXON或者IDEAL)</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3"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color w:val="000000"/>
                <w:sz w:val="18"/>
                <w:szCs w:val="18"/>
                <w:lang w:bidi="ar"/>
              </w:rPr>
              <w:t>4.1</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参与计算脂肪峰个数</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≥6个</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3"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color w:val="000000"/>
                <w:sz w:val="18"/>
                <w:szCs w:val="18"/>
                <w:lang w:bidi="ar"/>
              </w:rPr>
              <w:t>4.2</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水脂分离成像采集回波数</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≤3个</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3"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color w:val="000000"/>
                <w:sz w:val="18"/>
                <w:szCs w:val="18"/>
                <w:lang w:bidi="ar"/>
              </w:rPr>
              <w:t>5</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梯度回波水脂分离成像 (mDIXON 或者DIXON-vibe或者LAVA FLEX)</w:t>
            </w:r>
          </w:p>
        </w:tc>
        <w:tc>
          <w:tcPr>
            <w:tcW w:w="3629"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具备</w:t>
            </w:r>
          </w:p>
          <w:p>
            <w:pPr>
              <w:tabs>
                <w:tab w:val="left" w:pos="1329"/>
              </w:tabs>
              <w:spacing w:line="400" w:lineRule="exact"/>
              <w:rPr>
                <w:rFonts w:ascii="宋体" w:hAnsi="宋体" w:cs="宋体"/>
                <w:sz w:val="18"/>
                <w:szCs w:val="18"/>
                <w:lang w:bidi="ar"/>
              </w:rPr>
            </w:pPr>
            <w:r>
              <w:rPr>
                <w:rFonts w:hint="eastAsia" w:ascii="宋体" w:hAnsi="宋体" w:cs="宋体"/>
                <w:sz w:val="18"/>
                <w:szCs w:val="18"/>
                <w:lang w:bidi="ar"/>
              </w:rPr>
              <w:tab/>
            </w:r>
          </w:p>
        </w:tc>
        <w:tc>
          <w:tcPr>
            <w:tcW w:w="981" w:type="dxa"/>
            <w:vMerge w:val="continue"/>
            <w:tcBorders>
              <w:tl2br w:val="nil"/>
              <w:tr2bl w:val="nil"/>
            </w:tcBorders>
            <w:shd w:val="clear" w:color="auto" w:fill="auto"/>
            <w:vAlign w:val="center"/>
          </w:tcPr>
          <w:p>
            <w:pPr>
              <w:tabs>
                <w:tab w:val="left" w:pos="1329"/>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3"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6</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不打药灌注3D ASL</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3"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6.1</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提供rCBF兴趣区测量功能，同时彩图自动优化处理（非手工调整）功能</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3"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7</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磁敏感成像</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3"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7.1</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磁敏感成像具备相位图</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3"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8</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mDXION XD MRA不剪影血管成像</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3"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9</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去金属伪影扫描技术（MARS或者Mavric SL或者Advanced WAPP）</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3"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10</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金属植入物定制化扫描技术</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3"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11</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高b值弥散成像，最大b值≥25000</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3"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12</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具有iMSDE预脉冲的黑血成像</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具备，注明技术名称并提供技术白皮书证明</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3"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13</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基于ASL技术原理的不打药多期连续动态血管成像</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具备，注明技术名称并提供技术白皮书证明</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3"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14</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自由呼吸成像3D VANE XD或者StarVIBE</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3"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15</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脂肪定量成像mDixon Quant或者Ideal IQ或者Liverlab</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3"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16</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具有iMSDE预脉冲的神经根成像</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3"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*17</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酰胺质子转移成像技术</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具备，注明技术名称并提供技术白皮书证明</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3"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17.1</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射频饱和时间≥2s</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3"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17.2</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具备NMPA认证</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3"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17.3</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主机可显示color bar</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3"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17.4</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mDixon技术校正B0场</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3"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17.5</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3D TSE无变形读出</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3"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18</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超高分辨率采集技术</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具备，2048x2048采集矩阵</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3"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19</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超高分辨率重建技术</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具备，2048x2048重建矩阵</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3"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20</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双射频硬件下实现小视野弥散高清成像，ZOOM Diffusion或者FOCUS或者ZOOMIT</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3"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21</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高清弥散，IRIS或者MUSE或者Resolve 2.0</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3"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22</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高级三维容积非选择性成像，心脏非选择性3D bFFE扫描，降低带状伪影</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具备，3D Non-selective</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3"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b/>
                <w:sz w:val="18"/>
                <w:szCs w:val="18"/>
              </w:rPr>
            </w:pPr>
            <w:r>
              <w:rPr>
                <w:rFonts w:hint="eastAsia" w:ascii="宋体" w:hAnsi="宋体" w:cs="宋体"/>
                <w:b/>
                <w:sz w:val="18"/>
                <w:szCs w:val="18"/>
                <w:lang w:bidi="ar"/>
              </w:rPr>
              <w:t>*十一</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b/>
                <w:sz w:val="18"/>
                <w:szCs w:val="18"/>
                <w:lang w:bidi="ar"/>
              </w:rPr>
              <w:t>压缩感知成像（具备NMPA认证）</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3"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bookmarkStart w:id="54" w:name="_Hlk93140211"/>
            <w:r>
              <w:rPr>
                <w:rFonts w:hint="eastAsia" w:ascii="宋体" w:hAnsi="宋体" w:cs="宋体"/>
                <w:sz w:val="18"/>
                <w:szCs w:val="18"/>
              </w:rPr>
              <w:t>1</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rPr>
              <w:t>压缩感知2D成像</w:t>
            </w:r>
          </w:p>
        </w:tc>
        <w:tc>
          <w:tcPr>
            <w:tcW w:w="3629"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rPr>
            </w:pPr>
          </w:p>
        </w:tc>
      </w:tr>
      <w:bookmarkEnd w:id="54"/>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3"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2</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压缩感知3D成像</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3"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3</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压缩感知4D成像</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3"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4</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最大加速因子</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≥32</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3"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b/>
                <w:bCs/>
                <w:color w:val="000000"/>
                <w:sz w:val="18"/>
                <w:szCs w:val="18"/>
              </w:rPr>
            </w:pPr>
            <w:r>
              <w:rPr>
                <w:rFonts w:hint="eastAsia" w:ascii="宋体" w:hAnsi="宋体" w:cs="宋体"/>
                <w:b/>
                <w:bCs/>
                <w:sz w:val="18"/>
                <w:szCs w:val="18"/>
                <w:lang w:bidi="ar"/>
              </w:rPr>
              <w:t>十二</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b/>
                <w:bCs/>
                <w:color w:val="000000"/>
                <w:sz w:val="18"/>
                <w:szCs w:val="18"/>
                <w:lang w:bidi="ar"/>
              </w:rPr>
              <w:t>检查环境</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3"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1</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双向病人通话系统</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3"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2</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提供防磁气动通话耳机</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3"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3</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磁体内可调试病人通风系统</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3"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4</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可调试磁孔内病人照明系统</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3"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5</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磁体内病人双向通话麦克风及扩音器系统</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3"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6</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检查床垂直运动时最大病人承受重量</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≥250KG</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9"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7</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 xml:space="preserve">检查床最低位置 </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≤60cm</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9"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8</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扫描床水平进床最大速度</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≥300mm/sec</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9"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9</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自动语音提醒功能</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9"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9.1</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检查时间提醒</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9"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9.2</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移床语音提醒</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9"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9.3</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呼吸屏气配合语音提醒</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9"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9.4</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多种语言提醒</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9"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b/>
                <w:sz w:val="18"/>
                <w:szCs w:val="18"/>
                <w:lang w:bidi="ar"/>
              </w:rPr>
              <w:t>十三</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b/>
                <w:bCs/>
                <w:color w:val="000000"/>
                <w:sz w:val="18"/>
                <w:szCs w:val="18"/>
                <w:lang w:bidi="ar"/>
              </w:rPr>
              <w:t>其他附属设备和第三方产品</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9"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1</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原厂线圈专用储存车</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9"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2</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线圈支架</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9"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3</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水冷机壹台</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9"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4</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精密空调壹台</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9"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5</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Accutron MR高压注射器壹台</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9"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6</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头部专用线圈IP160壹个</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≥16通道</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9"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7</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肘关节专用线圈EJ160壹个</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≥16通道</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9"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8</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肩关节专用线圈SHD160壹个</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≥16通道</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9"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9</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VesselAnalysis斑块分析软件</w:t>
            </w:r>
            <w:r>
              <w:rPr>
                <w:rFonts w:hint="eastAsia" w:ascii="宋体" w:hAnsi="宋体" w:cs="宋体"/>
                <w:kern w:val="0"/>
                <w:sz w:val="18"/>
                <w:szCs w:val="18"/>
                <w:lang w:bidi="ar"/>
              </w:rPr>
              <w:t>壹套</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9"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10</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计算机UPS（30分钟）壹台</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9"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11</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操作间机房装修、屏蔽</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bl>
    <w:p>
      <w:pPr>
        <w:rPr>
          <w:rFonts w:ascii="宋体" w:hAnsi="宋体" w:cs="宋体"/>
          <w:sz w:val="24"/>
          <w:szCs w:val="24"/>
        </w:rPr>
      </w:pPr>
    </w:p>
    <w:p>
      <w:pPr>
        <w:rPr>
          <w:rFonts w:ascii="宋体" w:hAnsi="宋体" w:cs="宋体"/>
        </w:rPr>
      </w:pPr>
    </w:p>
    <w:p>
      <w:pPr>
        <w:ind w:firstLine="210" w:firstLineChars="100"/>
        <w:rPr>
          <w:rFonts w:ascii="宋体" w:hAnsi="宋体" w:cs="宋体"/>
          <w:b/>
          <w:bCs/>
        </w:rPr>
      </w:pPr>
      <w:r>
        <w:rPr>
          <w:rFonts w:hint="eastAsia" w:ascii="宋体" w:hAnsi="宋体" w:cs="宋体"/>
          <w:b/>
          <w:bCs/>
        </w:rPr>
        <w:t>备注：对以上产品的要求非唯一指定要求，如有与某产品的指标或参数描述相同，并非特指，仅为产品质量、档次、水平的参照，未注明的规格应符合国家有关行业标准，优于技术规格要求的品牌产品，采购人均可接受。</w:t>
      </w:r>
    </w:p>
    <w:p>
      <w:pPr>
        <w:rPr>
          <w:rFonts w:ascii="宋体" w:hAnsi="宋体" w:cs="宋体"/>
        </w:rPr>
      </w:pPr>
    </w:p>
    <w:p>
      <w:pPr>
        <w:rPr>
          <w:rFonts w:ascii="宋体" w:hAnsi="宋体" w:cs="宋体"/>
        </w:rPr>
      </w:pPr>
    </w:p>
    <w:p>
      <w:pPr>
        <w:rPr>
          <w:rFonts w:ascii="宋体" w:hAnsi="宋体" w:cs="宋体"/>
        </w:rPr>
      </w:pPr>
    </w:p>
    <w:p>
      <w:pPr>
        <w:pStyle w:val="6"/>
        <w:ind w:firstLine="420" w:firstLineChars="175"/>
        <w:rPr>
          <w:rFonts w:ascii="宋体" w:hAnsi="宋体" w:cs="宋体"/>
          <w:sz w:val="24"/>
          <w:szCs w:val="24"/>
        </w:rPr>
      </w:pPr>
      <w:r>
        <w:rPr>
          <w:rFonts w:hint="eastAsia" w:ascii="宋体" w:hAnsi="宋体" w:cs="宋体"/>
          <w:sz w:val="24"/>
          <w:szCs w:val="24"/>
        </w:rPr>
        <w:t>第二标段</w:t>
      </w:r>
    </w:p>
    <w:p>
      <w:pPr>
        <w:jc w:val="center"/>
        <w:rPr>
          <w:b/>
          <w:bCs/>
        </w:rPr>
      </w:pPr>
      <w:r>
        <w:rPr>
          <w:rFonts w:hint="eastAsia"/>
          <w:b/>
          <w:bCs/>
        </w:rPr>
        <w:t>高端X射线计算机体层摄影设备技术参数</w:t>
      </w:r>
    </w:p>
    <w:tbl>
      <w:tblPr>
        <w:tblStyle w:val="46"/>
        <w:tblW w:w="9771" w:type="dxa"/>
        <w:tblInd w:w="-4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50"/>
        <w:gridCol w:w="7760"/>
        <w:gridCol w:w="8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cs="宋体"/>
                <w:b/>
                <w:bCs/>
                <w:sz w:val="18"/>
                <w:szCs w:val="18"/>
              </w:rPr>
            </w:pPr>
            <w:r>
              <w:rPr>
                <w:rFonts w:hint="eastAsia" w:ascii="宋体" w:hAnsi="宋体" w:cs="宋体"/>
                <w:b/>
                <w:bCs/>
                <w:sz w:val="18"/>
                <w:szCs w:val="18"/>
              </w:rPr>
              <w:t>序号</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cs="宋体"/>
                <w:b/>
                <w:bCs/>
                <w:sz w:val="18"/>
                <w:szCs w:val="18"/>
              </w:rPr>
            </w:pPr>
            <w:r>
              <w:rPr>
                <w:rFonts w:hint="eastAsia" w:ascii="宋体" w:hAnsi="宋体" w:cs="宋体"/>
                <w:b/>
                <w:bCs/>
                <w:sz w:val="18"/>
                <w:szCs w:val="18"/>
              </w:rPr>
              <w:t>技术参数及要求</w:t>
            </w:r>
          </w:p>
        </w:tc>
        <w:tc>
          <w:tcPr>
            <w:tcW w:w="861"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cs="宋体"/>
                <w:b/>
                <w:bCs/>
                <w:sz w:val="18"/>
                <w:szCs w:val="18"/>
              </w:rPr>
            </w:pPr>
            <w:r>
              <w:rPr>
                <w:rFonts w:hint="eastAsia" w:ascii="宋体" w:hAnsi="宋体" w:cs="宋体"/>
                <w:b/>
                <w:bCs/>
                <w:sz w:val="18"/>
                <w:szCs w:val="18"/>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1.</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设备名称：高端X射线计算机体层摄影设备（CT）</w:t>
            </w:r>
          </w:p>
        </w:tc>
        <w:tc>
          <w:tcPr>
            <w:tcW w:w="861" w:type="dxa"/>
            <w:vMerge w:val="restart"/>
            <w:tcBorders>
              <w:top w:val="single" w:color="auto" w:sz="4" w:space="0"/>
              <w:left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1套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1.1</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设备数量：一套</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1.2</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设备用途：全身扫描的临床应用和临床研究</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1.3</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制造厂商：投标人说明</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1.4</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设备型号：所投机型必须为各制造厂家已获得NMPA注册的最新版本、最高技术的产品（如存在注册证变更的，须提供变更后的所有配置）。GE需提供含DLIR技术产品，SIEMENS需提供含QuantaMax™ detector技术产品，CANON需提供含AiCE技术产品，PHILIPS需提供含NanoPanel Prism detector 技术产品，其它厂家提供最新最高技术产品。评标时经专家组合议，若不满足可做废标处理。</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
                <w:bCs/>
                <w:sz w:val="18"/>
                <w:szCs w:val="18"/>
              </w:rPr>
            </w:pPr>
            <w:r>
              <w:rPr>
                <w:rFonts w:hint="eastAsia" w:ascii="宋体" w:hAnsi="宋体" w:cs="宋体"/>
                <w:b/>
                <w:bCs/>
                <w:sz w:val="18"/>
                <w:szCs w:val="18"/>
              </w:rPr>
              <w:t>2.</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
                <w:bCs/>
                <w:sz w:val="18"/>
                <w:szCs w:val="18"/>
              </w:rPr>
            </w:pPr>
            <w:r>
              <w:rPr>
                <w:rFonts w:hint="eastAsia" w:ascii="宋体" w:hAnsi="宋体" w:cs="宋体"/>
                <w:b/>
                <w:bCs/>
                <w:sz w:val="18"/>
                <w:szCs w:val="18"/>
              </w:rPr>
              <w:t>主要技术规格</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b/>
                <w:bCs/>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
                <w:bCs/>
                <w:sz w:val="18"/>
                <w:szCs w:val="18"/>
              </w:rPr>
            </w:pPr>
            <w:r>
              <w:rPr>
                <w:rFonts w:hint="eastAsia" w:ascii="宋体" w:hAnsi="宋体" w:cs="宋体"/>
                <w:b/>
                <w:bCs/>
                <w:sz w:val="18"/>
                <w:szCs w:val="18"/>
              </w:rPr>
              <w:t>2.1</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
                <w:bCs/>
                <w:sz w:val="18"/>
                <w:szCs w:val="18"/>
              </w:rPr>
            </w:pPr>
            <w:r>
              <w:rPr>
                <w:rFonts w:hint="eastAsia" w:ascii="宋体" w:hAnsi="宋体" w:cs="宋体"/>
                <w:b/>
                <w:bCs/>
                <w:sz w:val="18"/>
                <w:szCs w:val="18"/>
              </w:rPr>
              <w:t>扫描机架系统</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b/>
                <w:bCs/>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2.1.1</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扫描机架液晶屏操作模式：触摸式</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2.1.2</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扫描机架液晶屏显示内容：包括但不限于心电监护信息</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2.1.3</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内置式心电监护系统</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2.1.4</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扫描机架支撑方式：气垫轴承支撑</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2.1.5</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扫描机架驱动方式：线性马达驱动（磁悬浮驱动）</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2.1.6</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滑环类型：低压滑环</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2.1.7</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冷却方式：水冷或风冷</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2.1.8</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扫描机架孔径≥80cm</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*2.1.9</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旋转时间≤0.27秒/360°</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2.1.10</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提供多种角度扫描方式，需包括240°扫描, 360°扫描,</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2.1.11</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常规扫描视野FOV≥50cm</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
                <w:bCs/>
                <w:sz w:val="18"/>
                <w:szCs w:val="18"/>
              </w:rPr>
            </w:pPr>
            <w:r>
              <w:rPr>
                <w:rFonts w:hint="eastAsia" w:ascii="宋体" w:hAnsi="宋体" w:cs="宋体"/>
                <w:b/>
                <w:bCs/>
                <w:sz w:val="18"/>
                <w:szCs w:val="18"/>
              </w:rPr>
              <w:t>2.2</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
                <w:bCs/>
                <w:sz w:val="18"/>
                <w:szCs w:val="18"/>
              </w:rPr>
            </w:pPr>
            <w:r>
              <w:rPr>
                <w:rFonts w:hint="eastAsia" w:ascii="宋体" w:hAnsi="宋体" w:cs="宋体"/>
                <w:b/>
                <w:bCs/>
                <w:sz w:val="18"/>
                <w:szCs w:val="18"/>
              </w:rPr>
              <w:t>X线球管及高压发生器</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b/>
                <w:bCs/>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*2.2.1</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单组高压发生器功率（非等效）≥120KW</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2.2.2</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球管具备节段阳极靶面</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2.2.3</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 xml:space="preserve">球管有效热容量≥30MHU </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*2.2.4</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单只球管最大电流（非等效）≥1000mA</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*2.2.5</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单只球管最小电流（非等效）≤10mA</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2.2.6</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球管最小步进电流调节≤1mA</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2.2.7</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球管电压范围80~140KV</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2.2.6</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具备X 和Z两个方向偏转的动态飞焦点技术</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2.2.9</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球管大焦点≤1.1×1.2mm</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2.2.10</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球管小焦点≤0.6×0.7mm</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*2.2.11</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球管单次连续螺旋扫描（非等效）≥110秒</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*2.2.12</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球管与所投设备同一厂家、同一品牌生产</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
                <w:sz w:val="18"/>
                <w:szCs w:val="18"/>
              </w:rPr>
            </w:pPr>
            <w:r>
              <w:rPr>
                <w:rFonts w:hint="eastAsia" w:ascii="宋体" w:hAnsi="宋体" w:cs="宋体"/>
                <w:b/>
                <w:sz w:val="18"/>
                <w:szCs w:val="18"/>
              </w:rPr>
              <w:t>2.3</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
                <w:sz w:val="18"/>
                <w:szCs w:val="18"/>
              </w:rPr>
            </w:pPr>
            <w:r>
              <w:rPr>
                <w:rFonts w:hint="eastAsia" w:ascii="宋体" w:hAnsi="宋体" w:cs="宋体"/>
                <w:b/>
                <w:sz w:val="18"/>
                <w:szCs w:val="18"/>
              </w:rPr>
              <w:t>探测器</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b/>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*2.3.1</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如提供传统单套探测器，Z轴覆盖范围≥16cm；如提供传统双套探测器系统，则每套探测器Z轴覆盖范围≥5.76cm；如提供全新立体双层光谱探测器，Z轴覆盖范围≥8cm,（要求附技术白皮书说明）</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2.3.2</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探测器具备“同源、同时、同相”接收不同能量X射线的能力，实现原始投影数据空间的能谱成像，不可用其他技术代替（要求附技术白皮书说明）</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2.3.3</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探测器具备混合射线的直接分离能力，对不同能量范围X射线采用不同材质接收，且并行独立处理，可同时区分高低能射线，用于原始投影数据空间的能谱成像，不可用其他技术代替（要求附技术白皮书说明）</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2.3.4</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 xml:space="preserve">数据采集率≥4800view*2/单元/360° </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2.3.5</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最小探测器单元≤0.625mm</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
                <w:bCs/>
                <w:sz w:val="18"/>
                <w:szCs w:val="18"/>
              </w:rPr>
            </w:pPr>
            <w:r>
              <w:rPr>
                <w:rFonts w:hint="eastAsia" w:ascii="宋体" w:hAnsi="宋体" w:cs="宋体"/>
                <w:b/>
                <w:bCs/>
                <w:sz w:val="18"/>
                <w:szCs w:val="18"/>
              </w:rPr>
              <w:t>2.4</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
                <w:bCs/>
                <w:sz w:val="18"/>
                <w:szCs w:val="18"/>
              </w:rPr>
            </w:pPr>
            <w:r>
              <w:rPr>
                <w:rFonts w:hint="eastAsia" w:ascii="宋体" w:hAnsi="宋体" w:cs="宋体"/>
                <w:b/>
                <w:bCs/>
                <w:sz w:val="18"/>
                <w:szCs w:val="18"/>
              </w:rPr>
              <w:t>扫描床系统</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b/>
                <w:bCs/>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 w:hRule="atLeast"/>
        </w:trPr>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2.4.1</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床水平手动行程≥2100 mm</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 w:hRule="atLeast"/>
        </w:trPr>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2.4.2</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床水平可扫描范围≥2000 mm</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 w:hRule="atLeast"/>
        </w:trPr>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2.4.3</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最小水平移床速度0.5mm/s</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 w:hRule="atLeast"/>
        </w:trPr>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*2.4.4</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最大水平移床速度≥350mm/s</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 w:hRule="atLeast"/>
        </w:trPr>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2.4.5</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最大垂直移床速度≥50mm/s</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 w:hRule="atLeast"/>
        </w:trPr>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2.4.6</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最大承重下的移床精度≤±0.25mm</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2.4.7</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扫描床垂直升降可低至≤440mm</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2.4.8</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扫描床垂直升降可高至≥1070mm</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2.4.9</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病人床承重量≥306kg</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2.4.10</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具备脚闸操作功能</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
                <w:bCs/>
                <w:sz w:val="18"/>
                <w:szCs w:val="18"/>
              </w:rPr>
            </w:pPr>
            <w:r>
              <w:rPr>
                <w:rFonts w:hint="eastAsia" w:ascii="宋体" w:hAnsi="宋体" w:cs="宋体"/>
                <w:b/>
                <w:bCs/>
                <w:sz w:val="18"/>
                <w:szCs w:val="18"/>
              </w:rPr>
              <w:t>2.5</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
                <w:bCs/>
                <w:sz w:val="18"/>
                <w:szCs w:val="18"/>
              </w:rPr>
            </w:pPr>
            <w:r>
              <w:rPr>
                <w:rFonts w:hint="eastAsia" w:ascii="宋体" w:hAnsi="宋体" w:cs="宋体"/>
                <w:b/>
                <w:bCs/>
                <w:sz w:val="18"/>
                <w:szCs w:val="18"/>
              </w:rPr>
              <w:t>图像质量</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b/>
                <w:bCs/>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*2.5.1</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提供最新最先进的微辐射影像重建技术，GE提供TrueFidelity，Siemens提供Quantum Iterative Reconstruction，Philips提供iDose4 Premium，Canon提供AiCE</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2.5.2</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 xml:space="preserve">微辐射迭代重建速度≥40幅/秒 </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trPr>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sz w:val="18"/>
                <w:szCs w:val="18"/>
              </w:rPr>
            </w:pPr>
            <w:r>
              <w:rPr>
                <w:rFonts w:hint="eastAsia" w:ascii="宋体" w:hAnsi="宋体" w:cs="宋体"/>
                <w:sz w:val="18"/>
                <w:szCs w:val="18"/>
              </w:rPr>
              <w:t>2.5.3</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提供高级金属伪影专用去除算法：Philips提供OMAR、GE提供Smart MAR、Siemens提供iMAR、Canon提供SEMAR</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sz w:val="18"/>
                <w:szCs w:val="18"/>
              </w:rPr>
            </w:pPr>
            <w:r>
              <w:rPr>
                <w:rFonts w:hint="eastAsia" w:ascii="宋体" w:hAnsi="宋体" w:cs="宋体"/>
                <w:sz w:val="18"/>
                <w:szCs w:val="18"/>
              </w:rPr>
              <w:t>2.5.4</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定位像有效采集视野≥50cm</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sz w:val="18"/>
                <w:szCs w:val="18"/>
              </w:rPr>
            </w:pPr>
            <w:r>
              <w:rPr>
                <w:rFonts w:hint="eastAsia" w:ascii="宋体" w:hAnsi="宋体" w:cs="宋体"/>
                <w:sz w:val="18"/>
                <w:szCs w:val="18"/>
              </w:rPr>
              <w:t>2.5.5</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定位像扫描长度≥200cm</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sz w:val="18"/>
                <w:szCs w:val="18"/>
              </w:rPr>
            </w:pPr>
            <w:r>
              <w:rPr>
                <w:rFonts w:hint="eastAsia" w:ascii="宋体" w:hAnsi="宋体" w:cs="宋体"/>
                <w:sz w:val="18"/>
                <w:szCs w:val="18"/>
              </w:rPr>
              <w:t>2.5.6</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定位像扫描宽度≥50cm</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sz w:val="18"/>
                <w:szCs w:val="18"/>
              </w:rPr>
            </w:pPr>
            <w:r>
              <w:rPr>
                <w:rFonts w:hint="eastAsia" w:ascii="宋体" w:hAnsi="宋体" w:cs="宋体"/>
                <w:sz w:val="18"/>
                <w:szCs w:val="18"/>
              </w:rPr>
              <w:t>2.5.7</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定位像方向：双定位</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sz w:val="18"/>
                <w:szCs w:val="18"/>
              </w:rPr>
            </w:pPr>
            <w:r>
              <w:rPr>
                <w:rFonts w:hint="eastAsia" w:ascii="宋体" w:hAnsi="宋体" w:cs="宋体"/>
                <w:sz w:val="18"/>
                <w:szCs w:val="18"/>
              </w:rPr>
              <w:t>2.5.8</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单球管螺旋扫描每圈扫描层数≥256层/360°扫描</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sz w:val="18"/>
                <w:szCs w:val="18"/>
              </w:rPr>
            </w:pPr>
            <w:r>
              <w:rPr>
                <w:rFonts w:hint="eastAsia" w:ascii="宋体" w:hAnsi="宋体" w:cs="宋体"/>
                <w:sz w:val="18"/>
                <w:szCs w:val="18"/>
              </w:rPr>
              <w:t>2.5.9</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Cs/>
                <w:sz w:val="18"/>
                <w:szCs w:val="18"/>
              </w:rPr>
            </w:pPr>
            <w:r>
              <w:rPr>
                <w:rFonts w:hint="eastAsia" w:ascii="宋体" w:hAnsi="宋体" w:cs="宋体"/>
                <w:bCs/>
                <w:sz w:val="18"/>
                <w:szCs w:val="18"/>
              </w:rPr>
              <w:t>最大扫描范围</w:t>
            </w:r>
            <w:r>
              <w:rPr>
                <w:rFonts w:hint="eastAsia" w:ascii="宋体" w:hAnsi="宋体" w:cs="宋体"/>
                <w:sz w:val="18"/>
                <w:szCs w:val="18"/>
              </w:rPr>
              <w:t>≥</w:t>
            </w:r>
            <w:r>
              <w:rPr>
                <w:rFonts w:hint="eastAsia" w:ascii="宋体" w:hAnsi="宋体" w:cs="宋体"/>
                <w:bCs/>
                <w:sz w:val="18"/>
                <w:szCs w:val="18"/>
              </w:rPr>
              <w:t>2000mm</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bCs/>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sz w:val="18"/>
                <w:szCs w:val="18"/>
              </w:rPr>
            </w:pPr>
            <w:r>
              <w:rPr>
                <w:rFonts w:hint="eastAsia" w:ascii="宋体" w:hAnsi="宋体" w:cs="宋体"/>
                <w:sz w:val="18"/>
                <w:szCs w:val="18"/>
              </w:rPr>
              <w:t>2.5.10</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螺距：0.07~1.65，连续可调</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sz w:val="18"/>
                <w:szCs w:val="18"/>
              </w:rPr>
            </w:pPr>
            <w:r>
              <w:rPr>
                <w:rFonts w:hint="eastAsia" w:ascii="宋体" w:hAnsi="宋体" w:cs="宋体"/>
                <w:sz w:val="18"/>
                <w:szCs w:val="18"/>
              </w:rPr>
              <w:t>2.5.11</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Cs/>
                <w:sz w:val="18"/>
                <w:szCs w:val="18"/>
              </w:rPr>
            </w:pPr>
            <w:r>
              <w:rPr>
                <w:rFonts w:hint="eastAsia" w:ascii="宋体" w:hAnsi="宋体" w:cs="宋体"/>
                <w:bCs/>
                <w:sz w:val="18"/>
                <w:szCs w:val="18"/>
              </w:rPr>
              <w:t>心脏扫描时间分辨率</w:t>
            </w:r>
            <w:r>
              <w:rPr>
                <w:rFonts w:hint="eastAsia" w:ascii="宋体" w:hAnsi="宋体" w:cs="宋体"/>
                <w:sz w:val="18"/>
                <w:szCs w:val="18"/>
              </w:rPr>
              <w:t>≤</w:t>
            </w:r>
            <w:r>
              <w:rPr>
                <w:rFonts w:hint="eastAsia" w:ascii="宋体" w:hAnsi="宋体" w:cs="宋体"/>
                <w:bCs/>
                <w:sz w:val="18"/>
                <w:szCs w:val="18"/>
              </w:rPr>
              <w:t>27ms</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bCs/>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bCs/>
                <w:sz w:val="18"/>
                <w:szCs w:val="18"/>
              </w:rPr>
            </w:pPr>
            <w:r>
              <w:rPr>
                <w:rFonts w:hint="eastAsia" w:ascii="宋体" w:hAnsi="宋体" w:cs="宋体"/>
                <w:sz w:val="18"/>
                <w:szCs w:val="18"/>
              </w:rPr>
              <w:t>2.5.12</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密度分辨率≤5mm@0.3%</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sz w:val="18"/>
                <w:szCs w:val="18"/>
              </w:rPr>
            </w:pPr>
            <w:r>
              <w:rPr>
                <w:rFonts w:hint="eastAsia" w:ascii="宋体" w:hAnsi="宋体" w:cs="宋体"/>
                <w:sz w:val="18"/>
                <w:szCs w:val="18"/>
              </w:rPr>
              <w:t>2.5.13</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常规图像噪声值≤0.3%</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sz w:val="18"/>
                <w:szCs w:val="18"/>
              </w:rPr>
            </w:pPr>
            <w:r>
              <w:rPr>
                <w:rFonts w:hint="eastAsia" w:ascii="宋体" w:hAnsi="宋体" w:cs="宋体"/>
                <w:sz w:val="18"/>
                <w:szCs w:val="18"/>
              </w:rPr>
              <w:t>2.5.14</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CT值范围：-1024到+3071</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sz w:val="18"/>
                <w:szCs w:val="18"/>
              </w:rPr>
            </w:pPr>
            <w:r>
              <w:rPr>
                <w:rFonts w:hint="eastAsia" w:ascii="宋体" w:hAnsi="宋体" w:cs="宋体"/>
                <w:sz w:val="18"/>
                <w:szCs w:val="18"/>
              </w:rPr>
              <w:t>2.5.15</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标准图像重建矩阵≥512×512</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sz w:val="18"/>
                <w:szCs w:val="18"/>
              </w:rPr>
            </w:pPr>
            <w:r>
              <w:rPr>
                <w:rFonts w:hint="eastAsia" w:ascii="宋体" w:hAnsi="宋体" w:cs="宋体"/>
                <w:sz w:val="18"/>
                <w:szCs w:val="18"/>
              </w:rPr>
              <w:t>2.5.16</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 xml:space="preserve">高图像重建矩阵≥768×768 </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sz w:val="18"/>
                <w:szCs w:val="18"/>
              </w:rPr>
            </w:pPr>
            <w:r>
              <w:rPr>
                <w:rFonts w:hint="eastAsia" w:ascii="宋体" w:hAnsi="宋体" w:cs="宋体"/>
                <w:sz w:val="18"/>
                <w:szCs w:val="18"/>
              </w:rPr>
              <w:t>*2.5.17</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超高图像重建矩阵≥1024X1024 ，提供相应证实文件</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
                <w:bCs/>
                <w:sz w:val="18"/>
                <w:szCs w:val="18"/>
              </w:rPr>
            </w:pPr>
            <w:r>
              <w:rPr>
                <w:rFonts w:hint="eastAsia" w:ascii="宋体" w:hAnsi="宋体" w:cs="宋体"/>
                <w:b/>
                <w:bCs/>
                <w:sz w:val="18"/>
                <w:szCs w:val="18"/>
              </w:rPr>
              <w:t>2.6</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
                <w:bCs/>
                <w:sz w:val="18"/>
                <w:szCs w:val="18"/>
              </w:rPr>
            </w:pPr>
            <w:r>
              <w:rPr>
                <w:rFonts w:hint="eastAsia" w:ascii="宋体" w:hAnsi="宋体" w:cs="宋体"/>
                <w:b/>
                <w:bCs/>
                <w:sz w:val="18"/>
                <w:szCs w:val="18"/>
              </w:rPr>
              <w:t>计算机主机</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b/>
                <w:bCs/>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2.6.1</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主CPU型号：厂商自报</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2.6.2</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 xml:space="preserve">主频≥3.5GHz </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2.6.3</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内存≥64GB</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2.6.4</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 xml:space="preserve">图像硬盘容量≥7.6TB </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2.6.5</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显示器≥19″，LCD</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2.6.6</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图像格式和传输存储：DICOM 3.0</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2.6.7</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DICOM Modality Worklist：标配</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2.6.8</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图像自动检索传送软件：标配</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2.6.9</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自动语言提示功能：标配</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2.6.10</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操纵台可进行图像后处理功能，MPR/MIP：标配</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2.6.11</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自动照相功能：标配</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2.6.12</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控制台双监视器配置：标配</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b/>
                <w:sz w:val="18"/>
                <w:szCs w:val="18"/>
              </w:rPr>
              <w:t>2.7</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
                <w:sz w:val="18"/>
                <w:szCs w:val="18"/>
              </w:rPr>
            </w:pPr>
            <w:r>
              <w:rPr>
                <w:rFonts w:hint="eastAsia" w:ascii="宋体" w:hAnsi="宋体" w:cs="宋体"/>
                <w:b/>
                <w:sz w:val="18"/>
                <w:szCs w:val="18"/>
              </w:rPr>
              <w:t>原装独立工作站系统</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b/>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2.7.1</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CPU型号：投标人说明</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2.7.2</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主频≥3.7Ghz</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2.7.3</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内存≥16GB</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2.7.4</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硬盘容量≥1.2TB</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2.7.5</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CD-RW和DVD-RW：标配</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2.7.6</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图像格式、传输存储：DICOM 3.0</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2.7.7</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多影像融合功能（CT/MR/NM）：标配</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
                <w:bCs/>
                <w:sz w:val="18"/>
                <w:szCs w:val="18"/>
              </w:rPr>
            </w:pPr>
            <w:r>
              <w:rPr>
                <w:rFonts w:hint="eastAsia" w:ascii="宋体" w:hAnsi="宋体" w:cs="宋体"/>
                <w:b/>
                <w:bCs/>
                <w:sz w:val="18"/>
                <w:szCs w:val="18"/>
              </w:rPr>
              <w:t>3</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
                <w:bCs/>
                <w:sz w:val="18"/>
                <w:szCs w:val="18"/>
              </w:rPr>
            </w:pPr>
            <w:r>
              <w:rPr>
                <w:rFonts w:hint="eastAsia" w:ascii="宋体" w:hAnsi="宋体" w:cs="宋体"/>
                <w:b/>
                <w:bCs/>
                <w:sz w:val="18"/>
                <w:szCs w:val="18"/>
              </w:rPr>
              <w:t>临床应用和后处理软件</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b/>
                <w:bCs/>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3.1</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3D分析软件包(MIP,MPR,SSD,VR等) ：支持3D图像的适时操控，包括绕任意轴的旋转、放大、移动、切割等</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sz w:val="18"/>
                <w:szCs w:val="18"/>
              </w:rPr>
            </w:pPr>
            <w:r>
              <w:rPr>
                <w:rFonts w:hint="eastAsia" w:ascii="宋体" w:hAnsi="宋体" w:cs="宋体"/>
                <w:sz w:val="18"/>
                <w:szCs w:val="18"/>
              </w:rPr>
              <w:t>3.2</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具备CT能量成像技术，且高、低能量数据采集时间差为0且采集角度差为0°，提供技术白皮书证明</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sz w:val="18"/>
                <w:szCs w:val="18"/>
              </w:rPr>
            </w:pPr>
            <w:r>
              <w:rPr>
                <w:rFonts w:hint="eastAsia" w:ascii="宋体" w:hAnsi="宋体" w:cs="宋体"/>
                <w:sz w:val="18"/>
                <w:szCs w:val="18"/>
              </w:rPr>
              <w:t>3.3</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Cs/>
                <w:sz w:val="18"/>
                <w:szCs w:val="18"/>
              </w:rPr>
            </w:pPr>
            <w:r>
              <w:rPr>
                <w:rFonts w:hint="eastAsia" w:ascii="宋体" w:hAnsi="宋体" w:cs="宋体"/>
                <w:bCs/>
                <w:sz w:val="18"/>
                <w:szCs w:val="18"/>
              </w:rPr>
              <w:t>单KeV图像能级≥161级</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bCs/>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sz w:val="18"/>
                <w:szCs w:val="18"/>
              </w:rPr>
            </w:pPr>
            <w:r>
              <w:rPr>
                <w:rFonts w:hint="eastAsia" w:ascii="宋体" w:hAnsi="宋体" w:cs="宋体"/>
                <w:sz w:val="18"/>
                <w:szCs w:val="18"/>
              </w:rPr>
              <w:t>3.4</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心肌能量灌注扫描时间分辨率≤27ms</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bCs/>
                <w:sz w:val="18"/>
                <w:szCs w:val="18"/>
              </w:rPr>
            </w:pPr>
            <w:r>
              <w:rPr>
                <w:rFonts w:hint="eastAsia" w:ascii="宋体" w:hAnsi="宋体" w:cs="宋体"/>
                <w:sz w:val="18"/>
                <w:szCs w:val="18"/>
              </w:rPr>
              <w:t>3.5</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Cs/>
                <w:color w:val="000000" w:themeColor="text1"/>
                <w:sz w:val="18"/>
                <w:szCs w:val="18"/>
                <w14:textFill>
                  <w14:solidFill>
                    <w14:schemeClr w14:val="tx1"/>
                  </w14:solidFill>
                </w14:textFill>
              </w:rPr>
            </w:pPr>
            <w:r>
              <w:rPr>
                <w:rFonts w:hint="eastAsia" w:ascii="宋体" w:hAnsi="宋体" w:cs="宋体"/>
                <w:bCs/>
                <w:color w:val="000000" w:themeColor="text1"/>
                <w:sz w:val="18"/>
                <w:szCs w:val="18"/>
                <w14:textFill>
                  <w14:solidFill>
                    <w14:schemeClr w14:val="tx1"/>
                  </w14:solidFill>
                </w14:textFill>
              </w:rPr>
              <w:t>单KeV图像能级≥161级</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bCs/>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bCs/>
                <w:sz w:val="18"/>
                <w:szCs w:val="18"/>
              </w:rPr>
            </w:pPr>
            <w:r>
              <w:rPr>
                <w:rFonts w:hint="eastAsia" w:ascii="宋体" w:hAnsi="宋体" w:cs="宋体"/>
                <w:sz w:val="18"/>
                <w:szCs w:val="18"/>
              </w:rPr>
              <w:t>3.6</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能量扫描电压档位</w:t>
            </w:r>
            <w:r>
              <w:rPr>
                <w:rFonts w:hint="eastAsia" w:ascii="宋体" w:hAnsi="宋体" w:cs="宋体"/>
                <w:bCs/>
                <w:color w:val="000000" w:themeColor="text1"/>
                <w:sz w:val="18"/>
                <w:szCs w:val="18"/>
                <w14:textFill>
                  <w14:solidFill>
                    <w14:schemeClr w14:val="tx1"/>
                  </w14:solidFill>
                </w14:textFill>
              </w:rPr>
              <w:t>≥2挡</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bCs/>
                <w:sz w:val="18"/>
                <w:szCs w:val="18"/>
              </w:rPr>
            </w:pPr>
            <w:r>
              <w:rPr>
                <w:rFonts w:hint="eastAsia" w:ascii="宋体" w:hAnsi="宋体" w:cs="宋体"/>
                <w:sz w:val="18"/>
                <w:szCs w:val="18"/>
              </w:rPr>
              <w:t>*3.7</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具备单球管单kV扫描同时获得传统图像以及能量成像和数据的功能</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bCs/>
                <w:sz w:val="18"/>
                <w:szCs w:val="18"/>
              </w:rPr>
            </w:pPr>
            <w:r>
              <w:rPr>
                <w:rFonts w:hint="eastAsia" w:ascii="宋体" w:hAnsi="宋体" w:cs="宋体"/>
                <w:sz w:val="18"/>
                <w:szCs w:val="18"/>
              </w:rPr>
              <w:t>3.8</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具备从单球管单kV扫描图像中回顾性重建能量图像和数据的功能</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bCs/>
                <w:sz w:val="18"/>
                <w:szCs w:val="18"/>
              </w:rPr>
            </w:pPr>
            <w:r>
              <w:rPr>
                <w:rFonts w:hint="eastAsia" w:ascii="宋体" w:hAnsi="宋体" w:cs="宋体"/>
                <w:sz w:val="18"/>
                <w:szCs w:val="18"/>
              </w:rPr>
              <w:t>3.9</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能量扫描模式下投影数≥4600view*2/单元/360°/层</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bCs/>
                <w:sz w:val="18"/>
                <w:szCs w:val="18"/>
              </w:rPr>
            </w:pPr>
            <w:r>
              <w:rPr>
                <w:rFonts w:hint="eastAsia" w:ascii="宋体" w:hAnsi="宋体" w:cs="宋体"/>
                <w:sz w:val="18"/>
                <w:szCs w:val="18"/>
              </w:rPr>
              <w:t>3.10</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能量扫描视野FOV≥50cm</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Cs/>
                <w:sz w:val="18"/>
                <w:szCs w:val="18"/>
              </w:rPr>
            </w:pPr>
            <w:r>
              <w:rPr>
                <w:rFonts w:hint="eastAsia" w:ascii="宋体" w:hAnsi="宋体" w:cs="宋体"/>
                <w:sz w:val="18"/>
                <w:szCs w:val="18"/>
              </w:rPr>
              <w:t>3.11</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单KeV成像范围：</w:t>
            </w:r>
            <w:r>
              <w:rPr>
                <w:rFonts w:hint="eastAsia" w:ascii="宋体" w:hAnsi="宋体" w:cs="宋体"/>
                <w:bCs/>
                <w:sz w:val="18"/>
                <w:szCs w:val="18"/>
              </w:rPr>
              <w:t>40~200keV ，提供相应证实文件</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Cs/>
                <w:sz w:val="18"/>
                <w:szCs w:val="18"/>
              </w:rPr>
            </w:pPr>
            <w:r>
              <w:rPr>
                <w:rFonts w:hint="eastAsia" w:ascii="宋体" w:hAnsi="宋体" w:cs="宋体"/>
                <w:sz w:val="18"/>
                <w:szCs w:val="18"/>
              </w:rPr>
              <w:t>3.12</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能量采集时，球管电流可根据患者体型、层面、旋转角度进行调节</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Cs/>
                <w:sz w:val="18"/>
                <w:szCs w:val="18"/>
              </w:rPr>
            </w:pPr>
            <w:r>
              <w:rPr>
                <w:rFonts w:hint="eastAsia" w:ascii="宋体" w:hAnsi="宋体" w:cs="宋体"/>
                <w:sz w:val="18"/>
                <w:szCs w:val="18"/>
              </w:rPr>
              <w:t>3.13</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能量扫描条件下，单只球管最大管电流（非等效）≥1000mA</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Cs/>
                <w:sz w:val="18"/>
                <w:szCs w:val="18"/>
              </w:rPr>
            </w:pPr>
            <w:r>
              <w:rPr>
                <w:rFonts w:hint="eastAsia" w:ascii="宋体" w:hAnsi="宋体" w:cs="宋体"/>
                <w:sz w:val="18"/>
                <w:szCs w:val="18"/>
              </w:rPr>
              <w:t>3.14</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能量扫描条件下，单只球管最小管电流（非等效）≤10mA</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Cs/>
                <w:sz w:val="18"/>
                <w:szCs w:val="18"/>
              </w:rPr>
            </w:pPr>
            <w:r>
              <w:rPr>
                <w:rFonts w:hint="eastAsia" w:ascii="宋体" w:hAnsi="宋体" w:cs="宋体"/>
                <w:sz w:val="18"/>
                <w:szCs w:val="18"/>
              </w:rPr>
              <w:t>3.15</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单K能量成像图像噪声值≤0.3%（提供技术白皮书说明）</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Cs/>
                <w:sz w:val="18"/>
                <w:szCs w:val="18"/>
              </w:rPr>
            </w:pPr>
            <w:r>
              <w:rPr>
                <w:rFonts w:hint="eastAsia" w:ascii="宋体" w:hAnsi="宋体" w:cs="宋体"/>
                <w:sz w:val="18"/>
                <w:szCs w:val="18"/>
              </w:rPr>
              <w:t>3.16</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常规能量成像模式下，最快旋转速度≤0.27秒/360°</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Cs/>
                <w:sz w:val="18"/>
                <w:szCs w:val="18"/>
              </w:rPr>
            </w:pPr>
            <w:r>
              <w:rPr>
                <w:rFonts w:hint="eastAsia" w:ascii="宋体" w:hAnsi="宋体" w:cs="宋体"/>
                <w:sz w:val="18"/>
                <w:szCs w:val="18"/>
              </w:rPr>
              <w:t>3.17</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Cs/>
                <w:color w:val="000000" w:themeColor="text1"/>
                <w:sz w:val="18"/>
                <w:szCs w:val="18"/>
                <w14:textFill>
                  <w14:solidFill>
                    <w14:schemeClr w14:val="tx1"/>
                  </w14:solidFill>
                </w14:textFill>
              </w:rPr>
            </w:pPr>
            <w:r>
              <w:rPr>
                <w:rFonts w:hint="eastAsia" w:ascii="宋体" w:hAnsi="宋体" w:cs="宋体"/>
                <w:bCs/>
                <w:color w:val="000000" w:themeColor="text1"/>
                <w:sz w:val="18"/>
                <w:szCs w:val="18"/>
                <w14:textFill>
                  <w14:solidFill>
                    <w14:schemeClr w14:val="tx1"/>
                  </w14:solidFill>
                </w14:textFill>
              </w:rPr>
              <w:t>具备同时使用单keV图像与专用金属伪影技术结合(</w:t>
            </w:r>
            <w:r>
              <w:rPr>
                <w:rFonts w:hint="eastAsia" w:ascii="宋体" w:hAnsi="宋体" w:cs="宋体"/>
                <w:color w:val="000000" w:themeColor="text1"/>
                <w:sz w:val="18"/>
                <w:szCs w:val="18"/>
                <w14:textFill>
                  <w14:solidFill>
                    <w14:schemeClr w14:val="tx1"/>
                  </w14:solidFill>
                </w14:textFill>
              </w:rPr>
              <w:t>OMAR或Smart MAR或iMAR或SEMAR</w:t>
            </w:r>
            <w:r>
              <w:rPr>
                <w:rFonts w:hint="eastAsia" w:ascii="宋体" w:hAnsi="宋体" w:cs="宋体"/>
                <w:bCs/>
                <w:color w:val="000000" w:themeColor="text1"/>
                <w:sz w:val="18"/>
                <w:szCs w:val="18"/>
                <w14:textFill>
                  <w14:solidFill>
                    <w14:schemeClr w14:val="tx1"/>
                  </w14:solidFill>
                </w14:textFill>
              </w:rPr>
              <w:t xml:space="preserve">)，共同作用去除金属伪影的功能 </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bCs/>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Cs/>
                <w:sz w:val="18"/>
                <w:szCs w:val="18"/>
              </w:rPr>
            </w:pPr>
            <w:r>
              <w:rPr>
                <w:rFonts w:hint="eastAsia" w:ascii="宋体" w:hAnsi="宋体" w:cs="宋体"/>
                <w:sz w:val="18"/>
                <w:szCs w:val="18"/>
              </w:rPr>
              <w:t>3.18</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具备对单一感兴趣区域进行同时、同屏能量图像观察的功能</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Cs/>
                <w:sz w:val="18"/>
                <w:szCs w:val="18"/>
              </w:rPr>
            </w:pPr>
            <w:r>
              <w:rPr>
                <w:rFonts w:hint="eastAsia" w:ascii="宋体" w:hAnsi="宋体" w:cs="宋体"/>
                <w:sz w:val="18"/>
                <w:szCs w:val="18"/>
              </w:rPr>
              <w:t>3.19</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可以提供观察、使用、操作、调节能量图像，以及测量碘含量、能谱曲线等能量数据的功能</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Cs/>
                <w:color w:val="000000" w:themeColor="text1"/>
                <w:sz w:val="18"/>
                <w:szCs w:val="18"/>
                <w14:textFill>
                  <w14:solidFill>
                    <w14:schemeClr w14:val="tx1"/>
                  </w14:solidFill>
                </w14:textFill>
              </w:rPr>
            </w:pPr>
            <w:r>
              <w:rPr>
                <w:rFonts w:hint="eastAsia" w:ascii="宋体" w:hAnsi="宋体" w:cs="宋体"/>
                <w:sz w:val="18"/>
                <w:szCs w:val="18"/>
              </w:rPr>
              <w:t>3.20</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Cs/>
                <w:color w:val="000000" w:themeColor="text1"/>
                <w:sz w:val="18"/>
                <w:szCs w:val="18"/>
                <w14:textFill>
                  <w14:solidFill>
                    <w14:schemeClr w14:val="tx1"/>
                  </w14:solidFill>
                </w14:textFill>
              </w:rPr>
            </w:pPr>
            <w:r>
              <w:rPr>
                <w:rFonts w:hint="eastAsia" w:ascii="宋体" w:hAnsi="宋体" w:cs="宋体"/>
                <w:bCs/>
                <w:color w:val="000000" w:themeColor="text1"/>
                <w:sz w:val="18"/>
                <w:szCs w:val="18"/>
                <w14:textFill>
                  <w14:solidFill>
                    <w14:schemeClr w14:val="tx1"/>
                  </w14:solidFill>
                </w14:textFill>
              </w:rPr>
              <w:t>具备多种能量图像同屏显示综合显示功能</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bCs/>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3.21</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Cs/>
                <w:color w:val="000000" w:themeColor="text1"/>
                <w:sz w:val="18"/>
                <w:szCs w:val="18"/>
                <w14:textFill>
                  <w14:solidFill>
                    <w14:schemeClr w14:val="tx1"/>
                  </w14:solidFill>
                </w14:textFill>
              </w:rPr>
            </w:pPr>
            <w:r>
              <w:rPr>
                <w:rFonts w:hint="eastAsia" w:ascii="宋体" w:hAnsi="宋体" w:cs="宋体"/>
                <w:bCs/>
                <w:color w:val="000000" w:themeColor="text1"/>
                <w:sz w:val="18"/>
                <w:szCs w:val="18"/>
                <w14:textFill>
                  <w14:solidFill>
                    <w14:schemeClr w14:val="tx1"/>
                  </w14:solidFill>
                </w14:textFill>
              </w:rPr>
              <w:t>具备能量图像去骨功能，并具备对不同keV下去骨效果调节观察功能</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bCs/>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3.22</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Cs/>
                <w:color w:val="000000" w:themeColor="text1"/>
                <w:sz w:val="18"/>
                <w:szCs w:val="18"/>
                <w14:textFill>
                  <w14:solidFill>
                    <w14:schemeClr w14:val="tx1"/>
                  </w14:solidFill>
                </w14:textFill>
              </w:rPr>
            </w:pPr>
            <w:r>
              <w:rPr>
                <w:rFonts w:hint="eastAsia" w:ascii="宋体" w:hAnsi="宋体" w:cs="宋体"/>
                <w:bCs/>
                <w:color w:val="000000" w:themeColor="text1"/>
                <w:sz w:val="18"/>
                <w:szCs w:val="18"/>
                <w14:textFill>
                  <w14:solidFill>
                    <w14:schemeClr w14:val="tx1"/>
                  </w14:solidFill>
                </w14:textFill>
              </w:rPr>
              <w:t>具备160keV以上物质能量曲线绘制功能</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bCs/>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Cs/>
                <w:color w:val="000000" w:themeColor="text1"/>
                <w:sz w:val="18"/>
                <w:szCs w:val="18"/>
                <w14:textFill>
                  <w14:solidFill>
                    <w14:schemeClr w14:val="tx1"/>
                  </w14:solidFill>
                </w14:textFill>
              </w:rPr>
            </w:pPr>
            <w:r>
              <w:rPr>
                <w:rFonts w:hint="eastAsia" w:ascii="宋体" w:hAnsi="宋体" w:cs="宋体"/>
                <w:sz w:val="18"/>
                <w:szCs w:val="18"/>
              </w:rPr>
              <w:t>3.23</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Cs/>
                <w:color w:val="000000" w:themeColor="text1"/>
                <w:sz w:val="18"/>
                <w:szCs w:val="18"/>
                <w14:textFill>
                  <w14:solidFill>
                    <w14:schemeClr w14:val="tx1"/>
                  </w14:solidFill>
                </w14:textFill>
              </w:rPr>
            </w:pPr>
            <w:r>
              <w:rPr>
                <w:rFonts w:hint="eastAsia" w:ascii="宋体" w:hAnsi="宋体" w:cs="宋体"/>
                <w:bCs/>
                <w:color w:val="000000" w:themeColor="text1"/>
                <w:sz w:val="18"/>
                <w:szCs w:val="18"/>
                <w14:textFill>
                  <w14:solidFill>
                    <w14:schemeClr w14:val="tx1"/>
                  </w14:solidFill>
                </w14:textFill>
              </w:rPr>
              <w:t>具备0~50有效原子序数显示以及成像功能</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bCs/>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Cs/>
                <w:color w:val="000000" w:themeColor="text1"/>
                <w:sz w:val="18"/>
                <w:szCs w:val="18"/>
                <w14:textFill>
                  <w14:solidFill>
                    <w14:schemeClr w14:val="tx1"/>
                  </w14:solidFill>
                </w14:textFill>
              </w:rPr>
            </w:pPr>
            <w:r>
              <w:rPr>
                <w:rFonts w:hint="eastAsia" w:ascii="宋体" w:hAnsi="宋体" w:cs="宋体"/>
                <w:sz w:val="18"/>
                <w:szCs w:val="18"/>
              </w:rPr>
              <w:t>3.24</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具备有效原子序数图横断位、冠状位、矢状位可视化彩色图像成像功能</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Cs/>
                <w:color w:val="000000" w:themeColor="text1"/>
                <w:sz w:val="18"/>
                <w:szCs w:val="18"/>
                <w14:textFill>
                  <w14:solidFill>
                    <w14:schemeClr w14:val="tx1"/>
                  </w14:solidFill>
                </w14:textFill>
              </w:rPr>
            </w:pPr>
            <w:r>
              <w:rPr>
                <w:rFonts w:hint="eastAsia" w:ascii="宋体" w:hAnsi="宋体" w:cs="宋体"/>
                <w:sz w:val="18"/>
                <w:szCs w:val="18"/>
              </w:rPr>
              <w:t>3.25</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具备有效原子序数图可视化彩色图像调节功能</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Cs/>
                <w:color w:val="000000" w:themeColor="text1"/>
                <w:sz w:val="18"/>
                <w:szCs w:val="18"/>
                <w14:textFill>
                  <w14:solidFill>
                    <w14:schemeClr w14:val="tx1"/>
                  </w14:solidFill>
                </w14:textFill>
              </w:rPr>
            </w:pPr>
            <w:r>
              <w:rPr>
                <w:rFonts w:hint="eastAsia" w:ascii="宋体" w:hAnsi="宋体" w:cs="宋体"/>
                <w:sz w:val="18"/>
                <w:szCs w:val="18"/>
              </w:rPr>
              <w:t>3.26</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Cs/>
                <w:color w:val="000000" w:themeColor="text1"/>
                <w:sz w:val="18"/>
                <w:szCs w:val="18"/>
                <w14:textFill>
                  <w14:solidFill>
                    <w14:schemeClr w14:val="tx1"/>
                  </w14:solidFill>
                </w14:textFill>
              </w:rPr>
            </w:pPr>
            <w:r>
              <w:rPr>
                <w:rFonts w:hint="eastAsia" w:ascii="宋体" w:hAnsi="宋体" w:cs="宋体"/>
                <w:bCs/>
                <w:color w:val="000000" w:themeColor="text1"/>
                <w:sz w:val="18"/>
                <w:szCs w:val="18"/>
                <w14:textFill>
                  <w14:solidFill>
                    <w14:schemeClr w14:val="tx1"/>
                  </w14:solidFill>
                </w14:textFill>
              </w:rPr>
              <w:t>具备尿酸图像成像功能</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bCs/>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3.27</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Cs/>
                <w:color w:val="000000" w:themeColor="text1"/>
                <w:sz w:val="18"/>
                <w:szCs w:val="18"/>
                <w14:textFill>
                  <w14:solidFill>
                    <w14:schemeClr w14:val="tx1"/>
                  </w14:solidFill>
                </w14:textFill>
              </w:rPr>
            </w:pPr>
            <w:r>
              <w:rPr>
                <w:rFonts w:hint="eastAsia" w:ascii="宋体" w:hAnsi="宋体" w:cs="宋体"/>
                <w:bCs/>
                <w:color w:val="000000" w:themeColor="text1"/>
                <w:sz w:val="18"/>
                <w:szCs w:val="18"/>
                <w14:textFill>
                  <w14:solidFill>
                    <w14:schemeClr w14:val="tx1"/>
                  </w14:solidFill>
                </w14:textFill>
              </w:rPr>
              <w:t>具备去尿酸图像成像功能</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bCs/>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3.28</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Cs/>
                <w:color w:val="000000" w:themeColor="text1"/>
                <w:sz w:val="18"/>
                <w:szCs w:val="18"/>
                <w14:textFill>
                  <w14:solidFill>
                    <w14:schemeClr w14:val="tx1"/>
                  </w14:solidFill>
                </w14:textFill>
              </w:rPr>
            </w:pPr>
            <w:r>
              <w:rPr>
                <w:rFonts w:hint="eastAsia" w:ascii="宋体" w:hAnsi="宋体" w:cs="宋体"/>
                <w:bCs/>
                <w:color w:val="000000" w:themeColor="text1"/>
                <w:sz w:val="18"/>
                <w:szCs w:val="18"/>
                <w14:textFill>
                  <w14:solidFill>
                    <w14:schemeClr w14:val="tx1"/>
                  </w14:solidFill>
                </w14:textFill>
              </w:rPr>
              <w:t>具备虚拟平扫图像成像分析功能</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bCs/>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Cs/>
                <w:color w:val="000000" w:themeColor="text1"/>
                <w:sz w:val="18"/>
                <w:szCs w:val="18"/>
                <w14:textFill>
                  <w14:solidFill>
                    <w14:schemeClr w14:val="tx1"/>
                  </w14:solidFill>
                </w14:textFill>
              </w:rPr>
            </w:pPr>
            <w:r>
              <w:rPr>
                <w:rFonts w:hint="eastAsia" w:ascii="宋体" w:hAnsi="宋体" w:cs="宋体"/>
                <w:sz w:val="18"/>
                <w:szCs w:val="18"/>
              </w:rPr>
              <w:t>3.29</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Cs/>
                <w:color w:val="000000" w:themeColor="text1"/>
                <w:sz w:val="18"/>
                <w:szCs w:val="18"/>
                <w14:textFill>
                  <w14:solidFill>
                    <w14:schemeClr w14:val="tx1"/>
                  </w14:solidFill>
                </w14:textFill>
              </w:rPr>
            </w:pPr>
            <w:r>
              <w:rPr>
                <w:rFonts w:hint="eastAsia" w:ascii="宋体" w:hAnsi="宋体" w:cs="宋体"/>
                <w:bCs/>
                <w:color w:val="000000" w:themeColor="text1"/>
                <w:sz w:val="18"/>
                <w:szCs w:val="18"/>
                <w14:textFill>
                  <w14:solidFill>
                    <w14:schemeClr w14:val="tx1"/>
                  </w14:solidFill>
                </w14:textFill>
              </w:rPr>
              <w:t>具备碘密度图像分析功能</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bCs/>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Cs/>
                <w:color w:val="000000" w:themeColor="text1"/>
                <w:sz w:val="18"/>
                <w:szCs w:val="18"/>
                <w14:textFill>
                  <w14:solidFill>
                    <w14:schemeClr w14:val="tx1"/>
                  </w14:solidFill>
                </w14:textFill>
              </w:rPr>
            </w:pPr>
            <w:r>
              <w:rPr>
                <w:rFonts w:hint="eastAsia" w:ascii="宋体" w:hAnsi="宋体" w:cs="宋体"/>
                <w:sz w:val="18"/>
                <w:szCs w:val="18"/>
              </w:rPr>
              <w:t>3.30</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Cs/>
                <w:color w:val="000000" w:themeColor="text1"/>
                <w:sz w:val="18"/>
                <w:szCs w:val="18"/>
                <w14:textFill>
                  <w14:solidFill>
                    <w14:schemeClr w14:val="tx1"/>
                  </w14:solidFill>
                </w14:textFill>
              </w:rPr>
            </w:pPr>
            <w:r>
              <w:rPr>
                <w:rFonts w:hint="eastAsia" w:ascii="宋体" w:hAnsi="宋体" w:cs="宋体"/>
                <w:bCs/>
                <w:color w:val="000000" w:themeColor="text1"/>
                <w:sz w:val="18"/>
                <w:szCs w:val="18"/>
                <w14:textFill>
                  <w14:solidFill>
                    <w14:schemeClr w14:val="tx1"/>
                  </w14:solidFill>
                </w14:textFill>
              </w:rPr>
              <w:t>具备无水碘含量图像分析功能</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bCs/>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Cs/>
                <w:color w:val="000000" w:themeColor="text1"/>
                <w:sz w:val="18"/>
                <w:szCs w:val="18"/>
                <w14:textFill>
                  <w14:solidFill>
                    <w14:schemeClr w14:val="tx1"/>
                  </w14:solidFill>
                </w14:textFill>
              </w:rPr>
            </w:pPr>
            <w:r>
              <w:rPr>
                <w:rFonts w:hint="eastAsia" w:ascii="宋体" w:hAnsi="宋体" w:cs="宋体"/>
                <w:sz w:val="18"/>
                <w:szCs w:val="18"/>
              </w:rPr>
              <w:t>3.31</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Cs/>
                <w:color w:val="000000" w:themeColor="text1"/>
                <w:sz w:val="18"/>
                <w:szCs w:val="18"/>
                <w14:textFill>
                  <w14:solidFill>
                    <w14:schemeClr w14:val="tx1"/>
                  </w14:solidFill>
                </w14:textFill>
              </w:rPr>
            </w:pPr>
            <w:r>
              <w:rPr>
                <w:rFonts w:hint="eastAsia" w:ascii="宋体" w:hAnsi="宋体" w:cs="宋体"/>
                <w:bCs/>
                <w:color w:val="000000" w:themeColor="text1"/>
                <w:sz w:val="18"/>
                <w:szCs w:val="18"/>
                <w14:textFill>
                  <w14:solidFill>
                    <w14:schemeClr w14:val="tx1"/>
                  </w14:solidFill>
                </w14:textFill>
              </w:rPr>
              <w:t>具备肺栓塞碘剂灌注成像功能</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bCs/>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Cs/>
                <w:color w:val="000000" w:themeColor="text1"/>
                <w:sz w:val="18"/>
                <w:szCs w:val="18"/>
                <w14:textFill>
                  <w14:solidFill>
                    <w14:schemeClr w14:val="tx1"/>
                  </w14:solidFill>
                </w14:textFill>
              </w:rPr>
            </w:pPr>
            <w:r>
              <w:rPr>
                <w:rFonts w:hint="eastAsia" w:ascii="宋体" w:hAnsi="宋体" w:cs="宋体"/>
                <w:sz w:val="18"/>
                <w:szCs w:val="18"/>
              </w:rPr>
              <w:t>3.32</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Cs/>
                <w:color w:val="000000" w:themeColor="text1"/>
                <w:sz w:val="18"/>
                <w:szCs w:val="18"/>
                <w14:textFill>
                  <w14:solidFill>
                    <w14:schemeClr w14:val="tx1"/>
                  </w14:solidFill>
                </w14:textFill>
              </w:rPr>
            </w:pPr>
            <w:r>
              <w:rPr>
                <w:rFonts w:hint="eastAsia" w:ascii="宋体" w:hAnsi="宋体" w:cs="宋体"/>
                <w:bCs/>
                <w:color w:val="000000" w:themeColor="text1"/>
                <w:sz w:val="18"/>
                <w:szCs w:val="18"/>
                <w14:textFill>
                  <w14:solidFill>
                    <w14:schemeClr w14:val="tx1"/>
                  </w14:solidFill>
                </w14:textFill>
              </w:rPr>
              <w:t>具备肺栓塞血管显示功能</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bCs/>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Cs/>
                <w:color w:val="000000" w:themeColor="text1"/>
                <w:sz w:val="18"/>
                <w:szCs w:val="18"/>
                <w14:textFill>
                  <w14:solidFill>
                    <w14:schemeClr w14:val="tx1"/>
                  </w14:solidFill>
                </w14:textFill>
              </w:rPr>
            </w:pPr>
            <w:r>
              <w:rPr>
                <w:rFonts w:hint="eastAsia" w:ascii="宋体" w:hAnsi="宋体" w:cs="宋体"/>
                <w:sz w:val="18"/>
                <w:szCs w:val="18"/>
              </w:rPr>
              <w:t>3.33</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Cs/>
                <w:color w:val="000000" w:themeColor="text1"/>
                <w:sz w:val="18"/>
                <w:szCs w:val="18"/>
                <w14:textFill>
                  <w14:solidFill>
                    <w14:schemeClr w14:val="tx1"/>
                  </w14:solidFill>
                </w14:textFill>
              </w:rPr>
            </w:pPr>
            <w:r>
              <w:rPr>
                <w:rFonts w:hint="eastAsia" w:ascii="宋体" w:hAnsi="宋体" w:cs="宋体"/>
                <w:bCs/>
                <w:color w:val="000000" w:themeColor="text1"/>
                <w:sz w:val="18"/>
                <w:szCs w:val="18"/>
                <w14:textFill>
                  <w14:solidFill>
                    <w14:schemeClr w14:val="tx1"/>
                  </w14:solidFill>
                </w14:textFill>
              </w:rPr>
              <w:t>具备结石定性，定量分析功能</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bCs/>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Cs/>
                <w:color w:val="000000" w:themeColor="text1"/>
                <w:sz w:val="18"/>
                <w:szCs w:val="18"/>
                <w14:textFill>
                  <w14:solidFill>
                    <w14:schemeClr w14:val="tx1"/>
                  </w14:solidFill>
                </w14:textFill>
              </w:rPr>
            </w:pPr>
            <w:r>
              <w:rPr>
                <w:rFonts w:hint="eastAsia" w:ascii="宋体" w:hAnsi="宋体" w:cs="宋体"/>
                <w:sz w:val="18"/>
                <w:szCs w:val="18"/>
              </w:rPr>
              <w:t>3.34</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Cs/>
                <w:color w:val="000000" w:themeColor="text1"/>
                <w:sz w:val="18"/>
                <w:szCs w:val="18"/>
                <w14:textFill>
                  <w14:solidFill>
                    <w14:schemeClr w14:val="tx1"/>
                  </w14:solidFill>
                </w14:textFill>
              </w:rPr>
            </w:pPr>
            <w:r>
              <w:rPr>
                <w:rFonts w:hint="eastAsia" w:ascii="宋体" w:hAnsi="宋体" w:cs="宋体"/>
                <w:bCs/>
                <w:color w:val="000000" w:themeColor="text1"/>
                <w:sz w:val="18"/>
                <w:szCs w:val="18"/>
                <w14:textFill>
                  <w14:solidFill>
                    <w14:schemeClr w14:val="tx1"/>
                  </w14:solidFill>
                </w14:textFill>
              </w:rPr>
              <w:t>具备能量成像散点图分析功能</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bCs/>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Cs/>
                <w:color w:val="000000" w:themeColor="text1"/>
                <w:sz w:val="18"/>
                <w:szCs w:val="18"/>
                <w14:textFill>
                  <w14:solidFill>
                    <w14:schemeClr w14:val="tx1"/>
                  </w14:solidFill>
                </w14:textFill>
              </w:rPr>
            </w:pPr>
            <w:r>
              <w:rPr>
                <w:rFonts w:hint="eastAsia" w:ascii="宋体" w:hAnsi="宋体" w:cs="宋体"/>
                <w:sz w:val="18"/>
                <w:szCs w:val="18"/>
              </w:rPr>
              <w:t>3.35</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Cs/>
                <w:color w:val="000000" w:themeColor="text1"/>
                <w:sz w:val="18"/>
                <w:szCs w:val="18"/>
                <w14:textFill>
                  <w14:solidFill>
                    <w14:schemeClr w14:val="tx1"/>
                  </w14:solidFill>
                </w14:textFill>
              </w:rPr>
            </w:pPr>
            <w:r>
              <w:rPr>
                <w:rFonts w:hint="eastAsia" w:ascii="宋体" w:hAnsi="宋体" w:cs="宋体"/>
                <w:bCs/>
                <w:color w:val="000000" w:themeColor="text1"/>
                <w:sz w:val="18"/>
                <w:szCs w:val="18"/>
                <w14:textFill>
                  <w14:solidFill>
                    <w14:schemeClr w14:val="tx1"/>
                  </w14:solidFill>
                </w14:textFill>
              </w:rPr>
              <w:t>具备能量成像直方图分析功能</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bCs/>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Cs/>
                <w:color w:val="000000" w:themeColor="text1"/>
                <w:sz w:val="18"/>
                <w:szCs w:val="18"/>
                <w14:textFill>
                  <w14:solidFill>
                    <w14:schemeClr w14:val="tx1"/>
                  </w14:solidFill>
                </w14:textFill>
              </w:rPr>
            </w:pPr>
            <w:r>
              <w:rPr>
                <w:rFonts w:hint="eastAsia" w:ascii="宋体" w:hAnsi="宋体" w:cs="宋体"/>
                <w:sz w:val="18"/>
                <w:szCs w:val="18"/>
              </w:rPr>
              <w:t>3.36</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Cs/>
                <w:color w:val="000000" w:themeColor="text1"/>
                <w:sz w:val="18"/>
                <w:szCs w:val="18"/>
                <w14:textFill>
                  <w14:solidFill>
                    <w14:schemeClr w14:val="tx1"/>
                  </w14:solidFill>
                </w14:textFill>
              </w:rPr>
            </w:pPr>
            <w:r>
              <w:rPr>
                <w:rFonts w:hint="eastAsia" w:ascii="宋体" w:hAnsi="宋体" w:cs="宋体"/>
                <w:bCs/>
                <w:color w:val="000000" w:themeColor="text1"/>
                <w:sz w:val="18"/>
                <w:szCs w:val="18"/>
                <w14:textFill>
                  <w14:solidFill>
                    <w14:schemeClr w14:val="tx1"/>
                  </w14:solidFill>
                </w14:textFill>
              </w:rPr>
              <w:t>具备能量成像能谱曲线图分析功能</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bCs/>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Cs/>
                <w:color w:val="000000" w:themeColor="text1"/>
                <w:sz w:val="18"/>
                <w:szCs w:val="18"/>
                <w14:textFill>
                  <w14:solidFill>
                    <w14:schemeClr w14:val="tx1"/>
                  </w14:solidFill>
                </w14:textFill>
              </w:rPr>
            </w:pPr>
            <w:r>
              <w:rPr>
                <w:rFonts w:hint="eastAsia" w:ascii="宋体" w:hAnsi="宋体" w:cs="宋体"/>
                <w:sz w:val="18"/>
                <w:szCs w:val="18"/>
              </w:rPr>
              <w:t>3.37</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在能量扫描与常规扫描条件下都可以实现依据患者体型的管电流自动调节</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Cs/>
                <w:color w:val="000000" w:themeColor="text1"/>
                <w:sz w:val="18"/>
                <w:szCs w:val="18"/>
                <w14:textFill>
                  <w14:solidFill>
                    <w14:schemeClr w14:val="tx1"/>
                  </w14:solidFill>
                </w14:textFill>
              </w:rPr>
            </w:pPr>
            <w:r>
              <w:rPr>
                <w:rFonts w:hint="eastAsia" w:ascii="宋体" w:hAnsi="宋体" w:cs="宋体"/>
                <w:sz w:val="18"/>
                <w:szCs w:val="18"/>
              </w:rPr>
              <w:t>3.39</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具备能量回顾性分析，自动生成40-200Kev能量结果与交互分析</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Cs/>
                <w:color w:val="000000" w:themeColor="text1"/>
                <w:sz w:val="18"/>
                <w:szCs w:val="18"/>
                <w14:textFill>
                  <w14:solidFill>
                    <w14:schemeClr w14:val="tx1"/>
                  </w14:solidFill>
                </w14:textFill>
              </w:rPr>
            </w:pPr>
            <w:r>
              <w:rPr>
                <w:rFonts w:hint="eastAsia" w:ascii="宋体" w:hAnsi="宋体" w:cs="宋体"/>
                <w:sz w:val="18"/>
                <w:szCs w:val="18"/>
              </w:rPr>
              <w:t>3.40</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提供专门算法和图像使用能量数据识别和抑制底层组织上的钙信号</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3.41</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具备骨性区域可视化骨髓病理显示</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3.42</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具备多档调节压钙信号强度的功能</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3.43</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提供专门算法使用能量数据计算不同体素的电子密度</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3.44</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具备电子密度图像分析功能</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3.45</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具备常规图像与能谱图像融合显示功能，并可调整叠加的强度和比较</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3.46</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具备两种不同能谱图像融合显示功能，并可调整叠加的强度和比较</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
                <w:bCs/>
                <w:color w:val="000000" w:themeColor="text1"/>
                <w:sz w:val="18"/>
                <w:szCs w:val="18"/>
                <w14:textFill>
                  <w14:solidFill>
                    <w14:schemeClr w14:val="tx1"/>
                  </w14:solidFill>
                </w14:textFill>
              </w:rPr>
            </w:pPr>
            <w:r>
              <w:rPr>
                <w:rFonts w:hint="eastAsia" w:ascii="宋体" w:hAnsi="宋体" w:cs="宋体"/>
                <w:b/>
                <w:bCs/>
                <w:sz w:val="18"/>
                <w:szCs w:val="18"/>
              </w:rPr>
              <w:t>4</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t>常规心脏成像功能</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b/>
                <w:bCs/>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4.1</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心脏常规扫描时间分辨率≤</w:t>
            </w:r>
            <w:r>
              <w:rPr>
                <w:rFonts w:hint="eastAsia" w:ascii="宋体" w:hAnsi="宋体" w:cs="宋体"/>
                <w:bCs/>
                <w:color w:val="000000" w:themeColor="text1"/>
                <w:sz w:val="18"/>
                <w:szCs w:val="18"/>
                <w14:textFill>
                  <w14:solidFill>
                    <w14:schemeClr w14:val="tx1"/>
                  </w14:solidFill>
                </w14:textFill>
              </w:rPr>
              <w:t>27ms</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4.2</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自动识别躲避不规则心率</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4.3</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心脏一站式成像功能，具备一次扫描同时实现冠脉血管狭窄分析，同时具备能谱数据评估斑块成分，斑块破裂风险预测，心肌活性定量分析功能</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4.4</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心电门控扫描系统（含机架内置心脏门控装置）</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4.5</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心脏扫描参数自动平衡系统：所有扫描参数能自动匹配最佳</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4.6</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前瞻性门控扫描技术</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4.7</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50cmFOV前门控扫描</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4.8</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回顾性门控采集重建技术</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4.9</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4D心脏电影重建</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4.10</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心脏成像一次注药自动触发造影跟踪软件</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4.11</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心脏解剖结构全自动分离功能（心房、心室、冠脉、主动脉、心肌自动识别）</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4.12</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零点击冠脉自动分析功能</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4.13</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冠脉钙化分数评估分析功能</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4.14</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冠脉狭窄率自动测量评价功能</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4.15</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冠脉钙化斑块评估</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4.16</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冠脉搭桥及支架通透性显示和分析功能</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4.17</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心脏彩色透视</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4.18</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类DSA显示功能</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4.19</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冠脉多背景显示≥5种</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4.20</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心脏四腔位自动成像功能</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4.21</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心脏四维评价功能</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4.22</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心功能分析功能包</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4.23</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心功能自动分析参数：射血分数EF、舒张末期容量EDV、收缩末期容量ESV、每搏射血量SV、心输出量CO、心肌质量MM、心率等参数</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4.24</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左、右心室和心房四腔功能分析</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4.25</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选定的心动周期，左右心房、左右心室四腔容积相位曲线显示</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4.26</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自动探测识别舒张末期和收缩末期</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4.27</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心肌供血冠脉分布立体彩色地形图</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4.28</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左心室及瓣膜运动评价</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4.29</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左心室短轴、水平长轴和垂直长轴自动成像</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4.30</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左心室运动功能图评价</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4.31</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左室心肌收缩期-舒张期壁厚度变化图量化显示数值</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4.32</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左心室射血分数功能图评价数值</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4.33</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冠脉球形显示成像功能</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4.34</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冠脉三维地图和二维地图功能</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4.35</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自动/手动ECG心电编辑功能</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4.36</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冠脉魔镜技术，在常规高清显示冠状动脉的钙化斑块及支架结构基础上，进一步突出显示钙化或支架的细节结构</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
                <w:bCs/>
                <w:color w:val="000000" w:themeColor="text1"/>
                <w:sz w:val="18"/>
                <w:szCs w:val="18"/>
                <w14:textFill>
                  <w14:solidFill>
                    <w14:schemeClr w14:val="tx1"/>
                  </w14:solidFill>
                </w14:textFill>
              </w:rPr>
            </w:pPr>
            <w:r>
              <w:rPr>
                <w:rFonts w:hint="eastAsia" w:ascii="宋体" w:hAnsi="宋体" w:cs="宋体"/>
                <w:b/>
                <w:bCs/>
                <w:sz w:val="18"/>
                <w:szCs w:val="18"/>
              </w:rPr>
              <w:t>5</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t>具备心脏能谱成像分析功能</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b/>
                <w:bCs/>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5.1</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具备单球管单KV心脏能谱成像功能，提供技术白皮书或具体扫描方案证实</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5.2</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心脏能谱成像机架最快旋转时间≤0.27秒/360°</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b/>
                <w:color w:val="000000" w:themeColor="text1"/>
                <w:sz w:val="18"/>
                <w:szCs w:val="18"/>
                <w14:textFill>
                  <w14:solidFill>
                    <w14:schemeClr w14:val="tx1"/>
                  </w14:solidFill>
                </w14:textFill>
              </w:rPr>
            </w:pPr>
            <w:r>
              <w:rPr>
                <w:rFonts w:hint="eastAsia" w:ascii="宋体" w:hAnsi="宋体" w:cs="宋体"/>
                <w:sz w:val="18"/>
                <w:szCs w:val="18"/>
              </w:rPr>
              <w:t>5.3</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心脏能谱成像，单只球管最大曝光电流（非等效）≥1000mA</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5.4</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心脏能谱成像，单只球管最小曝光电流（非等效）≤10mA</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5.5</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心脏能谱成像可同时获得心脏常规影像</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5.6</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心脏能谱评估支架内再狭窄</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5.7</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具备200kev去除心脏支架伪影技术</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5.8</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具备能谱分析心肌缺血功能</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5.9</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具备能谱鉴别心肌缺血和非缺血病灶</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5.10</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具备能谱分析血管狭窄功能</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5.11</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具备能谱定性定量评估斑块功能</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
                <w:bCs/>
                <w:color w:val="000000" w:themeColor="text1"/>
                <w:sz w:val="18"/>
                <w:szCs w:val="18"/>
                <w14:textFill>
                  <w14:solidFill>
                    <w14:schemeClr w14:val="tx1"/>
                  </w14:solidFill>
                </w14:textFill>
              </w:rPr>
            </w:pPr>
            <w:r>
              <w:rPr>
                <w:rFonts w:hint="eastAsia" w:ascii="宋体" w:hAnsi="宋体" w:cs="宋体"/>
                <w:b/>
                <w:bCs/>
                <w:sz w:val="18"/>
                <w:szCs w:val="18"/>
              </w:rPr>
              <w:t>6</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t>常规血管成像分析功能</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b/>
                <w:bCs/>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6.1</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常规血管扫描最短扫描时间≤0.27秒/360°</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6.2</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常规血管扫描，单只球管最大曝光电流（非等效）≥1000mA</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b/>
                <w:bCs/>
                <w:color w:val="000000" w:themeColor="text1"/>
                <w:sz w:val="18"/>
                <w:szCs w:val="18"/>
                <w14:textFill>
                  <w14:solidFill>
                    <w14:schemeClr w14:val="tx1"/>
                  </w14:solidFill>
                </w14:textFill>
              </w:rPr>
            </w:pPr>
            <w:r>
              <w:rPr>
                <w:rFonts w:hint="eastAsia" w:ascii="宋体" w:hAnsi="宋体" w:cs="宋体"/>
                <w:sz w:val="18"/>
                <w:szCs w:val="18"/>
              </w:rPr>
              <w:t>6.3</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常规血管扫描，单只球管最小曝光电流（非等效）≤10mA</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6.4</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具备全自动血管量化分析功能，分析数据至少含概：血管长度、 管腔最大/最小直径 、管腔最大/最小截面面积等</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6.5</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全自动骨骼血管分离功能</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6.6</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全自动血管解剖识别功能</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6.7</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随鼠标指针自动显示全身主要血管名称功能</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6.8</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血管拉直分析功能</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6.9</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全自动血管狭窄评估功能</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6.10</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躯干、四肢自动去骨、血管解剖自动识别、分析同步后台预处理功能</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6.11</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后颅窝伪影校正功能</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6.12</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头颅自动去骨功能</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6.13</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全自动头颅血管解剖识别</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6.14</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全自动头颅血管分析功能</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6.15</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自动一键式去骨CT血管重建</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
                <w:bCs/>
                <w:color w:val="000000" w:themeColor="text1"/>
                <w:sz w:val="18"/>
                <w:szCs w:val="18"/>
                <w14:textFill>
                  <w14:solidFill>
                    <w14:schemeClr w14:val="tx1"/>
                  </w14:solidFill>
                </w14:textFill>
              </w:rPr>
            </w:pPr>
            <w:r>
              <w:rPr>
                <w:rFonts w:hint="eastAsia" w:ascii="宋体" w:hAnsi="宋体" w:cs="宋体"/>
                <w:b/>
                <w:bCs/>
                <w:sz w:val="18"/>
                <w:szCs w:val="18"/>
              </w:rPr>
              <w:t>7</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t>具备能谱高级血管成像分析功能</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b/>
                <w:bCs/>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7. 1</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具备单球管单KV血管能谱扫描技术，提供技术白皮书或具体扫描方案证实</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7.2</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血管能谱扫描最短扫描时间≤0.27s/360°</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7.3</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血管能谱扫描，单组高压发生器最大功率（非等效）≥120KW</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b/>
                <w:bCs/>
                <w:color w:val="000000" w:themeColor="text1"/>
                <w:sz w:val="18"/>
                <w:szCs w:val="18"/>
                <w14:textFill>
                  <w14:solidFill>
                    <w14:schemeClr w14:val="tx1"/>
                  </w14:solidFill>
                </w14:textFill>
              </w:rPr>
            </w:pPr>
            <w:r>
              <w:rPr>
                <w:rFonts w:hint="eastAsia" w:ascii="宋体" w:hAnsi="宋体" w:cs="宋体"/>
                <w:sz w:val="18"/>
                <w:szCs w:val="18"/>
              </w:rPr>
              <w:t>7.4</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血管能谱扫描，单只球管最大曝光电流（非等效）≥1000mA</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7.5</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血管能谱扫描，单只球管最小曝光电流（非等效）≤10mA</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7.6</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具备能量数据提取和编辑血管壁和管腔</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7.7</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具备能量数据进行血管病灶分析</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7.8</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具备200kev去除支架伪影技术</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7.9</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具备能量描述血管斑块和狭窄功能</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7.10</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具备可用能量结果比较提取的血管，进行同步分析</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
                <w:bCs/>
                <w:color w:val="000000" w:themeColor="text1"/>
                <w:sz w:val="18"/>
                <w:szCs w:val="18"/>
                <w14:textFill>
                  <w14:solidFill>
                    <w14:schemeClr w14:val="tx1"/>
                  </w14:solidFill>
                </w14:textFill>
              </w:rPr>
            </w:pPr>
            <w:r>
              <w:rPr>
                <w:rFonts w:hint="eastAsia" w:ascii="宋体" w:hAnsi="宋体" w:cs="宋体"/>
                <w:b/>
                <w:bCs/>
                <w:sz w:val="18"/>
                <w:szCs w:val="18"/>
              </w:rPr>
              <w:t>8</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t>肿瘤能谱成像分析功能</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b/>
                <w:bCs/>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8.</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具备单球管单KV肿瘤能谱成像功能，提供技术白皮书或具体扫描方案证实</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8.1</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肿瘤筛查机架最快旋转时间≤0.27秒/360°</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b/>
                <w:bCs/>
                <w:color w:val="000000" w:themeColor="text1"/>
                <w:sz w:val="18"/>
                <w:szCs w:val="18"/>
                <w14:textFill>
                  <w14:solidFill>
                    <w14:schemeClr w14:val="tx1"/>
                  </w14:solidFill>
                </w14:textFill>
              </w:rPr>
            </w:pPr>
            <w:r>
              <w:rPr>
                <w:rFonts w:hint="eastAsia" w:ascii="宋体" w:hAnsi="宋体" w:cs="宋体"/>
                <w:sz w:val="18"/>
                <w:szCs w:val="18"/>
              </w:rPr>
              <w:t>8.2</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具备肿瘤灌注成像功能</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8.3</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肿瘤灌注成像，单组高压发生器最大功率（非等效）≥120KW</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8.4</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肿瘤灌注成像，单只球管最大曝光管电流（非等效）≥1000mA</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8.5</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肿瘤灌注，单只球管最小曝光管电流（非等效）≤10mA</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8.6</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肿瘤灌注成像同时可得到肿瘤能谱信息</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8.7</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能谱评估肿瘤病变碘含量功能</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8.8</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1024矩阵肺部肿瘤超高清成像功能</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8.9</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能谱分析肿瘤转移功能</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8.10</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能谱鉴别肿瘤同源性功能</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8.11</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能谱分析肿瘤物质成分功能</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
                <w:bCs/>
                <w:color w:val="000000" w:themeColor="text1"/>
                <w:sz w:val="18"/>
                <w:szCs w:val="18"/>
                <w14:textFill>
                  <w14:solidFill>
                    <w14:schemeClr w14:val="tx1"/>
                  </w14:solidFill>
                </w14:textFill>
              </w:rPr>
            </w:pPr>
            <w:r>
              <w:rPr>
                <w:rFonts w:hint="eastAsia" w:ascii="宋体" w:hAnsi="宋体" w:cs="宋体"/>
                <w:b/>
                <w:bCs/>
                <w:sz w:val="18"/>
                <w:szCs w:val="18"/>
              </w:rPr>
              <w:t>9</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t>神经系统能谱成像分析功能</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b/>
                <w:bCs/>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9.1</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具备神经系统动态灌注功能</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9.2</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神经系统动态灌注成像机架最快旋转时间≤0.27秒/360°</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b/>
                <w:bCs/>
                <w:color w:val="000000" w:themeColor="text1"/>
                <w:sz w:val="18"/>
                <w:szCs w:val="18"/>
                <w14:textFill>
                  <w14:solidFill>
                    <w14:schemeClr w14:val="tx1"/>
                  </w14:solidFill>
                </w14:textFill>
              </w:rPr>
            </w:pPr>
            <w:r>
              <w:rPr>
                <w:rFonts w:hint="eastAsia" w:ascii="宋体" w:hAnsi="宋体" w:cs="宋体"/>
                <w:sz w:val="18"/>
                <w:szCs w:val="18"/>
              </w:rPr>
              <w:t>9.3</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神经系统动态灌注成像，单只球管最小输出管电流≤10mA</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9.4</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神经系统最大动态灌注扫描范围≥16cm</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9.5</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神经系统灌注成像同时具备能谱信息</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9.6</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具备200keV颅底伪影去除功能</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9.7</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具备能谱评估早期脑缺血功能</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9.8</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具备自动脑出血量定量分析功能</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9.9</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能谱信息强化脑灰白质显示功能</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9.10</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具备神经系统平扫下鉴别脑出血和造影剂功能</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9.11</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具备能谱强化神经系统肿瘤边界显示功能</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9.12</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具备能谱评估神经系统肿瘤与转移病灶同源性功能</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b/>
                <w:sz w:val="18"/>
                <w:szCs w:val="18"/>
              </w:rPr>
              <w:t>10</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
                <w:sz w:val="18"/>
                <w:szCs w:val="18"/>
              </w:rPr>
            </w:pPr>
            <w:r>
              <w:rPr>
                <w:rFonts w:hint="eastAsia" w:ascii="宋体" w:hAnsi="宋体" w:cs="宋体"/>
                <w:b/>
                <w:sz w:val="18"/>
                <w:szCs w:val="18"/>
              </w:rPr>
              <w:t>售后服务和要求</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b/>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10.1</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整机保修（包括球管、高压发生器、探测器）：1年</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10.2</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提供完整的使用手册：安装时院方验收</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10.3</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提供培训计划：投标人说明</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
                <w:sz w:val="18"/>
                <w:szCs w:val="18"/>
              </w:rPr>
            </w:pPr>
            <w:r>
              <w:rPr>
                <w:rFonts w:hint="eastAsia" w:ascii="宋体" w:hAnsi="宋体" w:cs="宋体"/>
                <w:b/>
                <w:sz w:val="18"/>
                <w:szCs w:val="18"/>
              </w:rPr>
              <w:t>11</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
                <w:sz w:val="18"/>
                <w:szCs w:val="18"/>
              </w:rPr>
            </w:pPr>
            <w:r>
              <w:rPr>
                <w:rFonts w:hint="eastAsia" w:ascii="宋体" w:hAnsi="宋体" w:cs="宋体"/>
                <w:b/>
                <w:sz w:val="18"/>
                <w:szCs w:val="18"/>
              </w:rPr>
              <w:t>第三方产品</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b/>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11.1</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无线双通道高压注射器壹台</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11.2</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稳压柜壹台</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11.3</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计算机UPS（30分钟）壹台</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11.4</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机房门更改为门机联动门（一套）</w:t>
            </w:r>
          </w:p>
        </w:tc>
        <w:tc>
          <w:tcPr>
            <w:tcW w:w="861" w:type="dxa"/>
            <w:vMerge w:val="continue"/>
            <w:tcBorders>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p>
        </w:tc>
      </w:tr>
    </w:tbl>
    <w:p>
      <w:pPr>
        <w:ind w:firstLine="210" w:firstLineChars="100"/>
        <w:rPr>
          <w:rFonts w:ascii="宋体" w:hAnsi="宋体" w:cs="宋体"/>
        </w:rPr>
      </w:pPr>
    </w:p>
    <w:p>
      <w:pPr>
        <w:ind w:firstLine="210" w:firstLineChars="100"/>
        <w:rPr>
          <w:rFonts w:ascii="宋体" w:hAnsi="宋体" w:cs="宋体"/>
          <w:b/>
          <w:bCs/>
        </w:rPr>
      </w:pPr>
      <w:r>
        <w:rPr>
          <w:rFonts w:hint="eastAsia" w:ascii="宋体" w:hAnsi="宋体" w:cs="宋体"/>
          <w:b/>
          <w:bCs/>
        </w:rPr>
        <w:t>备注：对以上产品的要求非唯一指定要求，如有与某产品的指标或参数描述相同，并非特指，仅为产品质量、档次、水平的参照，未注明的规格应符合国家有关行业标准，优于技术规格要求的品牌产品，采购人均可接受。</w:t>
      </w:r>
    </w:p>
    <w:p>
      <w:pPr>
        <w:ind w:firstLine="220" w:firstLineChars="100"/>
        <w:jc w:val="center"/>
        <w:rPr>
          <w:rFonts w:ascii="宋体" w:hAnsi="宋体" w:cs="宋体"/>
          <w:b/>
          <w:sz w:val="22"/>
          <w:szCs w:val="22"/>
        </w:rPr>
      </w:pPr>
    </w:p>
    <w:p>
      <w:pPr>
        <w:pStyle w:val="4"/>
        <w:jc w:val="center"/>
        <w:rPr>
          <w:rFonts w:ascii="宋体" w:hAnsi="宋体" w:cs="宋体"/>
          <w:sz w:val="40"/>
        </w:rPr>
      </w:pPr>
      <w:bookmarkStart w:id="55" w:name="_Toc22022"/>
      <w:r>
        <w:rPr>
          <w:rFonts w:hint="eastAsia" w:ascii="宋体" w:hAnsi="宋体" w:cs="宋体"/>
          <w:sz w:val="40"/>
        </w:rPr>
        <w:t>第四章  合同条款及格式</w:t>
      </w:r>
      <w:bookmarkEnd w:id="55"/>
    </w:p>
    <w:p>
      <w:pPr>
        <w:pStyle w:val="45"/>
        <w:ind w:firstLine="522"/>
        <w:jc w:val="center"/>
        <w:rPr>
          <w:rFonts w:ascii="宋体" w:hAnsi="宋体" w:cs="宋体"/>
          <w:b/>
          <w:sz w:val="24"/>
          <w:szCs w:val="24"/>
        </w:rPr>
      </w:pPr>
      <w:bookmarkStart w:id="56" w:name="_Toc87235879"/>
      <w:bookmarkStart w:id="57" w:name="_Toc213387205"/>
      <w:bookmarkStart w:id="58" w:name="_Toc175480073"/>
      <w:r>
        <w:rPr>
          <w:rFonts w:hint="eastAsia" w:ascii="宋体" w:hAnsi="宋体" w:cs="宋体"/>
          <w:b/>
          <w:sz w:val="24"/>
          <w:szCs w:val="24"/>
        </w:rPr>
        <w:t>货物采购合同</w:t>
      </w:r>
    </w:p>
    <w:p>
      <w:pPr>
        <w:pStyle w:val="45"/>
        <w:ind w:firstLine="522"/>
        <w:jc w:val="center"/>
        <w:rPr>
          <w:rFonts w:ascii="宋体" w:hAnsi="宋体" w:cs="宋体"/>
          <w:b/>
          <w:sz w:val="24"/>
          <w:szCs w:val="24"/>
        </w:rPr>
      </w:pPr>
      <w:r>
        <w:rPr>
          <w:rFonts w:hint="eastAsia" w:ascii="宋体" w:hAnsi="宋体" w:cs="宋体"/>
          <w:b/>
          <w:sz w:val="24"/>
          <w:szCs w:val="24"/>
        </w:rPr>
        <w:t>（参考格式，详细条款由招标人、中标人约定）</w:t>
      </w:r>
    </w:p>
    <w:p>
      <w:pPr>
        <w:pStyle w:val="45"/>
        <w:spacing w:line="300" w:lineRule="exact"/>
        <w:ind w:firstLine="520"/>
        <w:rPr>
          <w:rFonts w:ascii="宋体" w:hAnsi="宋体" w:cs="宋体"/>
          <w:bCs/>
          <w:sz w:val="24"/>
          <w:szCs w:val="24"/>
        </w:rPr>
      </w:pPr>
      <w:r>
        <w:rPr>
          <w:rFonts w:hint="eastAsia" w:ascii="宋体" w:hAnsi="宋体" w:cs="宋体"/>
          <w:bCs/>
          <w:sz w:val="24"/>
          <w:szCs w:val="24"/>
        </w:rPr>
        <w:t>甲方(需方):____________________</w:t>
      </w:r>
    </w:p>
    <w:p>
      <w:pPr>
        <w:pStyle w:val="45"/>
        <w:spacing w:line="300" w:lineRule="exact"/>
        <w:ind w:firstLine="520"/>
        <w:rPr>
          <w:rFonts w:ascii="宋体" w:hAnsi="宋体" w:cs="宋体"/>
          <w:bCs/>
          <w:sz w:val="24"/>
          <w:szCs w:val="24"/>
        </w:rPr>
      </w:pPr>
      <w:r>
        <w:rPr>
          <w:rFonts w:hint="eastAsia" w:ascii="宋体" w:hAnsi="宋体" w:cs="宋体"/>
          <w:bCs/>
          <w:sz w:val="24"/>
          <w:szCs w:val="24"/>
        </w:rPr>
        <w:t>乙方(供方):____________________</w:t>
      </w:r>
    </w:p>
    <w:p>
      <w:pPr>
        <w:pStyle w:val="45"/>
        <w:spacing w:line="300" w:lineRule="exact"/>
        <w:ind w:firstLine="520"/>
        <w:rPr>
          <w:rFonts w:ascii="宋体" w:hAnsi="宋体" w:cs="宋体"/>
          <w:bCs/>
          <w:sz w:val="24"/>
          <w:szCs w:val="24"/>
        </w:rPr>
      </w:pPr>
      <w:r>
        <w:rPr>
          <w:rFonts w:hint="eastAsia" w:ascii="宋体" w:hAnsi="宋体" w:cs="宋体"/>
          <w:bCs/>
          <w:sz w:val="24"/>
          <w:szCs w:val="24"/>
        </w:rPr>
        <w:t>经过双方友好协商,依据《中华人民共和国合同法》,双方同意签订以下合同条款,以便双方共同遵守,履行合同.</w:t>
      </w:r>
    </w:p>
    <w:p>
      <w:pPr>
        <w:pStyle w:val="45"/>
        <w:spacing w:line="300" w:lineRule="exact"/>
        <w:ind w:firstLine="520"/>
        <w:rPr>
          <w:rFonts w:ascii="宋体" w:hAnsi="宋体" w:cs="宋体"/>
          <w:bCs/>
          <w:sz w:val="24"/>
          <w:szCs w:val="24"/>
        </w:rPr>
      </w:pPr>
      <w:r>
        <w:rPr>
          <w:rFonts w:hint="eastAsia" w:ascii="宋体" w:hAnsi="宋体" w:cs="宋体"/>
          <w:bCs/>
          <w:sz w:val="24"/>
          <w:szCs w:val="24"/>
        </w:rPr>
        <w:t>一,产品清单及付款方式</w:t>
      </w:r>
    </w:p>
    <w:p>
      <w:pPr>
        <w:pStyle w:val="45"/>
        <w:spacing w:line="300" w:lineRule="exact"/>
        <w:ind w:firstLine="520"/>
        <w:rPr>
          <w:rFonts w:ascii="宋体" w:hAnsi="宋体" w:cs="宋体"/>
          <w:bCs/>
          <w:sz w:val="24"/>
          <w:szCs w:val="24"/>
        </w:rPr>
      </w:pPr>
      <w:r>
        <w:rPr>
          <w:rFonts w:hint="eastAsia" w:ascii="宋体" w:hAnsi="宋体" w:cs="宋体"/>
          <w:bCs/>
          <w:sz w:val="24"/>
          <w:szCs w:val="24"/>
        </w:rPr>
        <w:t>1.产品清单及价格(此表须与采购文件一致,可附后)</w:t>
      </w:r>
    </w:p>
    <w:p>
      <w:pPr>
        <w:pStyle w:val="45"/>
        <w:spacing w:line="300" w:lineRule="exact"/>
        <w:ind w:firstLine="520"/>
        <w:rPr>
          <w:rFonts w:ascii="宋体" w:hAnsi="宋体" w:cs="宋体"/>
          <w:bCs/>
          <w:sz w:val="24"/>
          <w:szCs w:val="24"/>
        </w:rPr>
      </w:pPr>
      <w:r>
        <w:rPr>
          <w:rFonts w:hint="eastAsia" w:ascii="宋体" w:hAnsi="宋体" w:cs="宋体"/>
          <w:bCs/>
          <w:sz w:val="24"/>
          <w:szCs w:val="24"/>
        </w:rPr>
        <w:t>设备名称 ____________________</w:t>
      </w:r>
    </w:p>
    <w:p>
      <w:pPr>
        <w:pStyle w:val="45"/>
        <w:spacing w:line="300" w:lineRule="exact"/>
        <w:ind w:firstLine="520"/>
        <w:rPr>
          <w:rFonts w:ascii="宋体" w:hAnsi="宋体" w:cs="宋体"/>
          <w:bCs/>
          <w:sz w:val="24"/>
          <w:szCs w:val="24"/>
        </w:rPr>
      </w:pPr>
      <w:r>
        <w:rPr>
          <w:rFonts w:hint="eastAsia" w:ascii="宋体" w:hAnsi="宋体" w:cs="宋体"/>
          <w:bCs/>
          <w:sz w:val="24"/>
          <w:szCs w:val="24"/>
        </w:rPr>
        <w:t>设备型号 ____________________</w:t>
      </w:r>
    </w:p>
    <w:p>
      <w:pPr>
        <w:pStyle w:val="45"/>
        <w:spacing w:line="300" w:lineRule="exact"/>
        <w:ind w:firstLine="520"/>
        <w:rPr>
          <w:rFonts w:ascii="宋体" w:hAnsi="宋体" w:cs="宋体"/>
          <w:bCs/>
          <w:sz w:val="24"/>
          <w:szCs w:val="24"/>
        </w:rPr>
      </w:pPr>
      <w:r>
        <w:rPr>
          <w:rFonts w:hint="eastAsia" w:ascii="宋体" w:hAnsi="宋体" w:cs="宋体"/>
          <w:bCs/>
          <w:sz w:val="24"/>
          <w:szCs w:val="24"/>
        </w:rPr>
        <w:t xml:space="preserve">数量 ____________________   </w:t>
      </w:r>
    </w:p>
    <w:p>
      <w:pPr>
        <w:pStyle w:val="45"/>
        <w:spacing w:line="300" w:lineRule="exact"/>
        <w:ind w:firstLine="520"/>
        <w:rPr>
          <w:rFonts w:ascii="宋体" w:hAnsi="宋体" w:cs="宋体"/>
          <w:bCs/>
          <w:sz w:val="24"/>
          <w:szCs w:val="24"/>
        </w:rPr>
      </w:pPr>
      <w:r>
        <w:rPr>
          <w:rFonts w:hint="eastAsia" w:ascii="宋体" w:hAnsi="宋体" w:cs="宋体"/>
          <w:bCs/>
          <w:sz w:val="24"/>
          <w:szCs w:val="24"/>
        </w:rPr>
        <w:t>单价 ____________________</w:t>
      </w:r>
    </w:p>
    <w:p>
      <w:pPr>
        <w:pStyle w:val="45"/>
        <w:spacing w:line="300" w:lineRule="exact"/>
        <w:ind w:firstLine="520"/>
        <w:rPr>
          <w:rFonts w:ascii="宋体" w:hAnsi="宋体" w:cs="宋体"/>
          <w:bCs/>
          <w:sz w:val="24"/>
          <w:szCs w:val="24"/>
        </w:rPr>
      </w:pPr>
      <w:r>
        <w:rPr>
          <w:rFonts w:hint="eastAsia" w:ascii="宋体" w:hAnsi="宋体" w:cs="宋体"/>
          <w:bCs/>
          <w:sz w:val="24"/>
          <w:szCs w:val="24"/>
        </w:rPr>
        <w:t>合计 ____________________</w:t>
      </w:r>
    </w:p>
    <w:p>
      <w:pPr>
        <w:pStyle w:val="45"/>
        <w:spacing w:line="300" w:lineRule="exact"/>
        <w:ind w:firstLine="520"/>
        <w:rPr>
          <w:rFonts w:ascii="宋体" w:hAnsi="宋体" w:cs="宋体"/>
          <w:bCs/>
          <w:sz w:val="24"/>
          <w:szCs w:val="24"/>
        </w:rPr>
      </w:pPr>
      <w:r>
        <w:rPr>
          <w:rFonts w:hint="eastAsia" w:ascii="宋体" w:hAnsi="宋体" w:cs="宋体"/>
          <w:bCs/>
          <w:sz w:val="24"/>
          <w:szCs w:val="24"/>
        </w:rPr>
        <w:t>中标总价格(大写)</w:t>
      </w:r>
    </w:p>
    <w:p>
      <w:pPr>
        <w:pStyle w:val="45"/>
        <w:spacing w:line="300" w:lineRule="exact"/>
        <w:ind w:firstLine="520"/>
        <w:rPr>
          <w:rFonts w:ascii="宋体" w:hAnsi="宋体" w:cs="宋体"/>
          <w:bCs/>
          <w:sz w:val="24"/>
          <w:szCs w:val="24"/>
        </w:rPr>
      </w:pPr>
      <w:r>
        <w:rPr>
          <w:rFonts w:hint="eastAsia" w:ascii="宋体" w:hAnsi="宋体" w:cs="宋体"/>
          <w:bCs/>
          <w:sz w:val="24"/>
          <w:szCs w:val="24"/>
        </w:rPr>
        <w:t>2.付款方式</w:t>
      </w:r>
    </w:p>
    <w:p>
      <w:pPr>
        <w:pStyle w:val="45"/>
        <w:spacing w:line="300" w:lineRule="exact"/>
        <w:ind w:firstLine="520"/>
        <w:rPr>
          <w:rFonts w:ascii="宋体" w:hAnsi="宋体" w:cs="宋体"/>
          <w:bCs/>
          <w:sz w:val="24"/>
          <w:szCs w:val="24"/>
        </w:rPr>
      </w:pPr>
      <w:r>
        <w:rPr>
          <w:rFonts w:hint="eastAsia" w:ascii="宋体" w:hAnsi="宋体" w:cs="宋体"/>
          <w:bCs/>
          <w:sz w:val="24"/>
          <w:szCs w:val="24"/>
        </w:rPr>
        <w:t>全部设备验收合格后的七日内,甲方向乙方支付合同总金额的</w:t>
      </w:r>
      <w:r>
        <w:rPr>
          <w:rFonts w:hint="eastAsia" w:ascii="宋体" w:hAnsi="宋体" w:cs="宋体"/>
          <w:bCs/>
          <w:sz w:val="24"/>
          <w:szCs w:val="24"/>
          <w:u w:val="single"/>
        </w:rPr>
        <w:t xml:space="preserve">         </w:t>
      </w:r>
      <w:r>
        <w:rPr>
          <w:rFonts w:hint="eastAsia" w:ascii="宋体" w:hAnsi="宋体" w:cs="宋体"/>
          <w:bCs/>
          <w:sz w:val="24"/>
          <w:szCs w:val="24"/>
        </w:rPr>
        <w:t>元人民币整.若延期付款,甲方每天应向乙方缴纳延期额的千分之一作为罚金.</w:t>
      </w:r>
    </w:p>
    <w:p>
      <w:pPr>
        <w:pStyle w:val="45"/>
        <w:spacing w:line="300" w:lineRule="exact"/>
        <w:ind w:firstLine="520"/>
        <w:rPr>
          <w:rFonts w:ascii="宋体" w:hAnsi="宋体" w:cs="宋体"/>
          <w:bCs/>
          <w:sz w:val="24"/>
          <w:szCs w:val="24"/>
        </w:rPr>
      </w:pPr>
      <w:r>
        <w:rPr>
          <w:rFonts w:hint="eastAsia" w:ascii="宋体" w:hAnsi="宋体" w:cs="宋体"/>
          <w:bCs/>
          <w:sz w:val="24"/>
          <w:szCs w:val="24"/>
        </w:rPr>
        <w:t>二,交货时间及地点</w:t>
      </w:r>
    </w:p>
    <w:p>
      <w:pPr>
        <w:pStyle w:val="45"/>
        <w:spacing w:line="300" w:lineRule="exact"/>
        <w:ind w:firstLine="520"/>
        <w:rPr>
          <w:rFonts w:ascii="宋体" w:hAnsi="宋体" w:cs="宋体"/>
          <w:bCs/>
          <w:sz w:val="24"/>
          <w:szCs w:val="24"/>
        </w:rPr>
      </w:pPr>
      <w:r>
        <w:rPr>
          <w:rFonts w:hint="eastAsia" w:ascii="宋体" w:hAnsi="宋体" w:cs="宋体"/>
          <w:bCs/>
          <w:sz w:val="24"/>
          <w:szCs w:val="24"/>
        </w:rPr>
        <w:t>1.交货时间: (采购文件承诺时间).若延期交货,乙方每天应向甲方缴纳延期额的千分之一作为罚金.</w:t>
      </w:r>
    </w:p>
    <w:p>
      <w:pPr>
        <w:pStyle w:val="45"/>
        <w:spacing w:line="300" w:lineRule="exact"/>
        <w:ind w:firstLine="520"/>
        <w:rPr>
          <w:rFonts w:ascii="宋体" w:hAnsi="宋体" w:cs="宋体"/>
          <w:bCs/>
          <w:sz w:val="24"/>
          <w:szCs w:val="24"/>
        </w:rPr>
      </w:pPr>
      <w:r>
        <w:rPr>
          <w:rFonts w:hint="eastAsia" w:ascii="宋体" w:hAnsi="宋体" w:cs="宋体"/>
          <w:bCs/>
          <w:sz w:val="24"/>
          <w:szCs w:val="24"/>
        </w:rPr>
        <w:t>因不可抗拒力所导致的交货,服务及付款延迟等按照《中华人民共和国合同法》有关条文处理.</w:t>
      </w:r>
    </w:p>
    <w:p>
      <w:pPr>
        <w:pStyle w:val="45"/>
        <w:spacing w:line="300" w:lineRule="exact"/>
        <w:ind w:firstLine="520"/>
        <w:rPr>
          <w:rFonts w:ascii="宋体" w:hAnsi="宋体" w:cs="宋体"/>
          <w:bCs/>
          <w:sz w:val="24"/>
          <w:szCs w:val="24"/>
        </w:rPr>
      </w:pPr>
      <w:r>
        <w:rPr>
          <w:rFonts w:hint="eastAsia" w:ascii="宋体" w:hAnsi="宋体" w:cs="宋体"/>
          <w:bCs/>
          <w:sz w:val="24"/>
          <w:szCs w:val="24"/>
        </w:rPr>
        <w:t>2.交货地点:送货上门,安装调试.</w:t>
      </w:r>
    </w:p>
    <w:p>
      <w:pPr>
        <w:pStyle w:val="45"/>
        <w:spacing w:line="300" w:lineRule="exact"/>
        <w:ind w:firstLine="520"/>
        <w:rPr>
          <w:rFonts w:ascii="宋体" w:hAnsi="宋体" w:cs="宋体"/>
          <w:bCs/>
          <w:sz w:val="24"/>
          <w:szCs w:val="24"/>
        </w:rPr>
      </w:pPr>
      <w:r>
        <w:rPr>
          <w:rFonts w:hint="eastAsia" w:ascii="宋体" w:hAnsi="宋体" w:cs="宋体"/>
          <w:bCs/>
          <w:sz w:val="24"/>
          <w:szCs w:val="24"/>
        </w:rPr>
        <w:t>三,保修条款</w:t>
      </w:r>
    </w:p>
    <w:p>
      <w:pPr>
        <w:pStyle w:val="45"/>
        <w:spacing w:line="300" w:lineRule="exact"/>
        <w:ind w:firstLine="520"/>
        <w:rPr>
          <w:rFonts w:ascii="宋体" w:hAnsi="宋体" w:cs="宋体"/>
          <w:bCs/>
          <w:sz w:val="24"/>
          <w:szCs w:val="24"/>
        </w:rPr>
      </w:pPr>
      <w:r>
        <w:rPr>
          <w:rFonts w:hint="eastAsia" w:ascii="宋体" w:hAnsi="宋体" w:cs="宋体"/>
          <w:bCs/>
          <w:sz w:val="24"/>
          <w:szCs w:val="24"/>
        </w:rPr>
        <w:t>乙方针对本项目的售后服务保修措施详述(采购文件承诺内容).</w:t>
      </w:r>
    </w:p>
    <w:p>
      <w:pPr>
        <w:pStyle w:val="45"/>
        <w:spacing w:line="300" w:lineRule="exact"/>
        <w:ind w:firstLine="520"/>
        <w:rPr>
          <w:rFonts w:ascii="宋体" w:hAnsi="宋体" w:cs="宋体"/>
          <w:bCs/>
          <w:sz w:val="24"/>
          <w:szCs w:val="24"/>
        </w:rPr>
      </w:pPr>
      <w:r>
        <w:rPr>
          <w:rFonts w:hint="eastAsia" w:ascii="宋体" w:hAnsi="宋体" w:cs="宋体"/>
          <w:bCs/>
          <w:sz w:val="24"/>
          <w:szCs w:val="24"/>
        </w:rPr>
        <w:t>下例情况不属保修范围:</w:t>
      </w:r>
    </w:p>
    <w:p>
      <w:pPr>
        <w:pStyle w:val="45"/>
        <w:spacing w:line="300" w:lineRule="exact"/>
        <w:ind w:firstLine="520"/>
        <w:rPr>
          <w:rFonts w:ascii="宋体" w:hAnsi="宋体" w:cs="宋体"/>
          <w:bCs/>
          <w:sz w:val="24"/>
          <w:szCs w:val="24"/>
        </w:rPr>
      </w:pPr>
      <w:r>
        <w:rPr>
          <w:rFonts w:hint="eastAsia" w:ascii="宋体" w:hAnsi="宋体" w:cs="宋体"/>
          <w:bCs/>
          <w:sz w:val="24"/>
          <w:szCs w:val="24"/>
        </w:rPr>
        <w:t>1.不可抗力引起的损害;</w:t>
      </w:r>
    </w:p>
    <w:p>
      <w:pPr>
        <w:pStyle w:val="45"/>
        <w:spacing w:line="300" w:lineRule="exact"/>
        <w:ind w:firstLine="520"/>
        <w:rPr>
          <w:rFonts w:ascii="宋体" w:hAnsi="宋体" w:cs="宋体"/>
          <w:bCs/>
          <w:sz w:val="24"/>
          <w:szCs w:val="24"/>
        </w:rPr>
      </w:pPr>
      <w:r>
        <w:rPr>
          <w:rFonts w:hint="eastAsia" w:ascii="宋体" w:hAnsi="宋体" w:cs="宋体"/>
          <w:bCs/>
          <w:sz w:val="24"/>
          <w:szCs w:val="24"/>
        </w:rPr>
        <w:t>2.用户电力系统故障(如接地不良,电压超过规定范围等)引起的损坏;</w:t>
      </w:r>
    </w:p>
    <w:p>
      <w:pPr>
        <w:pStyle w:val="45"/>
        <w:spacing w:line="300" w:lineRule="exact"/>
        <w:ind w:firstLine="520"/>
        <w:rPr>
          <w:rFonts w:ascii="宋体" w:hAnsi="宋体" w:cs="宋体"/>
          <w:bCs/>
          <w:sz w:val="24"/>
          <w:szCs w:val="24"/>
        </w:rPr>
      </w:pPr>
      <w:r>
        <w:rPr>
          <w:rFonts w:hint="eastAsia" w:ascii="宋体" w:hAnsi="宋体" w:cs="宋体"/>
          <w:bCs/>
          <w:sz w:val="24"/>
          <w:szCs w:val="24"/>
        </w:rPr>
        <w:t>3.用户私自维修引起的损坏;</w:t>
      </w:r>
    </w:p>
    <w:p>
      <w:pPr>
        <w:pStyle w:val="45"/>
        <w:spacing w:line="300" w:lineRule="exact"/>
        <w:ind w:firstLine="520"/>
        <w:rPr>
          <w:rFonts w:ascii="宋体" w:hAnsi="宋体" w:cs="宋体"/>
          <w:bCs/>
          <w:sz w:val="24"/>
          <w:szCs w:val="24"/>
        </w:rPr>
      </w:pPr>
      <w:r>
        <w:rPr>
          <w:rFonts w:hint="eastAsia" w:ascii="宋体" w:hAnsi="宋体" w:cs="宋体"/>
          <w:bCs/>
          <w:sz w:val="24"/>
          <w:szCs w:val="24"/>
        </w:rPr>
        <w:t>4.用户自行造成的机械损坏(用户正常使用除外);</w:t>
      </w:r>
    </w:p>
    <w:p>
      <w:pPr>
        <w:pStyle w:val="45"/>
        <w:spacing w:line="300" w:lineRule="exact"/>
        <w:ind w:firstLine="520"/>
        <w:rPr>
          <w:rFonts w:ascii="宋体" w:hAnsi="宋体" w:cs="宋体"/>
          <w:bCs/>
          <w:sz w:val="24"/>
          <w:szCs w:val="24"/>
        </w:rPr>
      </w:pPr>
      <w:r>
        <w:rPr>
          <w:rFonts w:hint="eastAsia" w:ascii="宋体" w:hAnsi="宋体" w:cs="宋体"/>
          <w:bCs/>
          <w:sz w:val="24"/>
          <w:szCs w:val="24"/>
        </w:rPr>
        <w:t>5.其它不属于供应商负担的保修事宜.</w:t>
      </w:r>
    </w:p>
    <w:p>
      <w:pPr>
        <w:pStyle w:val="45"/>
        <w:spacing w:line="300" w:lineRule="exact"/>
        <w:ind w:firstLine="520"/>
        <w:rPr>
          <w:rFonts w:ascii="宋体" w:hAnsi="宋体" w:cs="宋体"/>
          <w:bCs/>
          <w:sz w:val="24"/>
          <w:szCs w:val="24"/>
        </w:rPr>
      </w:pPr>
      <w:r>
        <w:rPr>
          <w:rFonts w:hint="eastAsia" w:ascii="宋体" w:hAnsi="宋体" w:cs="宋体"/>
          <w:bCs/>
          <w:sz w:val="24"/>
          <w:szCs w:val="24"/>
        </w:rPr>
        <w:t>四,相关权利及义务</w:t>
      </w:r>
    </w:p>
    <w:p>
      <w:pPr>
        <w:pStyle w:val="45"/>
        <w:spacing w:line="300" w:lineRule="exact"/>
        <w:ind w:firstLine="520"/>
        <w:rPr>
          <w:rFonts w:ascii="宋体" w:hAnsi="宋体" w:cs="宋体"/>
          <w:bCs/>
          <w:sz w:val="24"/>
          <w:szCs w:val="24"/>
        </w:rPr>
      </w:pPr>
      <w:r>
        <w:rPr>
          <w:rFonts w:hint="eastAsia" w:ascii="宋体" w:hAnsi="宋体" w:cs="宋体"/>
          <w:bCs/>
          <w:sz w:val="24"/>
          <w:szCs w:val="24"/>
        </w:rPr>
        <w:t>1.甲方收到乙方设备后,乙方应及时验收,验收时可对不符合合同要求及评标样本的设备或产品拒绝接收;</w:t>
      </w:r>
    </w:p>
    <w:p>
      <w:pPr>
        <w:pStyle w:val="45"/>
        <w:spacing w:line="300" w:lineRule="exact"/>
        <w:ind w:firstLine="520"/>
        <w:rPr>
          <w:rFonts w:ascii="宋体" w:hAnsi="宋体" w:cs="宋体"/>
          <w:bCs/>
          <w:sz w:val="24"/>
          <w:szCs w:val="24"/>
        </w:rPr>
      </w:pPr>
      <w:r>
        <w:rPr>
          <w:rFonts w:hint="eastAsia" w:ascii="宋体" w:hAnsi="宋体" w:cs="宋体"/>
          <w:bCs/>
          <w:sz w:val="24"/>
          <w:szCs w:val="24"/>
        </w:rPr>
        <w:t>2.甲方有权监督乙方对所交付设备进行安装调试,并督导完成;</w:t>
      </w:r>
    </w:p>
    <w:p>
      <w:pPr>
        <w:pStyle w:val="45"/>
        <w:spacing w:line="300" w:lineRule="exact"/>
        <w:ind w:firstLine="520"/>
        <w:rPr>
          <w:rFonts w:ascii="宋体" w:hAnsi="宋体" w:cs="宋体"/>
          <w:bCs/>
          <w:sz w:val="24"/>
          <w:szCs w:val="24"/>
        </w:rPr>
      </w:pPr>
      <w:r>
        <w:rPr>
          <w:rFonts w:hint="eastAsia" w:ascii="宋体" w:hAnsi="宋体" w:cs="宋体"/>
          <w:bCs/>
          <w:sz w:val="24"/>
          <w:szCs w:val="24"/>
        </w:rPr>
        <w:t>3.甲方有权监督乙方的售后服务,并对乙方的售后服务不符合合同要求时加以指出乃至追究合同责任;</w:t>
      </w:r>
    </w:p>
    <w:p>
      <w:pPr>
        <w:pStyle w:val="45"/>
        <w:spacing w:line="300" w:lineRule="exact"/>
        <w:ind w:firstLine="520"/>
        <w:rPr>
          <w:rFonts w:ascii="宋体" w:hAnsi="宋体" w:cs="宋体"/>
          <w:bCs/>
          <w:sz w:val="24"/>
          <w:szCs w:val="24"/>
        </w:rPr>
      </w:pPr>
      <w:r>
        <w:rPr>
          <w:rFonts w:hint="eastAsia" w:ascii="宋体" w:hAnsi="宋体" w:cs="宋体"/>
          <w:bCs/>
          <w:sz w:val="24"/>
          <w:szCs w:val="24"/>
        </w:rPr>
        <w:t>4.甲方在合同规定期限内履行付款责任;</w:t>
      </w:r>
    </w:p>
    <w:p>
      <w:pPr>
        <w:pStyle w:val="45"/>
        <w:spacing w:line="300" w:lineRule="exact"/>
        <w:ind w:firstLine="520"/>
        <w:rPr>
          <w:rFonts w:ascii="宋体" w:hAnsi="宋体" w:cs="宋体"/>
          <w:bCs/>
          <w:sz w:val="24"/>
          <w:szCs w:val="24"/>
        </w:rPr>
      </w:pPr>
      <w:r>
        <w:rPr>
          <w:rFonts w:hint="eastAsia" w:ascii="宋体" w:hAnsi="宋体" w:cs="宋体"/>
          <w:bCs/>
          <w:sz w:val="24"/>
          <w:szCs w:val="24"/>
        </w:rPr>
        <w:t>5.甲方在乙方进行安装调试时应给予协助和协调各方关系,乙方应及时提出需要甲方协助和协调的内容,以便保证合同的正常履行;</w:t>
      </w:r>
    </w:p>
    <w:p>
      <w:pPr>
        <w:pStyle w:val="45"/>
        <w:spacing w:line="300" w:lineRule="exact"/>
        <w:ind w:firstLine="520"/>
        <w:rPr>
          <w:rFonts w:ascii="宋体" w:hAnsi="宋体" w:cs="宋体"/>
          <w:bCs/>
          <w:sz w:val="24"/>
          <w:szCs w:val="24"/>
        </w:rPr>
      </w:pPr>
      <w:r>
        <w:rPr>
          <w:rFonts w:hint="eastAsia" w:ascii="宋体" w:hAnsi="宋体" w:cs="宋体"/>
          <w:bCs/>
          <w:sz w:val="24"/>
          <w:szCs w:val="24"/>
        </w:rPr>
        <w:t>6.甲方对乙方的技术及商业机密予以保密;</w:t>
      </w:r>
    </w:p>
    <w:p>
      <w:pPr>
        <w:pStyle w:val="45"/>
        <w:spacing w:line="300" w:lineRule="exact"/>
        <w:ind w:firstLine="520"/>
        <w:rPr>
          <w:rFonts w:ascii="宋体" w:hAnsi="宋体" w:cs="宋体"/>
          <w:bCs/>
          <w:sz w:val="24"/>
          <w:szCs w:val="24"/>
        </w:rPr>
      </w:pPr>
      <w:r>
        <w:rPr>
          <w:rFonts w:hint="eastAsia" w:ascii="宋体" w:hAnsi="宋体" w:cs="宋体"/>
          <w:bCs/>
          <w:sz w:val="24"/>
          <w:szCs w:val="24"/>
        </w:rPr>
        <w:t>7.乙方有权按照合同,要求甲方支付相应款项;</w:t>
      </w:r>
    </w:p>
    <w:p>
      <w:pPr>
        <w:pStyle w:val="45"/>
        <w:spacing w:line="300" w:lineRule="exact"/>
        <w:ind w:firstLine="520"/>
        <w:rPr>
          <w:rFonts w:ascii="宋体" w:hAnsi="宋体" w:cs="宋体"/>
          <w:bCs/>
          <w:sz w:val="24"/>
          <w:szCs w:val="24"/>
        </w:rPr>
      </w:pPr>
      <w:r>
        <w:rPr>
          <w:rFonts w:hint="eastAsia" w:ascii="宋体" w:hAnsi="宋体" w:cs="宋体"/>
          <w:bCs/>
          <w:sz w:val="24"/>
          <w:szCs w:val="24"/>
        </w:rPr>
        <w:t>8.乙方有权在实施安装调试时,提出合乎情理的协助要求;</w:t>
      </w:r>
    </w:p>
    <w:p>
      <w:pPr>
        <w:pStyle w:val="45"/>
        <w:spacing w:line="300" w:lineRule="exact"/>
        <w:ind w:firstLine="520"/>
        <w:rPr>
          <w:rFonts w:ascii="宋体" w:hAnsi="宋体" w:cs="宋体"/>
          <w:bCs/>
          <w:sz w:val="24"/>
          <w:szCs w:val="24"/>
        </w:rPr>
      </w:pPr>
      <w:r>
        <w:rPr>
          <w:rFonts w:hint="eastAsia" w:ascii="宋体" w:hAnsi="宋体" w:cs="宋体"/>
          <w:bCs/>
          <w:sz w:val="24"/>
          <w:szCs w:val="24"/>
        </w:rPr>
        <w:t>9.双方指定联系人,所有保修过程均应由双方经手人签字纪录.</w:t>
      </w:r>
    </w:p>
    <w:p>
      <w:pPr>
        <w:pStyle w:val="45"/>
        <w:spacing w:line="300" w:lineRule="exact"/>
        <w:ind w:firstLine="520"/>
        <w:rPr>
          <w:rFonts w:ascii="宋体" w:hAnsi="宋体" w:cs="宋体"/>
          <w:bCs/>
          <w:sz w:val="24"/>
          <w:szCs w:val="24"/>
        </w:rPr>
      </w:pPr>
      <w:r>
        <w:rPr>
          <w:rFonts w:hint="eastAsia" w:ascii="宋体" w:hAnsi="宋体" w:cs="宋体"/>
          <w:bCs/>
          <w:sz w:val="24"/>
          <w:szCs w:val="24"/>
        </w:rPr>
        <w:t>五,争议</w:t>
      </w:r>
    </w:p>
    <w:p>
      <w:pPr>
        <w:pStyle w:val="45"/>
        <w:spacing w:line="300" w:lineRule="exact"/>
        <w:ind w:firstLine="520"/>
        <w:rPr>
          <w:rFonts w:ascii="宋体" w:hAnsi="宋体" w:cs="宋体"/>
          <w:bCs/>
          <w:sz w:val="24"/>
          <w:szCs w:val="24"/>
        </w:rPr>
      </w:pPr>
      <w:r>
        <w:rPr>
          <w:rFonts w:hint="eastAsia" w:ascii="宋体" w:hAnsi="宋体" w:cs="宋体"/>
          <w:bCs/>
          <w:sz w:val="24"/>
          <w:szCs w:val="24"/>
        </w:rPr>
        <w:t>双方本着友好合作的态度,对合同履行过程中发生的违约行为进行及时的协商解决,如不能协商解决可通过法律诉讼解决.</w:t>
      </w:r>
    </w:p>
    <w:p>
      <w:pPr>
        <w:pStyle w:val="45"/>
        <w:spacing w:line="300" w:lineRule="exact"/>
        <w:ind w:firstLine="520"/>
        <w:rPr>
          <w:rFonts w:ascii="宋体" w:hAnsi="宋体" w:cs="宋体"/>
          <w:bCs/>
          <w:sz w:val="24"/>
          <w:szCs w:val="24"/>
        </w:rPr>
      </w:pPr>
      <w:r>
        <w:rPr>
          <w:rFonts w:hint="eastAsia" w:ascii="宋体" w:hAnsi="宋体" w:cs="宋体"/>
          <w:bCs/>
          <w:sz w:val="24"/>
          <w:szCs w:val="24"/>
        </w:rPr>
        <w:t>六,其它</w:t>
      </w:r>
    </w:p>
    <w:p>
      <w:pPr>
        <w:pStyle w:val="45"/>
        <w:spacing w:line="300" w:lineRule="exact"/>
        <w:ind w:firstLine="520"/>
        <w:rPr>
          <w:rFonts w:ascii="宋体" w:hAnsi="宋体" w:cs="宋体"/>
          <w:bCs/>
          <w:sz w:val="24"/>
          <w:szCs w:val="24"/>
        </w:rPr>
      </w:pPr>
      <w:r>
        <w:rPr>
          <w:rFonts w:hint="eastAsia" w:ascii="宋体" w:hAnsi="宋体" w:cs="宋体"/>
          <w:bCs/>
          <w:sz w:val="24"/>
          <w:szCs w:val="24"/>
        </w:rPr>
        <w:t>1.本合同一式四份,甲乙双方各执两份,;</w:t>
      </w:r>
    </w:p>
    <w:p>
      <w:pPr>
        <w:pStyle w:val="45"/>
        <w:spacing w:line="300" w:lineRule="exact"/>
        <w:ind w:firstLine="520"/>
        <w:rPr>
          <w:rFonts w:ascii="宋体" w:hAnsi="宋体" w:cs="宋体"/>
          <w:bCs/>
          <w:sz w:val="24"/>
          <w:szCs w:val="24"/>
        </w:rPr>
      </w:pPr>
      <w:r>
        <w:rPr>
          <w:rFonts w:hint="eastAsia" w:ascii="宋体" w:hAnsi="宋体" w:cs="宋体"/>
          <w:bCs/>
          <w:sz w:val="24"/>
          <w:szCs w:val="24"/>
        </w:rPr>
        <w:t>2.本合同自签订之日起生效;</w:t>
      </w:r>
    </w:p>
    <w:p>
      <w:pPr>
        <w:pStyle w:val="45"/>
        <w:spacing w:line="300" w:lineRule="exact"/>
        <w:ind w:firstLine="520"/>
        <w:rPr>
          <w:rFonts w:ascii="宋体" w:hAnsi="宋体" w:cs="宋体"/>
          <w:bCs/>
          <w:sz w:val="24"/>
          <w:szCs w:val="24"/>
        </w:rPr>
      </w:pPr>
      <w:r>
        <w:rPr>
          <w:rFonts w:hint="eastAsia" w:ascii="宋体" w:hAnsi="宋体" w:cs="宋体"/>
          <w:bCs/>
          <w:sz w:val="24"/>
          <w:szCs w:val="24"/>
        </w:rPr>
        <w:t>3.本项目的招标文件,采购文件,中标通知书是合同的附件,与合同具有同等的法律效力;</w:t>
      </w:r>
    </w:p>
    <w:p>
      <w:pPr>
        <w:pStyle w:val="45"/>
        <w:spacing w:line="300" w:lineRule="exact"/>
        <w:ind w:firstLine="520"/>
        <w:rPr>
          <w:rFonts w:ascii="宋体" w:hAnsi="宋体" w:cs="宋体"/>
          <w:bCs/>
          <w:sz w:val="24"/>
          <w:szCs w:val="24"/>
        </w:rPr>
      </w:pPr>
      <w:r>
        <w:rPr>
          <w:rFonts w:hint="eastAsia" w:ascii="宋体" w:hAnsi="宋体" w:cs="宋体"/>
          <w:bCs/>
          <w:sz w:val="24"/>
          <w:szCs w:val="24"/>
        </w:rPr>
        <w:t>4.其它未尽事宜,由双方友好协商解决,并参照《中华人民共和国合同法》有关条款执行.</w:t>
      </w:r>
    </w:p>
    <w:p>
      <w:pPr>
        <w:pStyle w:val="45"/>
        <w:spacing w:line="300" w:lineRule="exact"/>
        <w:ind w:firstLine="520"/>
        <w:rPr>
          <w:rFonts w:ascii="宋体" w:hAnsi="宋体" w:cs="宋体"/>
          <w:bCs/>
          <w:sz w:val="24"/>
          <w:szCs w:val="24"/>
        </w:rPr>
      </w:pPr>
      <w:r>
        <w:rPr>
          <w:rFonts w:hint="eastAsia" w:ascii="宋体" w:hAnsi="宋体" w:cs="宋体"/>
          <w:bCs/>
          <w:sz w:val="24"/>
          <w:szCs w:val="24"/>
        </w:rPr>
        <w:t>甲方(印章):                      乙方(印章):</w:t>
      </w:r>
    </w:p>
    <w:p>
      <w:pPr>
        <w:pStyle w:val="45"/>
        <w:spacing w:line="300" w:lineRule="exact"/>
        <w:ind w:firstLine="520"/>
        <w:rPr>
          <w:rFonts w:ascii="宋体" w:hAnsi="宋体" w:cs="宋体"/>
          <w:bCs/>
          <w:sz w:val="24"/>
          <w:szCs w:val="24"/>
        </w:rPr>
      </w:pPr>
      <w:r>
        <w:rPr>
          <w:rFonts w:hint="eastAsia" w:ascii="宋体" w:hAnsi="宋体" w:cs="宋体"/>
          <w:bCs/>
          <w:sz w:val="24"/>
          <w:szCs w:val="24"/>
        </w:rPr>
        <w:t>甲方代表(签字):                  乙方代表(签字):</w:t>
      </w:r>
    </w:p>
    <w:p>
      <w:pPr>
        <w:pStyle w:val="45"/>
        <w:spacing w:line="300" w:lineRule="exact"/>
        <w:ind w:firstLine="520"/>
        <w:rPr>
          <w:rFonts w:ascii="宋体" w:hAnsi="宋体" w:cs="宋体"/>
          <w:bCs/>
          <w:sz w:val="24"/>
          <w:szCs w:val="24"/>
        </w:rPr>
      </w:pPr>
      <w:r>
        <w:rPr>
          <w:rFonts w:hint="eastAsia" w:ascii="宋体" w:hAnsi="宋体" w:cs="宋体"/>
          <w:bCs/>
          <w:sz w:val="24"/>
          <w:szCs w:val="24"/>
        </w:rPr>
        <w:t>地址:                               地址:</w:t>
      </w:r>
    </w:p>
    <w:p>
      <w:pPr>
        <w:pStyle w:val="45"/>
        <w:spacing w:line="300" w:lineRule="exact"/>
        <w:ind w:firstLine="520"/>
        <w:rPr>
          <w:rFonts w:ascii="宋体" w:hAnsi="宋体" w:cs="宋体"/>
          <w:bCs/>
          <w:sz w:val="24"/>
          <w:szCs w:val="24"/>
        </w:rPr>
      </w:pPr>
      <w:r>
        <w:rPr>
          <w:rFonts w:hint="eastAsia" w:ascii="宋体" w:hAnsi="宋体" w:cs="宋体"/>
          <w:bCs/>
          <w:sz w:val="24"/>
          <w:szCs w:val="24"/>
        </w:rPr>
        <w:t>电话:                               电话:</w:t>
      </w:r>
    </w:p>
    <w:p>
      <w:pPr>
        <w:pStyle w:val="45"/>
        <w:spacing w:line="300" w:lineRule="exact"/>
        <w:ind w:firstLine="520"/>
        <w:rPr>
          <w:rFonts w:ascii="宋体" w:hAnsi="宋体" w:cs="宋体"/>
          <w:bCs/>
          <w:sz w:val="24"/>
          <w:szCs w:val="24"/>
        </w:rPr>
      </w:pPr>
      <w:r>
        <w:rPr>
          <w:rFonts w:hint="eastAsia" w:ascii="宋体" w:hAnsi="宋体" w:cs="宋体"/>
          <w:bCs/>
          <w:sz w:val="24"/>
          <w:szCs w:val="24"/>
        </w:rPr>
        <w:t>日期:</w:t>
      </w:r>
    </w:p>
    <w:p>
      <w:pPr>
        <w:pStyle w:val="45"/>
        <w:spacing w:line="300" w:lineRule="exact"/>
        <w:ind w:firstLine="520"/>
        <w:rPr>
          <w:rFonts w:ascii="宋体" w:hAnsi="宋体" w:cs="宋体"/>
          <w:sz w:val="24"/>
          <w:szCs w:val="24"/>
        </w:rPr>
      </w:pPr>
    </w:p>
    <w:p>
      <w:pPr>
        <w:pStyle w:val="45"/>
        <w:ind w:firstLine="640"/>
        <w:rPr>
          <w:rFonts w:ascii="宋体" w:hAnsi="宋体" w:cs="宋体"/>
        </w:rPr>
        <w:sectPr>
          <w:footerReference r:id="rId3" w:type="default"/>
          <w:pgSz w:w="11907" w:h="16840"/>
          <w:pgMar w:top="1417" w:right="1417" w:bottom="1361" w:left="1417" w:header="737" w:footer="680" w:gutter="0"/>
          <w:pgNumType w:start="1"/>
          <w:cols w:space="720" w:num="1"/>
          <w:docGrid w:type="linesAndChars" w:linePitch="306" w:charSpace="-2"/>
        </w:sectPr>
      </w:pPr>
    </w:p>
    <w:bookmarkEnd w:id="56"/>
    <w:bookmarkEnd w:id="57"/>
    <w:bookmarkEnd w:id="58"/>
    <w:p>
      <w:pPr>
        <w:pStyle w:val="43"/>
        <w:rPr>
          <w:rFonts w:ascii="宋体" w:hAnsi="宋体"/>
          <w:sz w:val="36"/>
        </w:rPr>
      </w:pPr>
      <w:bookmarkStart w:id="59" w:name="_Toc520389624"/>
      <w:bookmarkEnd w:id="59"/>
      <w:bookmarkStart w:id="60" w:name="_Toc10529"/>
      <w:r>
        <w:rPr>
          <w:rFonts w:hint="eastAsia" w:ascii="宋体" w:hAnsi="宋体"/>
          <w:sz w:val="36"/>
        </w:rPr>
        <w:t>第五章  投标文件格式</w:t>
      </w:r>
      <w:bookmarkEnd w:id="60"/>
    </w:p>
    <w:p>
      <w:pPr>
        <w:jc w:val="right"/>
        <w:rPr>
          <w:rFonts w:ascii="宋体" w:hAnsi="宋体" w:cs="宋体"/>
        </w:rPr>
      </w:pPr>
      <w:r>
        <w:rPr>
          <w:rFonts w:hint="eastAsia" w:ascii="宋体" w:hAnsi="宋体" w:cs="宋体"/>
        </w:rPr>
        <w:t xml:space="preserve"> </w:t>
      </w:r>
    </w:p>
    <w:p>
      <w:pPr>
        <w:jc w:val="right"/>
        <w:rPr>
          <w:rFonts w:ascii="宋体" w:hAnsi="宋体" w:cs="宋体"/>
        </w:rPr>
      </w:pPr>
      <w:r>
        <w:rPr>
          <w:rFonts w:hint="eastAsia" w:ascii="宋体" w:hAnsi="宋体" w:cs="宋体"/>
        </w:rPr>
        <w:t xml:space="preserve"> </w:t>
      </w:r>
    </w:p>
    <w:p>
      <w:pPr>
        <w:jc w:val="right"/>
        <w:rPr>
          <w:rFonts w:ascii="宋体" w:hAnsi="宋体" w:cs="宋体"/>
          <w:sz w:val="24"/>
          <w:szCs w:val="24"/>
        </w:rPr>
      </w:pPr>
      <w:r>
        <w:rPr>
          <w:rFonts w:hint="eastAsia" w:ascii="宋体" w:hAnsi="宋体" w:cs="宋体"/>
          <w:sz w:val="24"/>
          <w:szCs w:val="24"/>
        </w:rPr>
        <w:t xml:space="preserve"> </w:t>
      </w:r>
    </w:p>
    <w:p>
      <w:pPr>
        <w:jc w:val="right"/>
        <w:rPr>
          <w:rFonts w:ascii="宋体" w:hAnsi="宋体" w:cs="宋体"/>
          <w:sz w:val="24"/>
          <w:szCs w:val="24"/>
        </w:rPr>
      </w:pPr>
      <w:r>
        <w:rPr>
          <w:rFonts w:hint="eastAsia" w:ascii="宋体" w:hAnsi="宋体" w:cs="宋体"/>
          <w:sz w:val="24"/>
          <w:szCs w:val="24"/>
        </w:rPr>
        <w:t xml:space="preserve"> </w:t>
      </w:r>
    </w:p>
    <w:p>
      <w:pPr>
        <w:spacing w:line="360" w:lineRule="auto"/>
        <w:jc w:val="center"/>
        <w:rPr>
          <w:rFonts w:ascii="宋体" w:hAnsi="宋体" w:cs="宋体"/>
          <w:b/>
          <w:bCs/>
          <w:sz w:val="40"/>
          <w:szCs w:val="40"/>
        </w:rPr>
      </w:pPr>
      <w:bookmarkStart w:id="61" w:name="_Toc144974856"/>
      <w:bookmarkEnd w:id="61"/>
      <w:bookmarkStart w:id="62" w:name="_Toc179632807"/>
      <w:bookmarkEnd w:id="62"/>
      <w:bookmarkStart w:id="63" w:name="_Toc152045787"/>
      <w:bookmarkEnd w:id="63"/>
      <w:bookmarkStart w:id="64" w:name="_Toc152042576"/>
      <w:bookmarkEnd w:id="64"/>
      <w:r>
        <w:rPr>
          <w:rFonts w:hint="eastAsia" w:ascii="宋体" w:hAnsi="宋体" w:cs="宋体"/>
          <w:b/>
          <w:bCs/>
          <w:sz w:val="28"/>
          <w:u w:val="single"/>
        </w:rPr>
        <w:t xml:space="preserve">                （项目名称、标段）</w:t>
      </w:r>
    </w:p>
    <w:p>
      <w:pPr>
        <w:pStyle w:val="45"/>
        <w:ind w:firstLine="640"/>
        <w:rPr>
          <w:rFonts w:ascii="宋体" w:hAnsi="宋体" w:cs="宋体"/>
        </w:rPr>
      </w:pPr>
      <w:r>
        <w:rPr>
          <w:rFonts w:hint="eastAsia" w:ascii="宋体" w:hAnsi="宋体" w:cs="宋体"/>
        </w:rPr>
        <w:t xml:space="preserve"> </w:t>
      </w:r>
    </w:p>
    <w:p>
      <w:pPr>
        <w:pStyle w:val="45"/>
        <w:ind w:firstLine="640"/>
        <w:rPr>
          <w:rFonts w:ascii="宋体" w:hAnsi="宋体" w:cs="宋体"/>
        </w:rPr>
      </w:pPr>
      <w:r>
        <w:rPr>
          <w:rFonts w:hint="eastAsia" w:ascii="宋体" w:hAnsi="宋体" w:cs="宋体"/>
        </w:rPr>
        <w:t xml:space="preserve"> </w:t>
      </w:r>
    </w:p>
    <w:p>
      <w:pPr>
        <w:pStyle w:val="45"/>
        <w:ind w:firstLine="640"/>
        <w:rPr>
          <w:rFonts w:ascii="宋体" w:hAnsi="宋体" w:cs="宋体"/>
        </w:rPr>
      </w:pPr>
      <w:r>
        <w:rPr>
          <w:rFonts w:hint="eastAsia" w:ascii="宋体" w:hAnsi="宋体" w:cs="宋体"/>
        </w:rPr>
        <w:t xml:space="preserve"> </w:t>
      </w:r>
    </w:p>
    <w:p>
      <w:pPr>
        <w:spacing w:line="360" w:lineRule="auto"/>
        <w:jc w:val="center"/>
        <w:rPr>
          <w:rFonts w:ascii="宋体" w:hAnsi="宋体" w:cs="宋体"/>
          <w:b/>
          <w:sz w:val="72"/>
          <w:szCs w:val="84"/>
        </w:rPr>
      </w:pPr>
      <w:r>
        <w:rPr>
          <w:rFonts w:hint="eastAsia" w:ascii="宋体" w:hAnsi="宋体" w:cs="宋体"/>
          <w:b/>
          <w:sz w:val="72"/>
          <w:szCs w:val="84"/>
        </w:rPr>
        <w:t xml:space="preserve">投标文件 </w:t>
      </w:r>
    </w:p>
    <w:p>
      <w:pPr>
        <w:spacing w:line="360" w:lineRule="auto"/>
        <w:ind w:firstLine="2699" w:firstLineChars="896"/>
        <w:rPr>
          <w:rFonts w:ascii="宋体" w:hAnsi="宋体" w:cs="宋体"/>
          <w:b/>
          <w:sz w:val="30"/>
          <w:szCs w:val="30"/>
        </w:rPr>
      </w:pPr>
      <w:r>
        <w:rPr>
          <w:rFonts w:hint="eastAsia" w:ascii="宋体" w:hAnsi="宋体" w:cs="宋体"/>
          <w:b/>
          <w:sz w:val="30"/>
          <w:szCs w:val="30"/>
        </w:rPr>
        <w:t>采购编号：</w:t>
      </w:r>
    </w:p>
    <w:p>
      <w:pPr>
        <w:spacing w:line="360" w:lineRule="auto"/>
        <w:rPr>
          <w:rFonts w:ascii="宋体" w:hAnsi="宋体" w:cs="宋体"/>
          <w:sz w:val="32"/>
          <w:szCs w:val="32"/>
        </w:rPr>
      </w:pPr>
      <w:r>
        <w:rPr>
          <w:rFonts w:hint="eastAsia" w:ascii="宋体" w:hAnsi="宋体" w:cs="宋体"/>
          <w:sz w:val="32"/>
          <w:szCs w:val="32"/>
        </w:rPr>
        <w:t xml:space="preserve"> </w:t>
      </w:r>
    </w:p>
    <w:p>
      <w:pPr>
        <w:spacing w:line="360" w:lineRule="auto"/>
        <w:rPr>
          <w:rFonts w:ascii="宋体" w:hAnsi="宋体" w:cs="宋体"/>
          <w:sz w:val="32"/>
          <w:szCs w:val="32"/>
        </w:rPr>
      </w:pPr>
      <w:r>
        <w:rPr>
          <w:rFonts w:hint="eastAsia" w:ascii="宋体" w:hAnsi="宋体" w:cs="宋体"/>
          <w:sz w:val="32"/>
          <w:szCs w:val="32"/>
        </w:rPr>
        <w:t xml:space="preserve"> </w:t>
      </w:r>
    </w:p>
    <w:p>
      <w:pPr>
        <w:adjustRightInd w:val="0"/>
        <w:snapToGrid w:val="0"/>
        <w:spacing w:line="360" w:lineRule="auto"/>
        <w:rPr>
          <w:rFonts w:ascii="宋体" w:hAnsi="宋体" w:cs="宋体"/>
          <w:sz w:val="24"/>
          <w:szCs w:val="24"/>
        </w:rPr>
      </w:pPr>
      <w:r>
        <w:rPr>
          <w:rFonts w:hint="eastAsia" w:ascii="宋体" w:hAnsi="宋体" w:cs="宋体"/>
          <w:sz w:val="24"/>
          <w:szCs w:val="24"/>
        </w:rPr>
        <w:t xml:space="preserve"> </w:t>
      </w:r>
    </w:p>
    <w:p>
      <w:pPr>
        <w:adjustRightInd w:val="0"/>
        <w:snapToGrid w:val="0"/>
        <w:spacing w:line="360" w:lineRule="auto"/>
        <w:rPr>
          <w:rFonts w:ascii="宋体" w:hAnsi="宋体" w:cs="宋体"/>
          <w:sz w:val="24"/>
          <w:szCs w:val="24"/>
        </w:rPr>
      </w:pPr>
      <w:r>
        <w:rPr>
          <w:rFonts w:hint="eastAsia" w:ascii="宋体" w:hAnsi="宋体" w:cs="宋体"/>
          <w:sz w:val="24"/>
          <w:szCs w:val="24"/>
        </w:rPr>
        <w:t xml:space="preserve"> </w:t>
      </w:r>
    </w:p>
    <w:p>
      <w:pPr>
        <w:adjustRightInd w:val="0"/>
        <w:snapToGrid w:val="0"/>
        <w:spacing w:line="360" w:lineRule="auto"/>
        <w:rPr>
          <w:rFonts w:ascii="宋体" w:hAnsi="宋体" w:cs="宋体"/>
          <w:sz w:val="24"/>
          <w:szCs w:val="24"/>
        </w:rPr>
      </w:pPr>
      <w:r>
        <w:rPr>
          <w:rFonts w:hint="eastAsia" w:ascii="宋体" w:hAnsi="宋体" w:cs="宋体"/>
          <w:sz w:val="24"/>
          <w:szCs w:val="24"/>
        </w:rPr>
        <w:t xml:space="preserve"> </w:t>
      </w:r>
    </w:p>
    <w:p>
      <w:pPr>
        <w:adjustRightInd w:val="0"/>
        <w:snapToGrid w:val="0"/>
        <w:spacing w:line="360" w:lineRule="auto"/>
        <w:rPr>
          <w:rFonts w:ascii="宋体" w:hAnsi="宋体" w:cs="宋体"/>
          <w:sz w:val="24"/>
          <w:szCs w:val="24"/>
        </w:rPr>
      </w:pPr>
      <w:r>
        <w:rPr>
          <w:rFonts w:hint="eastAsia" w:ascii="宋体" w:hAnsi="宋体" w:cs="宋体"/>
          <w:sz w:val="24"/>
          <w:szCs w:val="24"/>
        </w:rPr>
        <w:t xml:space="preserve"> </w:t>
      </w:r>
    </w:p>
    <w:p>
      <w:pPr>
        <w:adjustRightInd w:val="0"/>
        <w:snapToGrid w:val="0"/>
        <w:spacing w:line="360" w:lineRule="auto"/>
        <w:jc w:val="center"/>
        <w:rPr>
          <w:rFonts w:ascii="宋体" w:hAnsi="宋体" w:cs="宋体"/>
          <w:sz w:val="24"/>
          <w:szCs w:val="24"/>
          <w:u w:val="single"/>
        </w:rPr>
      </w:pPr>
      <w:r>
        <w:rPr>
          <w:rFonts w:hint="eastAsia" w:ascii="宋体" w:hAnsi="宋体" w:cs="宋体"/>
          <w:sz w:val="24"/>
          <w:szCs w:val="24"/>
        </w:rPr>
        <w:t>供应商：</w:t>
      </w:r>
      <w:r>
        <w:rPr>
          <w:rFonts w:hint="eastAsia" w:ascii="宋体" w:hAnsi="宋体" w:cs="宋体"/>
          <w:sz w:val="24"/>
          <w:szCs w:val="24"/>
          <w:u w:val="single"/>
        </w:rPr>
        <w:t xml:space="preserve">                              </w:t>
      </w:r>
      <w:r>
        <w:rPr>
          <w:rFonts w:hint="eastAsia" w:ascii="宋体" w:hAnsi="宋体" w:cs="宋体"/>
          <w:sz w:val="24"/>
          <w:szCs w:val="24"/>
        </w:rPr>
        <w:t>（电子签章）</w:t>
      </w:r>
    </w:p>
    <w:p>
      <w:pPr>
        <w:adjustRightInd w:val="0"/>
        <w:snapToGrid w:val="0"/>
        <w:spacing w:line="360" w:lineRule="auto"/>
        <w:jc w:val="center"/>
        <w:rPr>
          <w:rFonts w:ascii="宋体" w:hAnsi="宋体" w:cs="宋体"/>
          <w:sz w:val="24"/>
          <w:szCs w:val="24"/>
        </w:rPr>
      </w:pPr>
      <w:r>
        <w:rPr>
          <w:rFonts w:hint="eastAsia" w:ascii="宋体" w:hAnsi="宋体" w:cs="宋体"/>
          <w:sz w:val="24"/>
          <w:szCs w:val="24"/>
        </w:rPr>
        <w:t xml:space="preserve">  </w:t>
      </w:r>
    </w:p>
    <w:p>
      <w:pPr>
        <w:adjustRightInd w:val="0"/>
        <w:snapToGrid w:val="0"/>
        <w:spacing w:line="360" w:lineRule="auto"/>
        <w:jc w:val="center"/>
        <w:rPr>
          <w:rFonts w:ascii="宋体" w:hAnsi="宋体" w:cs="宋体"/>
          <w:sz w:val="24"/>
          <w:szCs w:val="24"/>
        </w:rPr>
      </w:pPr>
      <w:r>
        <w:rPr>
          <w:rFonts w:hint="eastAsia" w:ascii="宋体" w:hAnsi="宋体" w:cs="宋体"/>
          <w:sz w:val="24"/>
          <w:szCs w:val="24"/>
        </w:rPr>
        <w:t>法定代表人或其委托代理人：</w:t>
      </w:r>
      <w:r>
        <w:rPr>
          <w:rFonts w:hint="eastAsia" w:ascii="宋体" w:hAnsi="宋体" w:cs="宋体"/>
          <w:sz w:val="24"/>
          <w:szCs w:val="24"/>
          <w:u w:val="single"/>
        </w:rPr>
        <w:t xml:space="preserve">                </w:t>
      </w:r>
      <w:r>
        <w:rPr>
          <w:rFonts w:hint="eastAsia" w:ascii="宋体" w:hAnsi="宋体" w:cs="宋体"/>
          <w:sz w:val="24"/>
          <w:szCs w:val="24"/>
        </w:rPr>
        <w:t>（签字或盖章）</w:t>
      </w:r>
    </w:p>
    <w:p>
      <w:pPr>
        <w:adjustRightInd w:val="0"/>
        <w:snapToGrid w:val="0"/>
        <w:spacing w:line="360" w:lineRule="auto"/>
        <w:jc w:val="center"/>
        <w:rPr>
          <w:rFonts w:ascii="宋体" w:hAnsi="宋体" w:cs="宋体"/>
          <w:sz w:val="24"/>
          <w:szCs w:val="24"/>
          <w:u w:val="single"/>
        </w:rPr>
      </w:pPr>
    </w:p>
    <w:p>
      <w:pPr>
        <w:adjustRightInd w:val="0"/>
        <w:snapToGrid w:val="0"/>
        <w:spacing w:line="360" w:lineRule="auto"/>
        <w:jc w:val="center"/>
        <w:rPr>
          <w:rFonts w:ascii="宋体" w:hAnsi="宋体" w:cs="宋体"/>
          <w:sz w:val="24"/>
          <w:szCs w:val="24"/>
          <w:u w:val="single"/>
        </w:rPr>
      </w:pP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月</w:t>
      </w:r>
      <w:r>
        <w:rPr>
          <w:rFonts w:hint="eastAsia" w:ascii="宋体" w:hAnsi="宋体" w:cs="宋体"/>
          <w:sz w:val="24"/>
          <w:szCs w:val="24"/>
          <w:u w:val="single"/>
        </w:rPr>
        <w:t xml:space="preserve">        </w:t>
      </w:r>
      <w:r>
        <w:rPr>
          <w:rFonts w:hint="eastAsia" w:ascii="宋体" w:hAnsi="宋体" w:cs="宋体"/>
          <w:sz w:val="24"/>
          <w:szCs w:val="24"/>
        </w:rPr>
        <w:t>日</w:t>
      </w:r>
    </w:p>
    <w:p>
      <w:pPr>
        <w:jc w:val="center"/>
        <w:rPr>
          <w:rFonts w:ascii="宋体" w:hAnsi="宋体" w:cs="宋体"/>
          <w:b/>
          <w:sz w:val="28"/>
        </w:rPr>
      </w:pPr>
      <w:r>
        <w:rPr>
          <w:rFonts w:hint="eastAsia" w:ascii="宋体" w:hAnsi="宋体" w:cs="宋体"/>
        </w:rPr>
        <w:br w:type="page"/>
      </w:r>
      <w:bookmarkStart w:id="65" w:name="_Toc520389625"/>
      <w:bookmarkEnd w:id="65"/>
      <w:r>
        <w:rPr>
          <w:rFonts w:hint="eastAsia" w:ascii="宋体" w:hAnsi="宋体" w:cs="宋体"/>
          <w:b/>
          <w:sz w:val="28"/>
        </w:rPr>
        <w:t>目    录</w:t>
      </w:r>
    </w:p>
    <w:p>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 xml:space="preserve"> </w:t>
      </w:r>
    </w:p>
    <w:p>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一、投标函及投标函附录</w:t>
      </w:r>
    </w:p>
    <w:p>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二、分项报价明细表</w:t>
      </w:r>
    </w:p>
    <w:p>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三、法定代表人身份证明</w:t>
      </w:r>
    </w:p>
    <w:p>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四、授权委托书</w:t>
      </w:r>
    </w:p>
    <w:p>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五、技术部分</w:t>
      </w:r>
    </w:p>
    <w:p>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六、资格审查资料</w:t>
      </w:r>
    </w:p>
    <w:p>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七、服务方案及承诺</w:t>
      </w:r>
    </w:p>
    <w:p>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八、反商业贿赂承诺书</w:t>
      </w:r>
    </w:p>
    <w:p>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九、投标诚信承诺</w:t>
      </w:r>
    </w:p>
    <w:p>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十、供应商认为需要提交的其他资料</w:t>
      </w:r>
    </w:p>
    <w:p>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 xml:space="preserve"> </w:t>
      </w:r>
    </w:p>
    <w:p>
      <w:pPr>
        <w:widowControl/>
        <w:spacing w:line="360" w:lineRule="auto"/>
        <w:jc w:val="left"/>
        <w:rPr>
          <w:rFonts w:ascii="宋体" w:hAnsi="宋体" w:cs="宋体"/>
          <w:b/>
          <w:bCs/>
          <w:sz w:val="24"/>
          <w:szCs w:val="24"/>
        </w:rPr>
        <w:sectPr>
          <w:pgSz w:w="11910" w:h="16840"/>
          <w:pgMar w:top="1580" w:right="1020" w:bottom="1240" w:left="1020" w:header="0" w:footer="964" w:gutter="0"/>
          <w:cols w:space="720" w:num="1"/>
        </w:sectPr>
      </w:pPr>
    </w:p>
    <w:p>
      <w:pPr>
        <w:pStyle w:val="7"/>
        <w:jc w:val="center"/>
        <w:rPr>
          <w:rFonts w:ascii="宋体" w:hAnsi="宋体" w:cs="宋体"/>
        </w:rPr>
      </w:pPr>
      <w:r>
        <w:rPr>
          <w:rFonts w:hint="eastAsia" w:ascii="宋体" w:hAnsi="宋体" w:cs="宋体"/>
        </w:rPr>
        <w:t>一、投标函及投标函附录</w:t>
      </w:r>
    </w:p>
    <w:p>
      <w:pPr>
        <w:pStyle w:val="8"/>
        <w:jc w:val="center"/>
        <w:rPr>
          <w:rFonts w:ascii="宋体" w:hAnsi="宋体" w:cs="宋体"/>
        </w:rPr>
      </w:pPr>
      <w:bookmarkStart w:id="66" w:name="_Toc239431944"/>
      <w:bookmarkEnd w:id="66"/>
      <w:bookmarkStart w:id="67" w:name="_Toc217565730"/>
      <w:bookmarkEnd w:id="67"/>
      <w:bookmarkStart w:id="68" w:name="_Toc204047783"/>
      <w:bookmarkEnd w:id="68"/>
      <w:bookmarkStart w:id="69" w:name="_Toc391363047"/>
      <w:bookmarkEnd w:id="69"/>
      <w:bookmarkStart w:id="70" w:name="_Toc202941540"/>
      <w:bookmarkEnd w:id="70"/>
      <w:bookmarkStart w:id="71" w:name="_Toc202941487"/>
      <w:bookmarkEnd w:id="71"/>
      <w:bookmarkStart w:id="72" w:name="_Toc240364513"/>
      <w:bookmarkEnd w:id="72"/>
      <w:r>
        <w:rPr>
          <w:rFonts w:hint="eastAsia" w:ascii="宋体" w:hAnsi="宋体" w:cs="宋体"/>
        </w:rPr>
        <w:t>1、投标函</w:t>
      </w:r>
    </w:p>
    <w:p>
      <w:pPr>
        <w:pStyle w:val="21"/>
        <w:kinsoku w:val="0"/>
        <w:overflowPunct w:val="0"/>
        <w:spacing w:before="4" w:beforeAutospacing="0"/>
        <w:ind w:firstLine="301"/>
        <w:rPr>
          <w:rFonts w:ascii="宋体" w:hAnsi="宋体" w:cs="宋体"/>
          <w:b/>
          <w:bCs/>
          <w:sz w:val="13"/>
          <w:szCs w:val="13"/>
        </w:rPr>
      </w:pPr>
      <w:r>
        <w:rPr>
          <w:rFonts w:hint="eastAsia" w:ascii="宋体" w:hAnsi="宋体" w:cs="宋体"/>
          <w:b/>
          <w:bCs/>
          <w:sz w:val="13"/>
          <w:szCs w:val="13"/>
        </w:rPr>
        <w:t xml:space="preserve"> </w:t>
      </w:r>
    </w:p>
    <w:p>
      <w:pPr>
        <w:pStyle w:val="27"/>
        <w:spacing w:line="320" w:lineRule="exact"/>
        <w:ind w:left="0" w:leftChars="0"/>
        <w:rPr>
          <w:rFonts w:ascii="宋体" w:hAnsi="宋体" w:cs="宋体"/>
          <w:bCs/>
          <w:sz w:val="24"/>
          <w:u w:val="single"/>
        </w:rPr>
      </w:pPr>
      <w:r>
        <w:rPr>
          <w:rFonts w:hint="eastAsia" w:ascii="宋体" w:hAnsi="宋体" w:cs="宋体"/>
          <w:sz w:val="24"/>
          <w:szCs w:val="20"/>
        </w:rPr>
        <w:t xml:space="preserve"> </w:t>
      </w:r>
      <w:r>
        <w:rPr>
          <w:rFonts w:hint="eastAsia" w:ascii="宋体" w:hAnsi="宋体" w:cs="宋体"/>
          <w:sz w:val="24"/>
          <w:szCs w:val="20"/>
          <w:u w:val="single"/>
        </w:rPr>
        <w:t xml:space="preserve">                 </w:t>
      </w:r>
      <w:r>
        <w:rPr>
          <w:rFonts w:hint="eastAsia" w:ascii="宋体" w:hAnsi="宋体" w:cs="宋体"/>
          <w:bCs/>
          <w:sz w:val="24"/>
        </w:rPr>
        <w:t>（采购人名称）：</w:t>
      </w:r>
    </w:p>
    <w:p>
      <w:pPr>
        <w:spacing w:line="360" w:lineRule="auto"/>
        <w:ind w:right="-153" w:rightChars="-73" w:firstLine="480" w:firstLineChars="200"/>
        <w:rPr>
          <w:rFonts w:ascii="宋体" w:hAnsi="宋体" w:cs="宋体"/>
          <w:sz w:val="24"/>
          <w:szCs w:val="20"/>
        </w:rPr>
      </w:pPr>
      <w:r>
        <w:rPr>
          <w:rFonts w:hint="eastAsia" w:ascii="宋体" w:hAnsi="宋体" w:cs="宋体"/>
          <w:sz w:val="24"/>
        </w:rPr>
        <w:t xml:space="preserve"> </w:t>
      </w:r>
      <w:r>
        <w:rPr>
          <w:rFonts w:hint="eastAsia" w:ascii="宋体" w:hAnsi="宋体" w:cs="宋体"/>
          <w:sz w:val="24"/>
          <w:szCs w:val="20"/>
        </w:rPr>
        <w:t xml:space="preserve"> </w:t>
      </w:r>
      <w:r>
        <w:rPr>
          <w:rFonts w:hint="eastAsia" w:ascii="宋体" w:hAnsi="宋体" w:cs="宋体"/>
          <w:sz w:val="24"/>
          <w:szCs w:val="20"/>
          <w:u w:val="single"/>
        </w:rPr>
        <w:t xml:space="preserve">             </w:t>
      </w:r>
      <w:r>
        <w:rPr>
          <w:rFonts w:hint="eastAsia" w:ascii="宋体" w:hAnsi="宋体" w:cs="宋体"/>
          <w:sz w:val="24"/>
          <w:szCs w:val="20"/>
        </w:rPr>
        <w:t>(供应商全称)授权</w:t>
      </w:r>
      <w:r>
        <w:rPr>
          <w:rFonts w:hint="eastAsia" w:ascii="宋体" w:hAnsi="宋体" w:cs="宋体"/>
          <w:sz w:val="24"/>
          <w:szCs w:val="20"/>
          <w:u w:val="single"/>
        </w:rPr>
        <w:t xml:space="preserve">            </w:t>
      </w:r>
      <w:r>
        <w:rPr>
          <w:rFonts w:hint="eastAsia" w:ascii="宋体" w:hAnsi="宋体" w:cs="宋体"/>
          <w:sz w:val="24"/>
          <w:szCs w:val="20"/>
        </w:rPr>
        <w:t>(供应商代表姓名)为我方代表，参加贵方组织的</w:t>
      </w:r>
      <w:r>
        <w:rPr>
          <w:rFonts w:hint="eastAsia" w:ascii="宋体" w:hAnsi="宋体" w:cs="宋体"/>
          <w:sz w:val="24"/>
          <w:szCs w:val="20"/>
          <w:u w:val="single"/>
        </w:rPr>
        <w:t xml:space="preserve">              （项目名称、标段）</w:t>
      </w:r>
      <w:r>
        <w:rPr>
          <w:rFonts w:hint="eastAsia" w:ascii="宋体" w:hAnsi="宋体" w:cs="宋体"/>
          <w:sz w:val="24"/>
          <w:szCs w:val="20"/>
        </w:rPr>
        <w:t>招标的有关活动，并愿意以人民币（大写）</w:t>
      </w:r>
      <w:r>
        <w:rPr>
          <w:rFonts w:hint="eastAsia" w:ascii="宋体" w:hAnsi="宋体" w:cs="宋体"/>
          <w:sz w:val="24"/>
          <w:szCs w:val="20"/>
          <w:u w:val="single"/>
        </w:rPr>
        <w:t xml:space="preserve">         </w:t>
      </w:r>
      <w:r>
        <w:rPr>
          <w:rFonts w:hint="eastAsia" w:ascii="宋体" w:hAnsi="宋体" w:cs="宋体"/>
          <w:sz w:val="24"/>
          <w:szCs w:val="20"/>
        </w:rPr>
        <w:t>，（小写）</w:t>
      </w:r>
      <w:r>
        <w:rPr>
          <w:rFonts w:hint="eastAsia" w:ascii="宋体" w:hAnsi="宋体" w:cs="宋体"/>
          <w:sz w:val="24"/>
          <w:szCs w:val="20"/>
          <w:u w:val="single"/>
        </w:rPr>
        <w:t xml:space="preserve">         </w:t>
      </w:r>
      <w:r>
        <w:rPr>
          <w:rFonts w:hint="eastAsia" w:ascii="宋体" w:hAnsi="宋体" w:cs="宋体"/>
          <w:sz w:val="24"/>
          <w:szCs w:val="20"/>
        </w:rPr>
        <w:t>元的投标报价，供货期及安装</w:t>
      </w:r>
      <w:r>
        <w:rPr>
          <w:rFonts w:hint="eastAsia" w:ascii="宋体" w:hAnsi="宋体" w:cs="宋体"/>
          <w:sz w:val="24"/>
          <w:szCs w:val="20"/>
          <w:u w:val="single"/>
        </w:rPr>
        <w:t xml:space="preserve">      </w:t>
      </w:r>
      <w:r>
        <w:rPr>
          <w:rFonts w:hint="eastAsia" w:ascii="宋体" w:hAnsi="宋体" w:cs="宋体"/>
          <w:sz w:val="24"/>
          <w:szCs w:val="20"/>
        </w:rPr>
        <w:t>，质量标准</w:t>
      </w:r>
      <w:r>
        <w:rPr>
          <w:rFonts w:hint="eastAsia" w:ascii="宋体" w:hAnsi="宋体" w:cs="宋体"/>
          <w:sz w:val="24"/>
          <w:szCs w:val="20"/>
          <w:u w:val="single"/>
        </w:rPr>
        <w:t xml:space="preserve">      </w:t>
      </w:r>
      <w:r>
        <w:rPr>
          <w:rFonts w:hint="eastAsia" w:ascii="宋体" w:hAnsi="宋体" w:cs="宋体"/>
          <w:sz w:val="24"/>
          <w:szCs w:val="20"/>
        </w:rPr>
        <w:t xml:space="preserve">，并按合同约定实施和完成项目全部内容及任何缺陷，实现项目目的。为此： </w:t>
      </w:r>
    </w:p>
    <w:p>
      <w:pPr>
        <w:spacing w:line="360" w:lineRule="auto"/>
        <w:ind w:firstLine="480" w:firstLineChars="200"/>
        <w:rPr>
          <w:rFonts w:ascii="宋体" w:hAnsi="宋体" w:cs="宋体"/>
          <w:sz w:val="24"/>
          <w:szCs w:val="20"/>
        </w:rPr>
      </w:pPr>
      <w:r>
        <w:rPr>
          <w:rFonts w:hint="eastAsia" w:ascii="宋体" w:hAnsi="宋体" w:cs="宋体"/>
          <w:sz w:val="24"/>
          <w:szCs w:val="20"/>
        </w:rPr>
        <w:t>1. 我方同意所提交的投标文件投标有效期为</w:t>
      </w:r>
      <w:r>
        <w:rPr>
          <w:rFonts w:hint="eastAsia" w:ascii="宋体" w:hAnsi="宋体" w:cs="宋体"/>
          <w:sz w:val="24"/>
          <w:szCs w:val="20"/>
          <w:u w:val="single"/>
        </w:rPr>
        <w:t xml:space="preserve">  60  </w:t>
      </w:r>
      <w:r>
        <w:rPr>
          <w:rFonts w:hint="eastAsia" w:ascii="宋体" w:hAnsi="宋体" w:cs="宋体"/>
          <w:sz w:val="24"/>
          <w:szCs w:val="20"/>
        </w:rPr>
        <w:t>日历天，在此期间内如果中标，我方将受此约束。</w:t>
      </w:r>
    </w:p>
    <w:p>
      <w:pPr>
        <w:spacing w:line="360" w:lineRule="auto"/>
        <w:ind w:firstLine="480" w:firstLineChars="200"/>
        <w:rPr>
          <w:rFonts w:ascii="宋体" w:hAnsi="宋体" w:cs="宋体"/>
          <w:sz w:val="24"/>
          <w:szCs w:val="20"/>
        </w:rPr>
      </w:pPr>
      <w:r>
        <w:rPr>
          <w:rFonts w:hint="eastAsia" w:ascii="宋体" w:hAnsi="宋体" w:cs="宋体"/>
          <w:sz w:val="24"/>
          <w:szCs w:val="20"/>
        </w:rPr>
        <w:t>2. 提供供应商须知规定的全部投标文件，并对之负法律责任。</w:t>
      </w:r>
    </w:p>
    <w:p>
      <w:pPr>
        <w:spacing w:line="360" w:lineRule="auto"/>
        <w:ind w:firstLine="480" w:firstLineChars="200"/>
        <w:rPr>
          <w:rFonts w:ascii="宋体" w:hAnsi="宋体" w:cs="宋体"/>
          <w:sz w:val="24"/>
          <w:szCs w:val="20"/>
          <w:u w:val="single"/>
        </w:rPr>
      </w:pPr>
      <w:r>
        <w:rPr>
          <w:rFonts w:hint="eastAsia" w:ascii="宋体" w:hAnsi="宋体" w:cs="宋体"/>
          <w:sz w:val="24"/>
          <w:szCs w:val="20"/>
        </w:rPr>
        <w:t>3. 保证遵守招标文件的规定，忠实地执行双方所签订的合同，并承担合同规定的责任和义务。</w:t>
      </w:r>
    </w:p>
    <w:p>
      <w:pPr>
        <w:spacing w:line="360" w:lineRule="auto"/>
        <w:ind w:firstLine="480" w:firstLineChars="200"/>
        <w:rPr>
          <w:rFonts w:ascii="宋体" w:hAnsi="宋体" w:cs="宋体"/>
          <w:sz w:val="24"/>
          <w:szCs w:val="20"/>
        </w:rPr>
      </w:pPr>
      <w:r>
        <w:rPr>
          <w:rFonts w:hint="eastAsia" w:ascii="宋体" w:hAnsi="宋体" w:cs="宋体"/>
          <w:sz w:val="24"/>
          <w:szCs w:val="20"/>
        </w:rPr>
        <w:t>4. 我方愿意向贵方提供任何与本项投标有关的数据、情况和技术资料。若贵方需要，我方愿意提供我方作出的一切承诺的证明材料。</w:t>
      </w:r>
    </w:p>
    <w:p>
      <w:pPr>
        <w:spacing w:line="360" w:lineRule="auto"/>
        <w:ind w:firstLine="480" w:firstLineChars="200"/>
        <w:rPr>
          <w:rFonts w:ascii="宋体" w:hAnsi="宋体" w:cs="宋体"/>
          <w:sz w:val="24"/>
          <w:szCs w:val="20"/>
        </w:rPr>
      </w:pPr>
      <w:r>
        <w:rPr>
          <w:rFonts w:hint="eastAsia" w:ascii="宋体" w:hAnsi="宋体" w:cs="宋体"/>
          <w:sz w:val="24"/>
          <w:szCs w:val="20"/>
        </w:rPr>
        <w:t>5. 我方已详细审核全部招标文件，包括投标文件修改书（如有的话）、参考资料及有关附件，确认无误。</w:t>
      </w:r>
    </w:p>
    <w:p>
      <w:pPr>
        <w:spacing w:line="360" w:lineRule="auto"/>
        <w:ind w:firstLine="480" w:firstLineChars="200"/>
        <w:rPr>
          <w:rFonts w:ascii="宋体" w:hAnsi="宋体" w:cs="宋体"/>
          <w:sz w:val="24"/>
          <w:szCs w:val="20"/>
        </w:rPr>
      </w:pPr>
      <w:r>
        <w:rPr>
          <w:rFonts w:hint="eastAsia" w:ascii="宋体" w:hAnsi="宋体" w:cs="宋体"/>
          <w:sz w:val="24"/>
          <w:szCs w:val="20"/>
        </w:rPr>
        <w:t>6. 我方承诺：采购人若需追加采购本项目招标文件相关服务的，在不改变合同其他实质性条款的前提下，按相同或更优惠的折扣率保证提供。</w:t>
      </w:r>
    </w:p>
    <w:p>
      <w:pPr>
        <w:spacing w:line="360" w:lineRule="auto"/>
        <w:ind w:firstLine="480" w:firstLineChars="200"/>
        <w:rPr>
          <w:rFonts w:ascii="宋体" w:hAnsi="宋体" w:cs="宋体"/>
          <w:sz w:val="24"/>
          <w:szCs w:val="20"/>
        </w:rPr>
      </w:pPr>
      <w:r>
        <w:rPr>
          <w:rFonts w:hint="eastAsia" w:ascii="宋体" w:hAnsi="宋体" w:cs="宋体"/>
          <w:sz w:val="24"/>
          <w:szCs w:val="20"/>
        </w:rPr>
        <w:t xml:space="preserve">7. 我方承诺接受招标文件中合同条款且无任何异议。  </w:t>
      </w:r>
    </w:p>
    <w:p>
      <w:pPr>
        <w:pStyle w:val="21"/>
        <w:kinsoku w:val="0"/>
        <w:overflowPunct w:val="0"/>
        <w:ind w:firstLine="560"/>
        <w:rPr>
          <w:rFonts w:ascii="宋体" w:hAnsi="宋体" w:cs="宋体"/>
          <w:sz w:val="26"/>
          <w:szCs w:val="26"/>
        </w:rPr>
      </w:pPr>
    </w:p>
    <w:p>
      <w:pPr>
        <w:pStyle w:val="27"/>
        <w:spacing w:line="400" w:lineRule="exact"/>
        <w:ind w:left="0" w:leftChars="0" w:firstLine="240" w:firstLineChars="100"/>
        <w:rPr>
          <w:rFonts w:ascii="宋体" w:hAnsi="宋体" w:cs="宋体"/>
          <w:bCs/>
          <w:sz w:val="24"/>
          <w:u w:val="single"/>
        </w:rPr>
      </w:pPr>
      <w:r>
        <w:rPr>
          <w:rFonts w:hint="eastAsia" w:ascii="宋体" w:hAnsi="宋体" w:cs="宋体"/>
          <w:bCs/>
          <w:sz w:val="24"/>
        </w:rPr>
        <w:t>供应商：</w:t>
      </w:r>
      <w:r>
        <w:rPr>
          <w:rFonts w:hint="eastAsia" w:ascii="宋体" w:hAnsi="宋体" w:cs="宋体"/>
          <w:bCs/>
          <w:sz w:val="24"/>
          <w:u w:val="single"/>
        </w:rPr>
        <w:t xml:space="preserve">                            </w:t>
      </w:r>
      <w:r>
        <w:rPr>
          <w:rFonts w:hint="eastAsia" w:ascii="宋体" w:hAnsi="宋体" w:cs="宋体"/>
          <w:bCs/>
          <w:sz w:val="24"/>
        </w:rPr>
        <w:t>（</w:t>
      </w:r>
      <w:r>
        <w:rPr>
          <w:rFonts w:hint="eastAsia" w:ascii="宋体" w:hAnsi="宋体" w:cs="宋体"/>
          <w:sz w:val="24"/>
        </w:rPr>
        <w:t>电子签章</w:t>
      </w:r>
      <w:r>
        <w:rPr>
          <w:rFonts w:hint="eastAsia" w:ascii="宋体" w:hAnsi="宋体" w:cs="宋体"/>
          <w:bCs/>
          <w:sz w:val="24"/>
        </w:rPr>
        <w:t>）</w:t>
      </w:r>
    </w:p>
    <w:p>
      <w:pPr>
        <w:pStyle w:val="27"/>
        <w:spacing w:line="400" w:lineRule="exact"/>
        <w:ind w:left="0" w:leftChars="0" w:firstLine="360" w:firstLineChars="150"/>
        <w:rPr>
          <w:rFonts w:ascii="宋体" w:hAnsi="宋体" w:cs="宋体"/>
          <w:bCs/>
          <w:sz w:val="24"/>
        </w:rPr>
      </w:pPr>
      <w:r>
        <w:rPr>
          <w:rFonts w:hint="eastAsia" w:ascii="宋体" w:hAnsi="宋体" w:cs="宋体"/>
          <w:bCs/>
          <w:sz w:val="24"/>
        </w:rPr>
        <w:t>法定代表人或</w:t>
      </w:r>
      <w:r>
        <w:rPr>
          <w:rFonts w:hint="eastAsia" w:ascii="宋体" w:hAnsi="宋体" w:cs="宋体"/>
          <w:sz w:val="24"/>
        </w:rPr>
        <w:t>其</w:t>
      </w:r>
      <w:r>
        <w:rPr>
          <w:rFonts w:hint="eastAsia" w:ascii="宋体" w:hAnsi="宋体" w:cs="宋体"/>
          <w:bCs/>
          <w:sz w:val="24"/>
        </w:rPr>
        <w:t>委托代理人：</w:t>
      </w:r>
      <w:r>
        <w:rPr>
          <w:rFonts w:hint="eastAsia" w:ascii="宋体" w:hAnsi="宋体" w:cs="宋体"/>
          <w:bCs/>
          <w:sz w:val="24"/>
          <w:u w:val="single"/>
        </w:rPr>
        <w:t xml:space="preserve">               </w:t>
      </w:r>
      <w:r>
        <w:rPr>
          <w:rFonts w:hint="eastAsia" w:ascii="宋体" w:hAnsi="宋体" w:cs="宋体"/>
          <w:bCs/>
          <w:sz w:val="24"/>
        </w:rPr>
        <w:t xml:space="preserve"> （签字或盖章）</w:t>
      </w:r>
    </w:p>
    <w:p>
      <w:pPr>
        <w:pStyle w:val="27"/>
        <w:spacing w:line="400" w:lineRule="exact"/>
        <w:ind w:left="0" w:leftChars="0" w:firstLine="360" w:firstLineChars="150"/>
        <w:rPr>
          <w:rFonts w:ascii="宋体" w:hAnsi="宋体" w:cs="宋体"/>
          <w:bCs/>
          <w:sz w:val="24"/>
          <w:u w:val="single"/>
        </w:rPr>
      </w:pPr>
      <w:r>
        <w:rPr>
          <w:rFonts w:hint="eastAsia" w:ascii="宋体" w:hAnsi="宋体" w:cs="宋体"/>
          <w:bCs/>
          <w:sz w:val="24"/>
        </w:rPr>
        <w:t>地址：</w:t>
      </w:r>
      <w:r>
        <w:rPr>
          <w:rFonts w:hint="eastAsia" w:ascii="宋体" w:hAnsi="宋体" w:cs="宋体"/>
          <w:bCs/>
          <w:sz w:val="24"/>
          <w:u w:val="single"/>
        </w:rPr>
        <w:t xml:space="preserve">                         </w:t>
      </w:r>
    </w:p>
    <w:p>
      <w:pPr>
        <w:pStyle w:val="27"/>
        <w:spacing w:line="400" w:lineRule="exact"/>
        <w:ind w:left="0" w:leftChars="0" w:firstLine="360" w:firstLineChars="150"/>
        <w:rPr>
          <w:rFonts w:ascii="宋体" w:hAnsi="宋体" w:cs="宋体"/>
          <w:bCs/>
          <w:sz w:val="24"/>
          <w:u w:val="single"/>
        </w:rPr>
      </w:pPr>
      <w:r>
        <w:rPr>
          <w:rFonts w:hint="eastAsia" w:ascii="宋体" w:hAnsi="宋体" w:cs="宋体"/>
          <w:bCs/>
          <w:sz w:val="24"/>
        </w:rPr>
        <w:t>电话：</w:t>
      </w:r>
      <w:r>
        <w:rPr>
          <w:rFonts w:hint="eastAsia" w:ascii="宋体" w:hAnsi="宋体" w:cs="宋体"/>
          <w:bCs/>
          <w:sz w:val="24"/>
          <w:u w:val="single"/>
        </w:rPr>
        <w:t xml:space="preserve">                         </w:t>
      </w:r>
    </w:p>
    <w:p>
      <w:pPr>
        <w:pStyle w:val="27"/>
        <w:spacing w:line="400" w:lineRule="exact"/>
        <w:ind w:left="0" w:leftChars="0" w:firstLine="4" w:firstLineChars="2"/>
        <w:rPr>
          <w:rFonts w:ascii="宋体" w:hAnsi="宋体" w:cs="宋体"/>
          <w:bCs/>
          <w:sz w:val="24"/>
        </w:rPr>
      </w:pPr>
      <w:r>
        <w:rPr>
          <w:rFonts w:hint="eastAsia" w:ascii="宋体" w:hAnsi="宋体" w:cs="宋体"/>
          <w:bCs/>
          <w:sz w:val="24"/>
        </w:rPr>
        <w:t xml:space="preserve">   日  期：</w:t>
      </w:r>
      <w:r>
        <w:rPr>
          <w:rFonts w:hint="eastAsia" w:ascii="宋体" w:hAnsi="宋体" w:cs="宋体"/>
          <w:bCs/>
          <w:sz w:val="24"/>
          <w:u w:val="single"/>
        </w:rPr>
        <w:t xml:space="preserve">      </w:t>
      </w:r>
      <w:r>
        <w:rPr>
          <w:rFonts w:hint="eastAsia" w:ascii="宋体" w:hAnsi="宋体" w:cs="宋体"/>
          <w:bCs/>
          <w:sz w:val="24"/>
        </w:rPr>
        <w:t>年</w:t>
      </w:r>
      <w:r>
        <w:rPr>
          <w:rFonts w:hint="eastAsia" w:ascii="宋体" w:hAnsi="宋体" w:cs="宋体"/>
          <w:bCs/>
          <w:sz w:val="24"/>
          <w:u w:val="single"/>
        </w:rPr>
        <w:t xml:space="preserve">     </w:t>
      </w:r>
      <w:r>
        <w:rPr>
          <w:rFonts w:hint="eastAsia" w:ascii="宋体" w:hAnsi="宋体" w:cs="宋体"/>
          <w:bCs/>
          <w:sz w:val="24"/>
        </w:rPr>
        <w:t>月</w:t>
      </w:r>
      <w:r>
        <w:rPr>
          <w:rFonts w:hint="eastAsia" w:ascii="宋体" w:hAnsi="宋体" w:cs="宋体"/>
          <w:bCs/>
          <w:sz w:val="24"/>
          <w:u w:val="single"/>
        </w:rPr>
        <w:t xml:space="preserve">     </w:t>
      </w:r>
      <w:r>
        <w:rPr>
          <w:rFonts w:hint="eastAsia" w:ascii="宋体" w:hAnsi="宋体" w:cs="宋体"/>
          <w:bCs/>
          <w:sz w:val="24"/>
        </w:rPr>
        <w:t>日</w:t>
      </w:r>
    </w:p>
    <w:p>
      <w:pPr>
        <w:pStyle w:val="21"/>
        <w:kinsoku w:val="0"/>
        <w:overflowPunct w:val="0"/>
        <w:ind w:firstLine="560"/>
        <w:rPr>
          <w:rFonts w:ascii="宋体" w:hAnsi="宋体" w:cs="宋体"/>
          <w:b/>
          <w:bCs/>
          <w:sz w:val="32"/>
          <w:szCs w:val="32"/>
        </w:rPr>
        <w:sectPr>
          <w:pgSz w:w="11910" w:h="16840"/>
          <w:pgMar w:top="1580" w:right="1020" w:bottom="1240" w:left="1020" w:header="0" w:footer="1044" w:gutter="0"/>
          <w:cols w:space="720" w:num="1"/>
        </w:sectPr>
      </w:pPr>
    </w:p>
    <w:p>
      <w:pPr>
        <w:pStyle w:val="8"/>
        <w:jc w:val="center"/>
        <w:rPr>
          <w:rFonts w:ascii="宋体" w:hAnsi="宋体" w:cs="宋体"/>
        </w:rPr>
      </w:pPr>
      <w:bookmarkStart w:id="73" w:name="二、法定代表人身份证明"/>
      <w:bookmarkEnd w:id="73"/>
      <w:r>
        <w:rPr>
          <w:rFonts w:hint="eastAsia" w:ascii="宋体" w:hAnsi="宋体" w:cs="宋体"/>
        </w:rPr>
        <w:t>2、投标函附录</w:t>
      </w:r>
    </w:p>
    <w:p>
      <w:pPr>
        <w:pStyle w:val="21"/>
        <w:kinsoku w:val="0"/>
        <w:overflowPunct w:val="0"/>
        <w:spacing w:before="5" w:beforeAutospacing="0"/>
        <w:ind w:firstLine="241"/>
        <w:rPr>
          <w:rFonts w:ascii="宋体" w:hAnsi="宋体" w:cs="宋体"/>
          <w:b/>
          <w:bCs/>
          <w:sz w:val="10"/>
          <w:szCs w:val="10"/>
        </w:rPr>
      </w:pPr>
      <w:r>
        <w:rPr>
          <w:rFonts w:hint="eastAsia" w:ascii="宋体" w:hAnsi="宋体" w:cs="宋体"/>
          <w:b/>
          <w:bCs/>
          <w:sz w:val="10"/>
          <w:szCs w:val="10"/>
        </w:rPr>
        <w:t xml:space="preserve"> </w:t>
      </w:r>
    </w:p>
    <w:tbl>
      <w:tblPr>
        <w:tblStyle w:val="46"/>
        <w:tblW w:w="0" w:type="auto"/>
        <w:tblInd w:w="403" w:type="dxa"/>
        <w:tblLayout w:type="fixed"/>
        <w:tblCellMar>
          <w:top w:w="0" w:type="dxa"/>
          <w:left w:w="0" w:type="dxa"/>
          <w:bottom w:w="0" w:type="dxa"/>
          <w:right w:w="0" w:type="dxa"/>
        </w:tblCellMar>
      </w:tblPr>
      <w:tblGrid>
        <w:gridCol w:w="3008"/>
        <w:gridCol w:w="6267"/>
      </w:tblGrid>
      <w:tr>
        <w:tblPrEx>
          <w:tblCellMar>
            <w:top w:w="0" w:type="dxa"/>
            <w:left w:w="0" w:type="dxa"/>
            <w:bottom w:w="0" w:type="dxa"/>
            <w:right w:w="0" w:type="dxa"/>
          </w:tblCellMar>
        </w:tblPrEx>
        <w:trPr>
          <w:trHeight w:val="939" w:hRule="atLeast"/>
        </w:trPr>
        <w:tc>
          <w:tcPr>
            <w:tcW w:w="3008" w:type="dxa"/>
            <w:tcBorders>
              <w:top w:val="single" w:color="000000" w:sz="4" w:space="0"/>
              <w:left w:val="single" w:color="000000" w:sz="4" w:space="0"/>
              <w:bottom w:val="single" w:color="000000" w:sz="4" w:space="0"/>
              <w:right w:val="single" w:color="000000" w:sz="4" w:space="0"/>
            </w:tcBorders>
            <w:vAlign w:val="center"/>
          </w:tcPr>
          <w:p>
            <w:pPr>
              <w:pStyle w:val="66"/>
              <w:kinsoku w:val="0"/>
              <w:overflowPunct w:val="0"/>
              <w:ind w:left="884" w:right="873"/>
              <w:jc w:val="center"/>
              <w:rPr>
                <w:rFonts w:hAnsi="宋体"/>
              </w:rPr>
            </w:pPr>
            <w:r>
              <w:rPr>
                <w:rFonts w:hint="eastAsia" w:hAnsi="宋体"/>
              </w:rPr>
              <w:t>项目名称、标段</w:t>
            </w:r>
          </w:p>
        </w:tc>
        <w:tc>
          <w:tcPr>
            <w:tcW w:w="6267" w:type="dxa"/>
            <w:tcBorders>
              <w:top w:val="single" w:color="000000" w:sz="4" w:space="0"/>
              <w:left w:val="nil"/>
              <w:bottom w:val="single" w:color="000000" w:sz="4" w:space="0"/>
              <w:right w:val="single" w:color="000000" w:sz="4" w:space="0"/>
            </w:tcBorders>
          </w:tcPr>
          <w:p>
            <w:pPr>
              <w:pStyle w:val="66"/>
              <w:kinsoku w:val="0"/>
              <w:overflowPunct w:val="0"/>
              <w:rPr>
                <w:rFonts w:hAnsi="宋体"/>
              </w:rPr>
            </w:pPr>
          </w:p>
        </w:tc>
      </w:tr>
      <w:tr>
        <w:tblPrEx>
          <w:tblCellMar>
            <w:top w:w="0" w:type="dxa"/>
            <w:left w:w="0" w:type="dxa"/>
            <w:bottom w:w="0" w:type="dxa"/>
            <w:right w:w="0" w:type="dxa"/>
          </w:tblCellMar>
        </w:tblPrEx>
        <w:trPr>
          <w:trHeight w:val="938" w:hRule="atLeast"/>
        </w:trPr>
        <w:tc>
          <w:tcPr>
            <w:tcW w:w="3008" w:type="dxa"/>
            <w:tcBorders>
              <w:top w:val="single" w:color="000000" w:sz="4" w:space="0"/>
              <w:left w:val="single" w:color="000000" w:sz="4" w:space="0"/>
              <w:bottom w:val="single" w:color="000000" w:sz="4" w:space="0"/>
              <w:right w:val="single" w:color="000000" w:sz="4" w:space="0"/>
            </w:tcBorders>
            <w:vAlign w:val="center"/>
          </w:tcPr>
          <w:p>
            <w:pPr>
              <w:pStyle w:val="66"/>
              <w:kinsoku w:val="0"/>
              <w:overflowPunct w:val="0"/>
              <w:ind w:left="884" w:right="873"/>
              <w:jc w:val="center"/>
              <w:rPr>
                <w:rFonts w:hAnsi="宋体"/>
              </w:rPr>
            </w:pPr>
            <w:r>
              <w:rPr>
                <w:rFonts w:hint="eastAsia" w:hAnsi="宋体"/>
              </w:rPr>
              <w:t>投标范围</w:t>
            </w:r>
          </w:p>
        </w:tc>
        <w:tc>
          <w:tcPr>
            <w:tcW w:w="6267" w:type="dxa"/>
            <w:tcBorders>
              <w:top w:val="single" w:color="000000" w:sz="4" w:space="0"/>
              <w:left w:val="nil"/>
              <w:bottom w:val="single" w:color="000000" w:sz="4" w:space="0"/>
              <w:right w:val="single" w:color="000000" w:sz="4" w:space="0"/>
            </w:tcBorders>
          </w:tcPr>
          <w:p>
            <w:pPr>
              <w:pStyle w:val="66"/>
              <w:kinsoku w:val="0"/>
              <w:overflowPunct w:val="0"/>
              <w:rPr>
                <w:rFonts w:hAnsi="宋体"/>
              </w:rPr>
            </w:pPr>
          </w:p>
        </w:tc>
      </w:tr>
      <w:tr>
        <w:tblPrEx>
          <w:tblCellMar>
            <w:top w:w="0" w:type="dxa"/>
            <w:left w:w="0" w:type="dxa"/>
            <w:bottom w:w="0" w:type="dxa"/>
            <w:right w:w="0" w:type="dxa"/>
          </w:tblCellMar>
        </w:tblPrEx>
        <w:trPr>
          <w:trHeight w:val="939" w:hRule="atLeast"/>
        </w:trPr>
        <w:tc>
          <w:tcPr>
            <w:tcW w:w="3008" w:type="dxa"/>
            <w:tcBorders>
              <w:top w:val="single" w:color="000000" w:sz="4" w:space="0"/>
              <w:left w:val="single" w:color="000000" w:sz="4" w:space="0"/>
              <w:bottom w:val="single" w:color="000000" w:sz="4" w:space="0"/>
              <w:right w:val="single" w:color="000000" w:sz="4" w:space="0"/>
            </w:tcBorders>
            <w:vAlign w:val="center"/>
          </w:tcPr>
          <w:p>
            <w:pPr>
              <w:pStyle w:val="66"/>
              <w:kinsoku w:val="0"/>
              <w:overflowPunct w:val="0"/>
              <w:ind w:left="884" w:right="873"/>
              <w:jc w:val="center"/>
              <w:rPr>
                <w:rFonts w:hAnsi="宋体"/>
              </w:rPr>
            </w:pPr>
            <w:r>
              <w:rPr>
                <w:rFonts w:hint="eastAsia" w:hAnsi="宋体"/>
              </w:rPr>
              <w:t>投标有效期</w:t>
            </w:r>
          </w:p>
        </w:tc>
        <w:tc>
          <w:tcPr>
            <w:tcW w:w="6267" w:type="dxa"/>
            <w:tcBorders>
              <w:top w:val="single" w:color="000000" w:sz="4" w:space="0"/>
              <w:left w:val="nil"/>
              <w:bottom w:val="single" w:color="000000" w:sz="4" w:space="0"/>
              <w:right w:val="single" w:color="000000" w:sz="4" w:space="0"/>
            </w:tcBorders>
          </w:tcPr>
          <w:p>
            <w:pPr>
              <w:pStyle w:val="66"/>
              <w:kinsoku w:val="0"/>
              <w:overflowPunct w:val="0"/>
              <w:rPr>
                <w:rFonts w:hAnsi="宋体"/>
              </w:rPr>
            </w:pPr>
          </w:p>
        </w:tc>
      </w:tr>
      <w:tr>
        <w:tblPrEx>
          <w:tblCellMar>
            <w:top w:w="0" w:type="dxa"/>
            <w:left w:w="0" w:type="dxa"/>
            <w:bottom w:w="0" w:type="dxa"/>
            <w:right w:w="0" w:type="dxa"/>
          </w:tblCellMar>
        </w:tblPrEx>
        <w:trPr>
          <w:trHeight w:val="1345" w:hRule="atLeast"/>
        </w:trPr>
        <w:tc>
          <w:tcPr>
            <w:tcW w:w="3008" w:type="dxa"/>
            <w:tcBorders>
              <w:top w:val="single" w:color="000000" w:sz="4" w:space="0"/>
              <w:left w:val="single" w:color="000000" w:sz="4" w:space="0"/>
              <w:bottom w:val="single" w:color="000000" w:sz="4" w:space="0"/>
              <w:right w:val="single" w:color="000000" w:sz="4" w:space="0"/>
            </w:tcBorders>
            <w:vAlign w:val="center"/>
          </w:tcPr>
          <w:p>
            <w:pPr>
              <w:pStyle w:val="66"/>
              <w:kinsoku w:val="0"/>
              <w:overflowPunct w:val="0"/>
              <w:ind w:left="884" w:right="873"/>
              <w:jc w:val="center"/>
              <w:rPr>
                <w:rFonts w:hAnsi="宋体"/>
              </w:rPr>
            </w:pPr>
            <w:r>
              <w:rPr>
                <w:rFonts w:hint="eastAsia" w:hAnsi="宋体"/>
              </w:rPr>
              <w:t>投标报价</w:t>
            </w:r>
          </w:p>
        </w:tc>
        <w:tc>
          <w:tcPr>
            <w:tcW w:w="6267" w:type="dxa"/>
            <w:tcBorders>
              <w:top w:val="single" w:color="000000" w:sz="4" w:space="0"/>
              <w:left w:val="nil"/>
              <w:bottom w:val="single" w:color="000000" w:sz="4" w:space="0"/>
              <w:right w:val="single" w:color="000000" w:sz="4" w:space="0"/>
            </w:tcBorders>
            <w:vAlign w:val="center"/>
          </w:tcPr>
          <w:p>
            <w:pPr>
              <w:pStyle w:val="66"/>
              <w:kinsoku w:val="0"/>
              <w:overflowPunct w:val="0"/>
              <w:spacing w:before="1"/>
              <w:ind w:left="107"/>
              <w:jc w:val="both"/>
              <w:rPr>
                <w:rFonts w:hAnsi="宋体"/>
                <w:u w:val="single"/>
              </w:rPr>
            </w:pPr>
            <w:r>
              <w:rPr>
                <w:rFonts w:hint="eastAsia" w:hAnsi="宋体"/>
              </w:rPr>
              <w:t>大写：</w:t>
            </w:r>
            <w:r>
              <w:rPr>
                <w:rFonts w:hint="eastAsia" w:hAnsi="宋体"/>
                <w:u w:val="single"/>
              </w:rPr>
              <w:t xml:space="preserve">                   </w:t>
            </w:r>
          </w:p>
          <w:p>
            <w:pPr>
              <w:pStyle w:val="66"/>
              <w:kinsoku w:val="0"/>
              <w:overflowPunct w:val="0"/>
              <w:spacing w:before="153"/>
              <w:ind w:left="107"/>
              <w:jc w:val="both"/>
              <w:rPr>
                <w:rFonts w:hAnsi="宋体"/>
              </w:rPr>
            </w:pPr>
            <w:r>
              <w:rPr>
                <w:rFonts w:hint="eastAsia" w:hAnsi="宋体"/>
              </w:rPr>
              <w:t>小写:</w:t>
            </w:r>
            <w:r>
              <w:rPr>
                <w:rFonts w:hint="eastAsia" w:hAnsi="宋体"/>
                <w:u w:val="single"/>
              </w:rPr>
              <w:t xml:space="preserve">                      </w:t>
            </w:r>
            <w:r>
              <w:rPr>
                <w:rFonts w:hint="eastAsia" w:hAnsi="宋体"/>
              </w:rPr>
              <w:tab/>
            </w:r>
          </w:p>
        </w:tc>
      </w:tr>
      <w:tr>
        <w:tblPrEx>
          <w:tblCellMar>
            <w:top w:w="0" w:type="dxa"/>
            <w:left w:w="0" w:type="dxa"/>
            <w:bottom w:w="0" w:type="dxa"/>
            <w:right w:w="0" w:type="dxa"/>
          </w:tblCellMar>
        </w:tblPrEx>
        <w:trPr>
          <w:trHeight w:val="939" w:hRule="atLeast"/>
        </w:trPr>
        <w:tc>
          <w:tcPr>
            <w:tcW w:w="3008" w:type="dxa"/>
            <w:tcBorders>
              <w:top w:val="single" w:color="000000" w:sz="4" w:space="0"/>
              <w:left w:val="single" w:color="000000" w:sz="4" w:space="0"/>
              <w:bottom w:val="single" w:color="000000" w:sz="4" w:space="0"/>
              <w:right w:val="single" w:color="000000" w:sz="4" w:space="0"/>
            </w:tcBorders>
            <w:vAlign w:val="center"/>
          </w:tcPr>
          <w:p>
            <w:pPr>
              <w:pStyle w:val="66"/>
              <w:kinsoku w:val="0"/>
              <w:overflowPunct w:val="0"/>
              <w:ind w:left="884" w:right="873"/>
              <w:jc w:val="center"/>
              <w:rPr>
                <w:rFonts w:hAnsi="宋体"/>
              </w:rPr>
            </w:pPr>
            <w:r>
              <w:rPr>
                <w:rFonts w:hint="eastAsia" w:hAnsi="宋体"/>
              </w:rPr>
              <w:t>供货期及安装</w:t>
            </w:r>
          </w:p>
        </w:tc>
        <w:tc>
          <w:tcPr>
            <w:tcW w:w="6267" w:type="dxa"/>
            <w:tcBorders>
              <w:top w:val="single" w:color="000000" w:sz="4" w:space="0"/>
              <w:left w:val="nil"/>
              <w:bottom w:val="single" w:color="000000" w:sz="4" w:space="0"/>
              <w:right w:val="single" w:color="000000" w:sz="4" w:space="0"/>
            </w:tcBorders>
          </w:tcPr>
          <w:p>
            <w:pPr>
              <w:pStyle w:val="66"/>
              <w:kinsoku w:val="0"/>
              <w:overflowPunct w:val="0"/>
              <w:rPr>
                <w:rFonts w:hAnsi="宋体"/>
              </w:rPr>
            </w:pPr>
          </w:p>
        </w:tc>
      </w:tr>
      <w:tr>
        <w:tblPrEx>
          <w:tblCellMar>
            <w:top w:w="0" w:type="dxa"/>
            <w:left w:w="0" w:type="dxa"/>
            <w:bottom w:w="0" w:type="dxa"/>
            <w:right w:w="0" w:type="dxa"/>
          </w:tblCellMar>
        </w:tblPrEx>
        <w:trPr>
          <w:trHeight w:val="939" w:hRule="atLeast"/>
        </w:trPr>
        <w:tc>
          <w:tcPr>
            <w:tcW w:w="3008" w:type="dxa"/>
            <w:tcBorders>
              <w:top w:val="single" w:color="000000" w:sz="4" w:space="0"/>
              <w:left w:val="single" w:color="000000" w:sz="4" w:space="0"/>
              <w:bottom w:val="single" w:color="000000" w:sz="4" w:space="0"/>
              <w:right w:val="single" w:color="000000" w:sz="4" w:space="0"/>
            </w:tcBorders>
            <w:vAlign w:val="center"/>
          </w:tcPr>
          <w:p>
            <w:pPr>
              <w:pStyle w:val="66"/>
              <w:kinsoku w:val="0"/>
              <w:overflowPunct w:val="0"/>
              <w:ind w:left="884" w:right="873"/>
              <w:jc w:val="center"/>
              <w:rPr>
                <w:rFonts w:hAnsi="宋体"/>
                <w:b/>
                <w:bCs/>
              </w:rPr>
            </w:pPr>
            <w:r>
              <w:rPr>
                <w:rFonts w:hint="eastAsia" w:hAnsi="宋体"/>
              </w:rPr>
              <w:t>质保期</w:t>
            </w:r>
          </w:p>
        </w:tc>
        <w:tc>
          <w:tcPr>
            <w:tcW w:w="6267" w:type="dxa"/>
            <w:tcBorders>
              <w:top w:val="single" w:color="000000" w:sz="4" w:space="0"/>
              <w:left w:val="nil"/>
              <w:bottom w:val="single" w:color="000000" w:sz="4" w:space="0"/>
              <w:right w:val="single" w:color="000000" w:sz="4" w:space="0"/>
            </w:tcBorders>
          </w:tcPr>
          <w:p>
            <w:pPr>
              <w:pStyle w:val="66"/>
              <w:kinsoku w:val="0"/>
              <w:overflowPunct w:val="0"/>
              <w:rPr>
                <w:rFonts w:hAnsi="宋体"/>
              </w:rPr>
            </w:pPr>
          </w:p>
        </w:tc>
      </w:tr>
      <w:tr>
        <w:tblPrEx>
          <w:tblCellMar>
            <w:top w:w="0" w:type="dxa"/>
            <w:left w:w="0" w:type="dxa"/>
            <w:bottom w:w="0" w:type="dxa"/>
            <w:right w:w="0" w:type="dxa"/>
          </w:tblCellMar>
        </w:tblPrEx>
        <w:trPr>
          <w:trHeight w:val="938" w:hRule="atLeast"/>
        </w:trPr>
        <w:tc>
          <w:tcPr>
            <w:tcW w:w="3008" w:type="dxa"/>
            <w:tcBorders>
              <w:top w:val="single" w:color="000000" w:sz="4" w:space="0"/>
              <w:left w:val="single" w:color="000000" w:sz="4" w:space="0"/>
              <w:bottom w:val="single" w:color="000000" w:sz="4" w:space="0"/>
              <w:right w:val="single" w:color="000000" w:sz="4" w:space="0"/>
            </w:tcBorders>
            <w:vAlign w:val="center"/>
          </w:tcPr>
          <w:p>
            <w:pPr>
              <w:pStyle w:val="66"/>
              <w:kinsoku w:val="0"/>
              <w:overflowPunct w:val="0"/>
              <w:ind w:left="884" w:right="873"/>
              <w:jc w:val="center"/>
              <w:rPr>
                <w:rFonts w:hAnsi="宋体"/>
              </w:rPr>
            </w:pPr>
            <w:r>
              <w:rPr>
                <w:rFonts w:hint="eastAsia" w:hAnsi="宋体"/>
              </w:rPr>
              <w:t>质量标准</w:t>
            </w:r>
          </w:p>
        </w:tc>
        <w:tc>
          <w:tcPr>
            <w:tcW w:w="6267" w:type="dxa"/>
            <w:tcBorders>
              <w:top w:val="single" w:color="000000" w:sz="4" w:space="0"/>
              <w:left w:val="nil"/>
              <w:bottom w:val="single" w:color="000000" w:sz="4" w:space="0"/>
              <w:right w:val="single" w:color="000000" w:sz="4" w:space="0"/>
            </w:tcBorders>
          </w:tcPr>
          <w:p>
            <w:pPr>
              <w:pStyle w:val="66"/>
              <w:kinsoku w:val="0"/>
              <w:overflowPunct w:val="0"/>
              <w:rPr>
                <w:rFonts w:hAnsi="宋体"/>
              </w:rPr>
            </w:pPr>
          </w:p>
        </w:tc>
      </w:tr>
      <w:tr>
        <w:tblPrEx>
          <w:tblCellMar>
            <w:top w:w="0" w:type="dxa"/>
            <w:left w:w="0" w:type="dxa"/>
            <w:bottom w:w="0" w:type="dxa"/>
            <w:right w:w="0" w:type="dxa"/>
          </w:tblCellMar>
        </w:tblPrEx>
        <w:trPr>
          <w:trHeight w:val="938" w:hRule="atLeast"/>
        </w:trPr>
        <w:tc>
          <w:tcPr>
            <w:tcW w:w="3008" w:type="dxa"/>
            <w:tcBorders>
              <w:top w:val="single" w:color="000000" w:sz="4" w:space="0"/>
              <w:left w:val="single" w:color="000000" w:sz="4" w:space="0"/>
              <w:bottom w:val="single" w:color="000000" w:sz="4" w:space="0"/>
              <w:right w:val="single" w:color="000000" w:sz="4" w:space="0"/>
            </w:tcBorders>
            <w:vAlign w:val="center"/>
          </w:tcPr>
          <w:p>
            <w:pPr>
              <w:pStyle w:val="66"/>
              <w:kinsoku w:val="0"/>
              <w:overflowPunct w:val="0"/>
              <w:ind w:left="884" w:right="873"/>
              <w:jc w:val="center"/>
              <w:rPr>
                <w:rFonts w:hAnsi="宋体"/>
              </w:rPr>
            </w:pPr>
            <w:r>
              <w:rPr>
                <w:rFonts w:hint="eastAsia" w:hAnsi="宋体"/>
              </w:rPr>
              <w:t>备注</w:t>
            </w:r>
          </w:p>
        </w:tc>
        <w:tc>
          <w:tcPr>
            <w:tcW w:w="6267" w:type="dxa"/>
            <w:tcBorders>
              <w:top w:val="single" w:color="000000" w:sz="4" w:space="0"/>
              <w:left w:val="nil"/>
              <w:bottom w:val="single" w:color="000000" w:sz="4" w:space="0"/>
              <w:right w:val="single" w:color="000000" w:sz="4" w:space="0"/>
            </w:tcBorders>
          </w:tcPr>
          <w:p>
            <w:pPr>
              <w:pStyle w:val="66"/>
              <w:kinsoku w:val="0"/>
              <w:overflowPunct w:val="0"/>
              <w:rPr>
                <w:rFonts w:hAnsi="宋体"/>
              </w:rPr>
            </w:pPr>
          </w:p>
        </w:tc>
      </w:tr>
    </w:tbl>
    <w:p>
      <w:pPr>
        <w:pStyle w:val="21"/>
        <w:kinsoku w:val="0"/>
        <w:overflowPunct w:val="0"/>
        <w:ind w:firstLine="602"/>
        <w:rPr>
          <w:rFonts w:ascii="宋体" w:hAnsi="宋体" w:cs="宋体"/>
          <w:b/>
          <w:bCs/>
          <w:sz w:val="28"/>
          <w:szCs w:val="28"/>
        </w:rPr>
      </w:pPr>
      <w:r>
        <w:rPr>
          <w:rFonts w:hint="eastAsia" w:ascii="宋体" w:hAnsi="宋体" w:cs="宋体"/>
          <w:b/>
          <w:bCs/>
          <w:sz w:val="28"/>
          <w:szCs w:val="28"/>
        </w:rPr>
        <w:t xml:space="preserve"> </w:t>
      </w:r>
    </w:p>
    <w:p>
      <w:pPr>
        <w:pStyle w:val="21"/>
        <w:kinsoku w:val="0"/>
        <w:overflowPunct w:val="0"/>
        <w:spacing w:before="5" w:beforeAutospacing="0"/>
        <w:ind w:firstLine="462"/>
        <w:rPr>
          <w:rFonts w:ascii="宋体" w:hAnsi="宋体" w:cs="宋体"/>
          <w:b/>
          <w:bCs/>
          <w:sz w:val="21"/>
          <w:szCs w:val="21"/>
        </w:rPr>
      </w:pPr>
      <w:r>
        <w:rPr>
          <w:rFonts w:hint="eastAsia" w:ascii="宋体" w:hAnsi="宋体" w:cs="宋体"/>
          <w:b/>
          <w:bCs/>
          <w:sz w:val="21"/>
          <w:szCs w:val="21"/>
        </w:rPr>
        <w:t xml:space="preserve"> </w:t>
      </w:r>
    </w:p>
    <w:p>
      <w:pPr>
        <w:pStyle w:val="21"/>
        <w:kinsoku w:val="0"/>
        <w:overflowPunct w:val="0"/>
        <w:spacing w:line="420" w:lineRule="auto"/>
        <w:ind w:right="637" w:firstLine="2640" w:firstLineChars="1100"/>
        <w:rPr>
          <w:rFonts w:ascii="宋体" w:hAnsi="宋体" w:cs="宋体"/>
        </w:rPr>
      </w:pPr>
      <w:r>
        <w:rPr>
          <w:rFonts w:hint="eastAsia" w:ascii="宋体" w:hAnsi="宋体" w:cs="宋体"/>
        </w:rPr>
        <w:t xml:space="preserve">供应商：  </w:t>
      </w:r>
      <w:r>
        <w:rPr>
          <w:rFonts w:hint="eastAsia" w:ascii="宋体" w:hAnsi="宋体" w:cs="宋体"/>
          <w:u w:val="single" w:color="000000"/>
        </w:rPr>
        <w:tab/>
      </w:r>
      <w:r>
        <w:rPr>
          <w:rFonts w:hint="eastAsia" w:ascii="宋体" w:hAnsi="宋体" w:cs="宋体"/>
          <w:u w:val="single" w:color="000000"/>
        </w:rPr>
        <w:t xml:space="preserve">         </w:t>
      </w:r>
      <w:r>
        <w:rPr>
          <w:rFonts w:hint="eastAsia" w:ascii="宋体" w:hAnsi="宋体" w:cs="宋体"/>
        </w:rPr>
        <w:t>（电子签章）</w:t>
      </w:r>
    </w:p>
    <w:p>
      <w:pPr>
        <w:pStyle w:val="21"/>
        <w:kinsoku w:val="0"/>
        <w:overflowPunct w:val="0"/>
        <w:spacing w:line="420" w:lineRule="auto"/>
        <w:ind w:right="637" w:firstLine="2520" w:firstLineChars="1050"/>
        <w:rPr>
          <w:rFonts w:ascii="宋体" w:hAnsi="宋体" w:cs="宋体"/>
        </w:rPr>
      </w:pPr>
      <w:r>
        <w:rPr>
          <w:rFonts w:hint="eastAsia" w:ascii="宋体" w:hAnsi="宋体" w:cs="宋体"/>
        </w:rPr>
        <w:t>法定代表人或其委托代理人：</w:t>
      </w:r>
      <w:r>
        <w:rPr>
          <w:rFonts w:hint="eastAsia" w:ascii="宋体" w:hAnsi="宋体" w:cs="宋体"/>
          <w:u w:val="single" w:color="000000"/>
        </w:rPr>
        <w:t xml:space="preserve"> </w:t>
      </w:r>
      <w:r>
        <w:rPr>
          <w:rFonts w:hint="eastAsia" w:ascii="宋体" w:hAnsi="宋体" w:cs="宋体"/>
          <w:u w:val="single" w:color="000000"/>
        </w:rPr>
        <w:tab/>
      </w:r>
      <w:r>
        <w:rPr>
          <w:rFonts w:hint="eastAsia" w:ascii="宋体" w:hAnsi="宋体" w:cs="宋体"/>
          <w:u w:val="single" w:color="000000"/>
        </w:rPr>
        <w:tab/>
      </w:r>
      <w:r>
        <w:rPr>
          <w:rFonts w:hint="eastAsia" w:ascii="宋体" w:hAnsi="宋体" w:cs="宋体"/>
          <w:u w:val="single" w:color="000000"/>
        </w:rPr>
        <w:tab/>
      </w:r>
      <w:r>
        <w:rPr>
          <w:rFonts w:hint="eastAsia" w:ascii="宋体" w:hAnsi="宋体" w:cs="宋体"/>
        </w:rPr>
        <w:t>（</w:t>
      </w:r>
      <w:r>
        <w:rPr>
          <w:rFonts w:hint="eastAsia" w:ascii="宋体" w:hAnsi="宋体" w:cs="宋体"/>
          <w:bCs/>
        </w:rPr>
        <w:t>签字或盖章</w:t>
      </w:r>
      <w:r>
        <w:rPr>
          <w:rFonts w:hint="eastAsia" w:ascii="宋体" w:hAnsi="宋体" w:cs="宋体"/>
        </w:rPr>
        <w:t xml:space="preserve">） </w:t>
      </w:r>
    </w:p>
    <w:p>
      <w:pPr>
        <w:pStyle w:val="21"/>
        <w:kinsoku w:val="0"/>
        <w:overflowPunct w:val="0"/>
        <w:spacing w:line="420" w:lineRule="auto"/>
        <w:ind w:left="3708" w:right="637" w:firstLine="640"/>
        <w:rPr>
          <w:rFonts w:ascii="宋体" w:hAnsi="宋体" w:cs="宋体"/>
        </w:rPr>
      </w:pPr>
      <w:r>
        <w:rPr>
          <w:rFonts w:hint="eastAsia" w:ascii="宋体" w:hAnsi="宋体" w:cs="宋体"/>
        </w:rPr>
        <w:t>日</w:t>
      </w:r>
      <w:r>
        <w:rPr>
          <w:rFonts w:hint="eastAsia" w:ascii="宋体" w:hAnsi="宋体" w:cs="宋体"/>
        </w:rPr>
        <w:tab/>
      </w:r>
      <w:r>
        <w:rPr>
          <w:rFonts w:hint="eastAsia" w:ascii="宋体" w:hAnsi="宋体" w:cs="宋体"/>
        </w:rPr>
        <w:t>期：</w:t>
      </w:r>
      <w:r>
        <w:rPr>
          <w:rFonts w:hint="eastAsia" w:ascii="宋体" w:hAnsi="宋体" w:cs="宋体"/>
          <w:u w:val="single" w:color="000000"/>
        </w:rPr>
        <w:t xml:space="preserve">  </w:t>
      </w:r>
      <w:r>
        <w:rPr>
          <w:rFonts w:hint="eastAsia" w:ascii="宋体" w:hAnsi="宋体" w:cs="宋体"/>
          <w:u w:val="single" w:color="000000"/>
        </w:rPr>
        <w:tab/>
      </w:r>
      <w:r>
        <w:rPr>
          <w:rFonts w:hint="eastAsia" w:ascii="宋体" w:hAnsi="宋体" w:cs="宋体"/>
        </w:rPr>
        <w:t>年</w:t>
      </w:r>
      <w:r>
        <w:rPr>
          <w:rFonts w:hint="eastAsia" w:ascii="宋体" w:hAnsi="宋体" w:cs="宋体"/>
          <w:u w:val="single" w:color="000000"/>
        </w:rPr>
        <w:t xml:space="preserve"> </w:t>
      </w:r>
      <w:r>
        <w:rPr>
          <w:rFonts w:hint="eastAsia" w:ascii="宋体" w:hAnsi="宋体" w:cs="宋体"/>
          <w:u w:val="single" w:color="000000"/>
        </w:rPr>
        <w:tab/>
      </w:r>
      <w:r>
        <w:rPr>
          <w:rFonts w:hint="eastAsia" w:ascii="宋体" w:hAnsi="宋体" w:cs="宋体"/>
        </w:rPr>
        <w:t>月</w:t>
      </w:r>
      <w:r>
        <w:rPr>
          <w:rFonts w:hint="eastAsia" w:ascii="宋体" w:hAnsi="宋体" w:cs="宋体"/>
          <w:u w:val="single" w:color="000000"/>
        </w:rPr>
        <w:t xml:space="preserve"> </w:t>
      </w:r>
      <w:r>
        <w:rPr>
          <w:rFonts w:hint="eastAsia" w:ascii="宋体" w:hAnsi="宋体" w:cs="宋体"/>
          <w:u w:val="single" w:color="000000"/>
        </w:rPr>
        <w:tab/>
      </w:r>
      <w:r>
        <w:rPr>
          <w:rFonts w:hint="eastAsia" w:ascii="宋体" w:hAnsi="宋体" w:cs="宋体"/>
        </w:rPr>
        <w:t>日</w:t>
      </w:r>
    </w:p>
    <w:p>
      <w:pPr>
        <w:pStyle w:val="21"/>
        <w:kinsoku w:val="0"/>
        <w:overflowPunct w:val="0"/>
        <w:spacing w:line="420" w:lineRule="auto"/>
        <w:ind w:left="3708" w:right="637" w:firstLine="640"/>
        <w:rPr>
          <w:rFonts w:ascii="宋体" w:hAnsi="宋体" w:cs="宋体"/>
        </w:rPr>
      </w:pPr>
      <w:r>
        <w:rPr>
          <w:rFonts w:hint="eastAsia" w:ascii="宋体" w:hAnsi="宋体" w:cs="宋体"/>
        </w:rPr>
        <w:t xml:space="preserve"> </w:t>
      </w:r>
    </w:p>
    <w:p>
      <w:pPr>
        <w:pStyle w:val="7"/>
        <w:jc w:val="center"/>
        <w:rPr>
          <w:rFonts w:ascii="宋体" w:hAnsi="宋体" w:cs="宋体"/>
        </w:rPr>
      </w:pPr>
      <w:bookmarkStart w:id="74" w:name="_Toc391363049"/>
      <w:bookmarkEnd w:id="74"/>
      <w:bookmarkStart w:id="75" w:name="_Toc520389628"/>
      <w:bookmarkEnd w:id="75"/>
      <w:r>
        <w:rPr>
          <w:rFonts w:hint="eastAsia" w:ascii="宋体" w:hAnsi="宋体" w:cs="宋体"/>
        </w:rPr>
        <w:t>二、分项报价明细表</w:t>
      </w:r>
    </w:p>
    <w:p>
      <w:pPr>
        <w:spacing w:line="460" w:lineRule="exact"/>
        <w:ind w:right="480" w:firstLine="330" w:firstLineChars="150"/>
        <w:jc w:val="right"/>
        <w:rPr>
          <w:rFonts w:ascii="宋体" w:hAnsi="宋体" w:cs="宋体"/>
          <w:sz w:val="22"/>
          <w:u w:val="single"/>
        </w:rPr>
      </w:pPr>
      <w:r>
        <w:rPr>
          <w:rFonts w:hint="eastAsia" w:ascii="宋体" w:hAnsi="宋体" w:cs="宋体"/>
          <w:sz w:val="22"/>
        </w:rPr>
        <w:t>金额单位：人民币元</w:t>
      </w:r>
    </w:p>
    <w:tbl>
      <w:tblPr>
        <w:tblStyle w:val="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3"/>
        <w:gridCol w:w="1318"/>
        <w:gridCol w:w="810"/>
        <w:gridCol w:w="1140"/>
        <w:gridCol w:w="692"/>
        <w:gridCol w:w="870"/>
        <w:gridCol w:w="840"/>
        <w:gridCol w:w="1350"/>
        <w:gridCol w:w="83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56" w:hRule="exact"/>
          <w:jc w:val="center"/>
        </w:trPr>
        <w:tc>
          <w:tcPr>
            <w:tcW w:w="683"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cs="宋体"/>
              </w:rPr>
            </w:pPr>
            <w:r>
              <w:rPr>
                <w:rFonts w:hint="eastAsia" w:ascii="宋体" w:hAnsi="宋体" w:cs="宋体"/>
              </w:rPr>
              <w:t>序号</w:t>
            </w:r>
          </w:p>
        </w:tc>
        <w:tc>
          <w:tcPr>
            <w:tcW w:w="1318"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cs="宋体"/>
              </w:rPr>
            </w:pPr>
            <w:r>
              <w:rPr>
                <w:rFonts w:hint="eastAsia" w:ascii="宋体" w:hAnsi="宋体" w:cs="宋体"/>
              </w:rPr>
              <w:t>货物名称</w:t>
            </w:r>
          </w:p>
        </w:tc>
        <w:tc>
          <w:tcPr>
            <w:tcW w:w="810"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cs="宋体"/>
              </w:rPr>
            </w:pPr>
            <w:r>
              <w:rPr>
                <w:rFonts w:hint="eastAsia" w:ascii="宋体" w:hAnsi="宋体" w:cs="宋体"/>
              </w:rPr>
              <w:t>品牌</w:t>
            </w:r>
          </w:p>
        </w:tc>
        <w:tc>
          <w:tcPr>
            <w:tcW w:w="1140"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cs="宋体"/>
              </w:rPr>
            </w:pPr>
            <w:r>
              <w:rPr>
                <w:rFonts w:hint="eastAsia" w:ascii="宋体" w:hAnsi="宋体" w:cs="宋体"/>
              </w:rPr>
              <w:t>规格型号</w:t>
            </w:r>
          </w:p>
        </w:tc>
        <w:tc>
          <w:tcPr>
            <w:tcW w:w="692"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cs="宋体"/>
              </w:rPr>
            </w:pPr>
            <w:r>
              <w:rPr>
                <w:rFonts w:hint="eastAsia" w:ascii="宋体" w:hAnsi="宋体" w:cs="宋体"/>
              </w:rPr>
              <w:t>单位</w:t>
            </w:r>
          </w:p>
        </w:tc>
        <w:tc>
          <w:tcPr>
            <w:tcW w:w="870"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cs="宋体"/>
              </w:rPr>
            </w:pPr>
            <w:r>
              <w:rPr>
                <w:rFonts w:hint="eastAsia" w:ascii="宋体" w:hAnsi="宋体" w:cs="宋体"/>
              </w:rPr>
              <w:t>数量</w:t>
            </w:r>
          </w:p>
        </w:tc>
        <w:tc>
          <w:tcPr>
            <w:tcW w:w="840"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cs="宋体"/>
              </w:rPr>
            </w:pPr>
            <w:r>
              <w:rPr>
                <w:rFonts w:hint="eastAsia" w:ascii="宋体" w:hAnsi="宋体" w:cs="宋体"/>
              </w:rPr>
              <w:t>单价</w:t>
            </w:r>
          </w:p>
        </w:tc>
        <w:tc>
          <w:tcPr>
            <w:tcW w:w="1350"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cs="宋体"/>
              </w:rPr>
            </w:pPr>
            <w:r>
              <w:rPr>
                <w:rFonts w:hint="eastAsia" w:ascii="宋体" w:hAnsi="宋体" w:cs="宋体"/>
              </w:rPr>
              <w:t>金额</w:t>
            </w:r>
          </w:p>
        </w:tc>
        <w:tc>
          <w:tcPr>
            <w:tcW w:w="837"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ind w:firstLine="105" w:firstLineChars="50"/>
              <w:jc w:val="center"/>
              <w:rPr>
                <w:rFonts w:ascii="宋体" w:hAnsi="宋体" w:cs="宋体"/>
              </w:rPr>
            </w:pPr>
            <w:r>
              <w:rPr>
                <w:rFonts w:hint="eastAsia" w:ascii="宋体" w:hAnsi="宋体" w:cs="宋体"/>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cs="宋体"/>
              </w:rPr>
            </w:pPr>
          </w:p>
        </w:tc>
        <w:tc>
          <w:tcPr>
            <w:tcW w:w="1318"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cs="宋体"/>
              </w:rPr>
            </w:pPr>
          </w:p>
        </w:tc>
        <w:tc>
          <w:tcPr>
            <w:tcW w:w="810"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cs="宋体"/>
              </w:rPr>
            </w:pPr>
          </w:p>
        </w:tc>
        <w:tc>
          <w:tcPr>
            <w:tcW w:w="1140"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cs="宋体"/>
              </w:rPr>
            </w:pPr>
          </w:p>
        </w:tc>
        <w:tc>
          <w:tcPr>
            <w:tcW w:w="692"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cs="宋体"/>
              </w:rPr>
            </w:pPr>
          </w:p>
        </w:tc>
        <w:tc>
          <w:tcPr>
            <w:tcW w:w="870"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cs="宋体"/>
              </w:rPr>
            </w:pPr>
          </w:p>
        </w:tc>
        <w:tc>
          <w:tcPr>
            <w:tcW w:w="840"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cs="宋体"/>
              </w:rPr>
            </w:pPr>
          </w:p>
        </w:tc>
        <w:tc>
          <w:tcPr>
            <w:tcW w:w="1350"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cs="宋体"/>
              </w:rPr>
            </w:pPr>
          </w:p>
        </w:tc>
        <w:tc>
          <w:tcPr>
            <w:tcW w:w="837"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cs="宋体"/>
              </w:rPr>
            </w:pPr>
          </w:p>
        </w:tc>
        <w:tc>
          <w:tcPr>
            <w:tcW w:w="1318"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cs="宋体"/>
              </w:rPr>
            </w:pPr>
          </w:p>
        </w:tc>
        <w:tc>
          <w:tcPr>
            <w:tcW w:w="810"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cs="宋体"/>
              </w:rPr>
            </w:pPr>
          </w:p>
        </w:tc>
        <w:tc>
          <w:tcPr>
            <w:tcW w:w="1140"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cs="宋体"/>
              </w:rPr>
            </w:pPr>
          </w:p>
        </w:tc>
        <w:tc>
          <w:tcPr>
            <w:tcW w:w="692"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cs="宋体"/>
              </w:rPr>
            </w:pPr>
          </w:p>
        </w:tc>
        <w:tc>
          <w:tcPr>
            <w:tcW w:w="870"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cs="宋体"/>
              </w:rPr>
            </w:pPr>
          </w:p>
        </w:tc>
        <w:tc>
          <w:tcPr>
            <w:tcW w:w="840"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cs="宋体"/>
              </w:rPr>
            </w:pPr>
          </w:p>
        </w:tc>
        <w:tc>
          <w:tcPr>
            <w:tcW w:w="1350"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cs="宋体"/>
              </w:rPr>
            </w:pPr>
          </w:p>
        </w:tc>
        <w:tc>
          <w:tcPr>
            <w:tcW w:w="837"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cs="宋体"/>
              </w:rPr>
            </w:pPr>
          </w:p>
        </w:tc>
        <w:tc>
          <w:tcPr>
            <w:tcW w:w="1318"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cs="宋体"/>
              </w:rPr>
            </w:pPr>
          </w:p>
        </w:tc>
        <w:tc>
          <w:tcPr>
            <w:tcW w:w="810"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cs="宋体"/>
              </w:rPr>
            </w:pPr>
          </w:p>
        </w:tc>
        <w:tc>
          <w:tcPr>
            <w:tcW w:w="1140"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cs="宋体"/>
              </w:rPr>
            </w:pPr>
          </w:p>
        </w:tc>
        <w:tc>
          <w:tcPr>
            <w:tcW w:w="692"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cs="宋体"/>
              </w:rPr>
            </w:pPr>
          </w:p>
        </w:tc>
        <w:tc>
          <w:tcPr>
            <w:tcW w:w="870"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cs="宋体"/>
              </w:rPr>
            </w:pPr>
          </w:p>
        </w:tc>
        <w:tc>
          <w:tcPr>
            <w:tcW w:w="840"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cs="宋体"/>
              </w:rPr>
            </w:pPr>
          </w:p>
        </w:tc>
        <w:tc>
          <w:tcPr>
            <w:tcW w:w="1350"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cs="宋体"/>
              </w:rPr>
            </w:pPr>
          </w:p>
        </w:tc>
        <w:tc>
          <w:tcPr>
            <w:tcW w:w="837"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cs="宋体"/>
              </w:rPr>
            </w:pPr>
          </w:p>
        </w:tc>
        <w:tc>
          <w:tcPr>
            <w:tcW w:w="1318"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cs="宋体"/>
              </w:rPr>
            </w:pPr>
          </w:p>
        </w:tc>
        <w:tc>
          <w:tcPr>
            <w:tcW w:w="810"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cs="宋体"/>
              </w:rPr>
            </w:pPr>
          </w:p>
        </w:tc>
        <w:tc>
          <w:tcPr>
            <w:tcW w:w="1140"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cs="宋体"/>
              </w:rPr>
            </w:pPr>
          </w:p>
        </w:tc>
        <w:tc>
          <w:tcPr>
            <w:tcW w:w="692"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cs="宋体"/>
              </w:rPr>
            </w:pPr>
          </w:p>
        </w:tc>
        <w:tc>
          <w:tcPr>
            <w:tcW w:w="870"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cs="宋体"/>
              </w:rPr>
            </w:pPr>
          </w:p>
        </w:tc>
        <w:tc>
          <w:tcPr>
            <w:tcW w:w="840"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cs="宋体"/>
              </w:rPr>
            </w:pPr>
          </w:p>
        </w:tc>
        <w:tc>
          <w:tcPr>
            <w:tcW w:w="1350"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cs="宋体"/>
              </w:rPr>
            </w:pPr>
          </w:p>
        </w:tc>
        <w:tc>
          <w:tcPr>
            <w:tcW w:w="837"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cs="宋体"/>
              </w:rPr>
            </w:pPr>
          </w:p>
        </w:tc>
        <w:tc>
          <w:tcPr>
            <w:tcW w:w="1318"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cs="宋体"/>
              </w:rPr>
            </w:pPr>
          </w:p>
        </w:tc>
        <w:tc>
          <w:tcPr>
            <w:tcW w:w="810"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cs="宋体"/>
              </w:rPr>
            </w:pPr>
          </w:p>
        </w:tc>
        <w:tc>
          <w:tcPr>
            <w:tcW w:w="1140"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cs="宋体"/>
              </w:rPr>
            </w:pPr>
          </w:p>
        </w:tc>
        <w:tc>
          <w:tcPr>
            <w:tcW w:w="692"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cs="宋体"/>
              </w:rPr>
            </w:pPr>
          </w:p>
        </w:tc>
        <w:tc>
          <w:tcPr>
            <w:tcW w:w="870"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cs="宋体"/>
              </w:rPr>
            </w:pPr>
          </w:p>
        </w:tc>
        <w:tc>
          <w:tcPr>
            <w:tcW w:w="840"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cs="宋体"/>
              </w:rPr>
            </w:pPr>
          </w:p>
        </w:tc>
        <w:tc>
          <w:tcPr>
            <w:tcW w:w="1350"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cs="宋体"/>
              </w:rPr>
            </w:pPr>
          </w:p>
        </w:tc>
        <w:tc>
          <w:tcPr>
            <w:tcW w:w="837"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2001" w:type="dxa"/>
            <w:gridSpan w:val="2"/>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cs="宋体"/>
              </w:rPr>
            </w:pPr>
            <w:r>
              <w:rPr>
                <w:rFonts w:hint="eastAsia" w:ascii="宋体" w:hAnsi="宋体" w:cs="宋体"/>
              </w:rPr>
              <w:t>总价</w:t>
            </w:r>
          </w:p>
        </w:tc>
        <w:tc>
          <w:tcPr>
            <w:tcW w:w="6539" w:type="dxa"/>
            <w:gridSpan w:val="7"/>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cs="宋体"/>
              </w:rPr>
            </w:pPr>
          </w:p>
        </w:tc>
      </w:tr>
    </w:tbl>
    <w:p>
      <w:pPr>
        <w:spacing w:line="400" w:lineRule="exact"/>
        <w:ind w:left="840" w:hanging="840" w:hangingChars="350"/>
        <w:rPr>
          <w:rFonts w:ascii="宋体" w:hAnsi="宋体" w:cs="宋体"/>
          <w:sz w:val="24"/>
        </w:rPr>
      </w:pPr>
    </w:p>
    <w:p>
      <w:pPr>
        <w:spacing w:line="400" w:lineRule="exact"/>
        <w:ind w:left="840" w:hanging="840" w:hangingChars="350"/>
        <w:rPr>
          <w:rFonts w:ascii="宋体" w:hAnsi="宋体" w:cs="宋体"/>
          <w:sz w:val="24"/>
        </w:rPr>
      </w:pPr>
    </w:p>
    <w:p>
      <w:pPr>
        <w:spacing w:line="400" w:lineRule="exact"/>
        <w:ind w:left="840" w:hanging="840" w:hangingChars="350"/>
        <w:rPr>
          <w:rFonts w:ascii="宋体" w:hAnsi="宋体" w:cs="宋体"/>
          <w:sz w:val="24"/>
        </w:rPr>
      </w:pPr>
    </w:p>
    <w:p>
      <w:pPr>
        <w:spacing w:line="400" w:lineRule="exact"/>
        <w:ind w:left="840" w:hanging="840" w:hangingChars="350"/>
        <w:rPr>
          <w:rFonts w:ascii="宋体" w:hAnsi="宋体" w:cs="宋体"/>
          <w:sz w:val="24"/>
        </w:rPr>
      </w:pPr>
    </w:p>
    <w:p>
      <w:pPr>
        <w:spacing w:line="400" w:lineRule="exact"/>
        <w:ind w:left="840" w:hanging="840" w:hangingChars="350"/>
        <w:rPr>
          <w:rFonts w:ascii="宋体" w:hAnsi="宋体" w:cs="宋体"/>
          <w:bCs/>
          <w:sz w:val="24"/>
        </w:rPr>
      </w:pPr>
      <w:r>
        <w:rPr>
          <w:rFonts w:hint="eastAsia" w:ascii="宋体" w:hAnsi="宋体" w:cs="宋体"/>
          <w:sz w:val="24"/>
        </w:rPr>
        <w:t>注：1、供应商必须按“</w:t>
      </w:r>
      <w:r>
        <w:rPr>
          <w:rFonts w:hint="eastAsia" w:ascii="宋体" w:hAnsi="宋体" w:cs="宋体"/>
          <w:bCs/>
          <w:sz w:val="24"/>
        </w:rPr>
        <w:t>分项报价明细表”的格式</w:t>
      </w:r>
      <w:r>
        <w:rPr>
          <w:rFonts w:hint="eastAsia" w:ascii="宋体" w:hAnsi="宋体" w:cs="宋体"/>
          <w:sz w:val="24"/>
        </w:rPr>
        <w:t>详细报出投标总价的各个组成部分的报价，否则作无效投标处理。</w:t>
      </w:r>
    </w:p>
    <w:p>
      <w:pPr>
        <w:spacing w:line="400" w:lineRule="exact"/>
        <w:jc w:val="left"/>
        <w:rPr>
          <w:rFonts w:ascii="宋体" w:hAnsi="宋体" w:cs="宋体"/>
          <w:b/>
          <w:bCs/>
          <w:sz w:val="24"/>
        </w:rPr>
      </w:pPr>
      <w:r>
        <w:rPr>
          <w:rFonts w:hint="eastAsia" w:ascii="宋体" w:hAnsi="宋体" w:cs="宋体"/>
          <w:bCs/>
          <w:sz w:val="24"/>
        </w:rPr>
        <w:t xml:space="preserve">    2、</w:t>
      </w:r>
      <w:r>
        <w:rPr>
          <w:rFonts w:hint="eastAsia" w:ascii="宋体" w:hAnsi="宋体" w:cs="宋体"/>
          <w:sz w:val="24"/>
        </w:rPr>
        <w:t>“</w:t>
      </w:r>
      <w:r>
        <w:rPr>
          <w:rFonts w:hint="eastAsia" w:ascii="宋体" w:hAnsi="宋体" w:cs="宋体"/>
          <w:bCs/>
          <w:sz w:val="24"/>
        </w:rPr>
        <w:t>分项报价明细表”各分项报价合计应当与“投标函附录”报价合计相等。</w:t>
      </w:r>
    </w:p>
    <w:p>
      <w:pPr>
        <w:pStyle w:val="21"/>
        <w:kinsoku w:val="0"/>
        <w:wordWrap w:val="0"/>
        <w:overflowPunct w:val="0"/>
        <w:spacing w:line="420" w:lineRule="auto"/>
        <w:ind w:right="637"/>
        <w:jc w:val="right"/>
        <w:rPr>
          <w:rFonts w:ascii="宋体" w:hAnsi="宋体" w:cs="宋体"/>
        </w:rPr>
      </w:pPr>
      <w:r>
        <w:rPr>
          <w:rFonts w:hint="eastAsia" w:ascii="宋体" w:hAnsi="宋体" w:cs="宋体"/>
        </w:rPr>
        <w:t>供应商：</w:t>
      </w:r>
      <w:r>
        <w:rPr>
          <w:rFonts w:hint="eastAsia" w:ascii="宋体" w:hAnsi="宋体" w:cs="宋体"/>
          <w:u w:val="single" w:color="000000"/>
        </w:rPr>
        <w:t xml:space="preserve">              </w:t>
      </w:r>
      <w:r>
        <w:rPr>
          <w:rFonts w:hint="eastAsia" w:ascii="宋体" w:hAnsi="宋体" w:cs="宋体"/>
        </w:rPr>
        <w:t xml:space="preserve">（电子签章） </w:t>
      </w:r>
    </w:p>
    <w:p>
      <w:pPr>
        <w:pStyle w:val="21"/>
        <w:kinsoku w:val="0"/>
        <w:overflowPunct w:val="0"/>
        <w:spacing w:line="420" w:lineRule="auto"/>
        <w:ind w:right="637"/>
        <w:jc w:val="right"/>
        <w:rPr>
          <w:rFonts w:ascii="宋体" w:hAnsi="宋体" w:cs="宋体"/>
        </w:rPr>
      </w:pPr>
      <w:r>
        <w:rPr>
          <w:rFonts w:hint="eastAsia" w:ascii="宋体" w:hAnsi="宋体" w:cs="宋体"/>
        </w:rPr>
        <w:t>法定代表人或其委托代理人：</w:t>
      </w:r>
      <w:r>
        <w:rPr>
          <w:rFonts w:hint="eastAsia" w:ascii="宋体" w:hAnsi="宋体" w:cs="宋体"/>
          <w:u w:val="single" w:color="000000"/>
        </w:rPr>
        <w:t xml:space="preserve">  </w:t>
      </w:r>
      <w:r>
        <w:rPr>
          <w:rFonts w:hint="eastAsia" w:ascii="宋体" w:hAnsi="宋体" w:cs="宋体"/>
          <w:u w:val="single" w:color="000000"/>
        </w:rPr>
        <w:tab/>
      </w:r>
      <w:r>
        <w:rPr>
          <w:rFonts w:hint="eastAsia" w:ascii="宋体" w:hAnsi="宋体" w:cs="宋体"/>
        </w:rPr>
        <w:t>（</w:t>
      </w:r>
      <w:r>
        <w:rPr>
          <w:rFonts w:hint="eastAsia" w:ascii="宋体" w:hAnsi="宋体" w:cs="宋体"/>
          <w:bCs/>
        </w:rPr>
        <w:t>签字或盖章</w:t>
      </w:r>
      <w:r>
        <w:rPr>
          <w:rFonts w:hint="eastAsia" w:ascii="宋体" w:hAnsi="宋体" w:cs="宋体"/>
        </w:rPr>
        <w:t xml:space="preserve">） </w:t>
      </w:r>
    </w:p>
    <w:p>
      <w:pPr>
        <w:pStyle w:val="21"/>
        <w:kinsoku w:val="0"/>
        <w:overflowPunct w:val="0"/>
        <w:spacing w:line="420" w:lineRule="auto"/>
        <w:ind w:left="3708" w:right="637" w:firstLine="1447" w:firstLineChars="603"/>
        <w:rPr>
          <w:rFonts w:ascii="宋体" w:hAnsi="宋体" w:cs="宋体"/>
        </w:rPr>
      </w:pPr>
      <w:r>
        <w:rPr>
          <w:rFonts w:hint="eastAsia" w:ascii="宋体" w:hAnsi="宋体" w:cs="宋体"/>
        </w:rPr>
        <w:t>日</w:t>
      </w:r>
      <w:r>
        <w:rPr>
          <w:rFonts w:hint="eastAsia" w:ascii="宋体" w:hAnsi="宋体" w:cs="宋体"/>
        </w:rPr>
        <w:tab/>
      </w:r>
      <w:r>
        <w:rPr>
          <w:rFonts w:hint="eastAsia" w:ascii="宋体" w:hAnsi="宋体" w:cs="宋体"/>
        </w:rPr>
        <w:t>期：</w:t>
      </w:r>
      <w:r>
        <w:rPr>
          <w:rFonts w:hint="eastAsia" w:ascii="宋体" w:hAnsi="宋体" w:cs="宋体"/>
          <w:u w:val="single" w:color="000000"/>
        </w:rPr>
        <w:t xml:space="preserve">  </w:t>
      </w:r>
      <w:r>
        <w:rPr>
          <w:rFonts w:hint="eastAsia" w:ascii="宋体" w:hAnsi="宋体" w:cs="宋体"/>
          <w:u w:val="single" w:color="000000"/>
        </w:rPr>
        <w:tab/>
      </w:r>
      <w:r>
        <w:rPr>
          <w:rFonts w:hint="eastAsia" w:ascii="宋体" w:hAnsi="宋体" w:cs="宋体"/>
        </w:rPr>
        <w:t>年</w:t>
      </w:r>
      <w:r>
        <w:rPr>
          <w:rFonts w:hint="eastAsia" w:ascii="宋体" w:hAnsi="宋体" w:cs="宋体"/>
          <w:u w:val="single" w:color="000000"/>
        </w:rPr>
        <w:t xml:space="preserve"> </w:t>
      </w:r>
      <w:r>
        <w:rPr>
          <w:rFonts w:hint="eastAsia" w:ascii="宋体" w:hAnsi="宋体" w:cs="宋体"/>
          <w:u w:val="single" w:color="000000"/>
        </w:rPr>
        <w:tab/>
      </w:r>
      <w:r>
        <w:rPr>
          <w:rFonts w:hint="eastAsia" w:ascii="宋体" w:hAnsi="宋体" w:cs="宋体"/>
        </w:rPr>
        <w:t>月</w:t>
      </w:r>
      <w:r>
        <w:rPr>
          <w:rFonts w:hint="eastAsia" w:ascii="宋体" w:hAnsi="宋体" w:cs="宋体"/>
          <w:u w:val="single" w:color="000000"/>
        </w:rPr>
        <w:t xml:space="preserve"> </w:t>
      </w:r>
      <w:r>
        <w:rPr>
          <w:rFonts w:hint="eastAsia" w:ascii="宋体" w:hAnsi="宋体" w:cs="宋体"/>
          <w:u w:val="single" w:color="000000"/>
        </w:rPr>
        <w:tab/>
      </w:r>
      <w:r>
        <w:rPr>
          <w:rFonts w:hint="eastAsia" w:ascii="宋体" w:hAnsi="宋体" w:cs="宋体"/>
        </w:rPr>
        <w:t>日</w:t>
      </w:r>
    </w:p>
    <w:p>
      <w:pPr>
        <w:pStyle w:val="21"/>
        <w:kinsoku w:val="0"/>
        <w:overflowPunct w:val="0"/>
        <w:spacing w:line="420" w:lineRule="auto"/>
        <w:ind w:left="3708" w:right="637" w:firstLine="640"/>
        <w:rPr>
          <w:rFonts w:ascii="宋体" w:hAnsi="宋体" w:cs="宋体"/>
        </w:rPr>
      </w:pPr>
    </w:p>
    <w:p>
      <w:pPr>
        <w:pStyle w:val="21"/>
        <w:kinsoku w:val="0"/>
        <w:overflowPunct w:val="0"/>
        <w:spacing w:line="420" w:lineRule="auto"/>
        <w:ind w:left="3708" w:right="637" w:firstLine="640"/>
        <w:rPr>
          <w:rFonts w:ascii="宋体" w:hAnsi="宋体" w:cs="宋体"/>
        </w:rPr>
      </w:pPr>
    </w:p>
    <w:p>
      <w:pPr>
        <w:pStyle w:val="7"/>
        <w:jc w:val="center"/>
        <w:rPr>
          <w:rFonts w:ascii="宋体" w:hAnsi="宋体" w:cs="宋体"/>
        </w:rPr>
      </w:pPr>
      <w:r>
        <w:rPr>
          <w:rFonts w:hint="eastAsia" w:ascii="宋体" w:hAnsi="宋体" w:cs="宋体"/>
        </w:rPr>
        <w:t>三、法定代表人身份证明</w:t>
      </w:r>
    </w:p>
    <w:p>
      <w:pPr>
        <w:jc w:val="right"/>
        <w:rPr>
          <w:rFonts w:ascii="宋体" w:hAnsi="宋体" w:cs="宋体"/>
          <w:sz w:val="24"/>
          <w:szCs w:val="24"/>
        </w:rPr>
      </w:pPr>
      <w:r>
        <w:rPr>
          <w:rFonts w:hint="eastAsia" w:ascii="宋体" w:hAnsi="宋体" w:cs="宋体"/>
          <w:sz w:val="24"/>
          <w:szCs w:val="24"/>
        </w:rPr>
        <w:t>（注：适用于法人直接参与投标）</w:t>
      </w:r>
    </w:p>
    <w:p>
      <w:pPr>
        <w:pStyle w:val="44"/>
        <w:ind w:firstLine="240"/>
        <w:rPr>
          <w:rFonts w:ascii="宋体" w:hAnsi="宋体" w:cs="宋体"/>
        </w:rPr>
      </w:pPr>
    </w:p>
    <w:p>
      <w:pPr>
        <w:rPr>
          <w:rFonts w:ascii="宋体" w:hAnsi="宋体" w:cs="宋体"/>
          <w:sz w:val="24"/>
          <w:szCs w:val="24"/>
        </w:rPr>
      </w:pPr>
    </w:p>
    <w:p>
      <w:pPr>
        <w:pStyle w:val="44"/>
        <w:ind w:firstLine="240"/>
        <w:rPr>
          <w:rFonts w:ascii="宋体" w:hAnsi="宋体" w:cs="宋体"/>
        </w:rPr>
      </w:pPr>
    </w:p>
    <w:p>
      <w:pPr>
        <w:adjustRightInd w:val="0"/>
        <w:snapToGrid w:val="0"/>
        <w:spacing w:line="360" w:lineRule="auto"/>
        <w:ind w:firstLine="523" w:firstLineChars="218"/>
        <w:rPr>
          <w:rFonts w:ascii="宋体" w:hAnsi="宋体" w:cs="宋体"/>
          <w:sz w:val="24"/>
          <w:szCs w:val="24"/>
        </w:rPr>
      </w:pPr>
      <w:bookmarkStart w:id="76" w:name="_Toc520389629"/>
      <w:bookmarkEnd w:id="76"/>
      <w:r>
        <w:rPr>
          <w:rFonts w:hint="eastAsia" w:ascii="宋体" w:hAnsi="宋体" w:cs="宋体"/>
          <w:sz w:val="24"/>
          <w:szCs w:val="24"/>
        </w:rPr>
        <w:t>供应商名称：</w:t>
      </w:r>
      <w:r>
        <w:rPr>
          <w:rFonts w:hint="eastAsia" w:ascii="宋体" w:hAnsi="宋体" w:cs="宋体"/>
          <w:sz w:val="24"/>
          <w:szCs w:val="24"/>
          <w:u w:val="single"/>
        </w:rPr>
        <w:t xml:space="preserve">                                </w:t>
      </w:r>
    </w:p>
    <w:p>
      <w:pPr>
        <w:adjustRightInd w:val="0"/>
        <w:snapToGrid w:val="0"/>
        <w:spacing w:line="360" w:lineRule="auto"/>
        <w:ind w:firstLine="523" w:firstLineChars="218"/>
        <w:rPr>
          <w:rFonts w:ascii="宋体" w:hAnsi="宋体" w:cs="宋体"/>
          <w:sz w:val="24"/>
          <w:szCs w:val="24"/>
        </w:rPr>
      </w:pPr>
      <w:r>
        <w:rPr>
          <w:rFonts w:hint="eastAsia" w:ascii="宋体" w:hAnsi="宋体" w:cs="宋体"/>
          <w:sz w:val="24"/>
          <w:szCs w:val="24"/>
        </w:rPr>
        <w:t>单位性质：</w:t>
      </w:r>
      <w:r>
        <w:rPr>
          <w:rFonts w:hint="eastAsia" w:ascii="宋体" w:hAnsi="宋体" w:cs="宋体"/>
          <w:sz w:val="24"/>
          <w:szCs w:val="24"/>
          <w:u w:val="single"/>
        </w:rPr>
        <w:t xml:space="preserve">                                  </w:t>
      </w:r>
    </w:p>
    <w:p>
      <w:pPr>
        <w:adjustRightInd w:val="0"/>
        <w:snapToGrid w:val="0"/>
        <w:spacing w:line="360" w:lineRule="auto"/>
        <w:ind w:firstLine="523" w:firstLineChars="218"/>
        <w:rPr>
          <w:rFonts w:ascii="宋体" w:hAnsi="宋体" w:cs="宋体"/>
          <w:sz w:val="24"/>
          <w:szCs w:val="24"/>
        </w:rPr>
      </w:pPr>
      <w:r>
        <w:rPr>
          <w:rFonts w:hint="eastAsia" w:ascii="宋体" w:hAnsi="宋体" w:cs="宋体"/>
          <w:sz w:val="24"/>
          <w:szCs w:val="24"/>
        </w:rPr>
        <w:t>地址：</w:t>
      </w:r>
      <w:r>
        <w:rPr>
          <w:rFonts w:hint="eastAsia" w:ascii="宋体" w:hAnsi="宋体" w:cs="宋体"/>
          <w:sz w:val="24"/>
          <w:szCs w:val="24"/>
          <w:u w:val="single"/>
        </w:rPr>
        <w:t xml:space="preserve">                                      </w:t>
      </w:r>
    </w:p>
    <w:p>
      <w:pPr>
        <w:adjustRightInd w:val="0"/>
        <w:snapToGrid w:val="0"/>
        <w:spacing w:line="360" w:lineRule="auto"/>
        <w:ind w:firstLine="523" w:firstLineChars="218"/>
        <w:rPr>
          <w:rFonts w:ascii="宋体" w:hAnsi="宋体" w:cs="宋体"/>
          <w:sz w:val="24"/>
          <w:szCs w:val="24"/>
        </w:rPr>
      </w:pPr>
      <w:r>
        <w:rPr>
          <w:rFonts w:hint="eastAsia" w:ascii="宋体" w:hAnsi="宋体" w:cs="宋体"/>
          <w:sz w:val="24"/>
          <w:szCs w:val="24"/>
        </w:rPr>
        <w:t>成立时间：</w:t>
      </w: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月</w:t>
      </w:r>
      <w:r>
        <w:rPr>
          <w:rFonts w:hint="eastAsia" w:ascii="宋体" w:hAnsi="宋体" w:cs="宋体"/>
          <w:sz w:val="24"/>
          <w:szCs w:val="24"/>
          <w:u w:val="single"/>
        </w:rPr>
        <w:t xml:space="preserve">         </w:t>
      </w:r>
      <w:r>
        <w:rPr>
          <w:rFonts w:hint="eastAsia" w:ascii="宋体" w:hAnsi="宋体" w:cs="宋体"/>
          <w:sz w:val="24"/>
          <w:szCs w:val="24"/>
        </w:rPr>
        <w:t>日</w:t>
      </w:r>
    </w:p>
    <w:p>
      <w:pPr>
        <w:adjustRightInd w:val="0"/>
        <w:snapToGrid w:val="0"/>
        <w:spacing w:line="360" w:lineRule="auto"/>
        <w:ind w:firstLine="523" w:firstLineChars="218"/>
        <w:rPr>
          <w:rFonts w:ascii="宋体" w:hAnsi="宋体" w:cs="宋体"/>
          <w:sz w:val="24"/>
          <w:szCs w:val="24"/>
          <w:u w:val="single"/>
        </w:rPr>
      </w:pPr>
      <w:r>
        <w:rPr>
          <w:rFonts w:hint="eastAsia" w:ascii="宋体" w:hAnsi="宋体" w:cs="宋体"/>
          <w:sz w:val="24"/>
          <w:szCs w:val="24"/>
        </w:rPr>
        <w:t>经营期限：</w:t>
      </w:r>
      <w:r>
        <w:rPr>
          <w:rFonts w:hint="eastAsia" w:ascii="宋体" w:hAnsi="宋体" w:cs="宋体"/>
          <w:sz w:val="24"/>
          <w:szCs w:val="24"/>
          <w:u w:val="single"/>
        </w:rPr>
        <w:t xml:space="preserve">                                  </w:t>
      </w:r>
    </w:p>
    <w:p>
      <w:pPr>
        <w:adjustRightInd w:val="0"/>
        <w:snapToGrid w:val="0"/>
        <w:spacing w:line="360" w:lineRule="auto"/>
        <w:ind w:firstLine="523" w:firstLineChars="218"/>
        <w:rPr>
          <w:rFonts w:ascii="宋体" w:hAnsi="宋体" w:cs="宋体"/>
          <w:sz w:val="24"/>
          <w:szCs w:val="24"/>
        </w:rPr>
      </w:pPr>
      <w:r>
        <w:rPr>
          <w:rFonts w:hint="eastAsia" w:ascii="宋体" w:hAnsi="宋体" w:cs="宋体"/>
          <w:sz w:val="24"/>
          <w:szCs w:val="24"/>
        </w:rPr>
        <w:t>姓名：</w:t>
      </w:r>
      <w:r>
        <w:rPr>
          <w:rFonts w:hint="eastAsia" w:ascii="宋体" w:hAnsi="宋体" w:cs="宋体"/>
          <w:sz w:val="24"/>
          <w:szCs w:val="24"/>
          <w:u w:val="single"/>
        </w:rPr>
        <w:t xml:space="preserve">      </w:t>
      </w:r>
      <w:r>
        <w:rPr>
          <w:rFonts w:hint="eastAsia" w:ascii="宋体" w:hAnsi="宋体" w:cs="宋体"/>
          <w:sz w:val="24"/>
          <w:szCs w:val="24"/>
        </w:rPr>
        <w:t xml:space="preserve"> 性别：</w:t>
      </w:r>
      <w:r>
        <w:rPr>
          <w:rFonts w:hint="eastAsia" w:ascii="宋体" w:hAnsi="宋体" w:cs="宋体"/>
          <w:sz w:val="24"/>
          <w:szCs w:val="24"/>
          <w:u w:val="single"/>
        </w:rPr>
        <w:t xml:space="preserve"> </w:t>
      </w:r>
      <w:r>
        <w:rPr>
          <w:rFonts w:hint="eastAsia" w:ascii="宋体" w:hAnsi="宋体" w:cs="宋体"/>
          <w:sz w:val="24"/>
          <w:szCs w:val="24"/>
          <w:u w:val="single"/>
        </w:rPr>
        <w:tab/>
      </w:r>
      <w:r>
        <w:rPr>
          <w:rFonts w:hint="eastAsia" w:ascii="宋体" w:hAnsi="宋体" w:cs="宋体"/>
          <w:sz w:val="24"/>
          <w:szCs w:val="24"/>
          <w:u w:val="single"/>
        </w:rPr>
        <w:t xml:space="preserve">  </w:t>
      </w:r>
      <w:r>
        <w:rPr>
          <w:rFonts w:hint="eastAsia" w:ascii="宋体" w:hAnsi="宋体" w:cs="宋体"/>
          <w:sz w:val="24"/>
          <w:szCs w:val="24"/>
        </w:rPr>
        <w:t>年龄：</w:t>
      </w:r>
      <w:r>
        <w:rPr>
          <w:rFonts w:hint="eastAsia" w:ascii="宋体" w:hAnsi="宋体" w:cs="宋体"/>
          <w:sz w:val="24"/>
          <w:szCs w:val="24"/>
          <w:u w:val="single"/>
        </w:rPr>
        <w:t xml:space="preserve"> </w:t>
      </w:r>
      <w:r>
        <w:rPr>
          <w:rFonts w:hint="eastAsia" w:ascii="宋体" w:hAnsi="宋体" w:cs="宋体"/>
          <w:sz w:val="24"/>
          <w:szCs w:val="24"/>
          <w:u w:val="single"/>
        </w:rPr>
        <w:tab/>
      </w:r>
      <w:r>
        <w:rPr>
          <w:rFonts w:hint="eastAsia" w:ascii="宋体" w:hAnsi="宋体" w:cs="宋体"/>
          <w:sz w:val="24"/>
          <w:szCs w:val="24"/>
        </w:rPr>
        <w:t>职务：</w:t>
      </w:r>
      <w:r>
        <w:rPr>
          <w:rFonts w:hint="eastAsia" w:ascii="宋体" w:hAnsi="宋体" w:cs="宋体"/>
          <w:sz w:val="24"/>
          <w:szCs w:val="24"/>
          <w:u w:val="single"/>
        </w:rPr>
        <w:t xml:space="preserve">      </w:t>
      </w:r>
    </w:p>
    <w:p>
      <w:pPr>
        <w:adjustRightInd w:val="0"/>
        <w:snapToGrid w:val="0"/>
        <w:spacing w:line="360" w:lineRule="auto"/>
        <w:ind w:firstLine="523" w:firstLineChars="218"/>
        <w:rPr>
          <w:rFonts w:ascii="宋体" w:hAnsi="宋体" w:cs="宋体"/>
          <w:sz w:val="24"/>
          <w:szCs w:val="24"/>
        </w:rPr>
      </w:pPr>
      <w:r>
        <w:rPr>
          <w:rFonts w:hint="eastAsia" w:ascii="宋体" w:hAnsi="宋体" w:cs="宋体"/>
          <w:sz w:val="24"/>
          <w:szCs w:val="24"/>
        </w:rPr>
        <w:t>系</w:t>
      </w:r>
      <w:r>
        <w:rPr>
          <w:rFonts w:hint="eastAsia" w:ascii="宋体" w:hAnsi="宋体" w:cs="宋体"/>
          <w:sz w:val="24"/>
          <w:szCs w:val="24"/>
          <w:u w:val="single"/>
        </w:rPr>
        <w:t xml:space="preserve">                  </w:t>
      </w:r>
      <w:r>
        <w:rPr>
          <w:rFonts w:hint="eastAsia" w:ascii="宋体" w:hAnsi="宋体" w:cs="宋体"/>
          <w:sz w:val="24"/>
          <w:szCs w:val="24"/>
        </w:rPr>
        <w:t>（供应商名称）的法定代表人。</w:t>
      </w:r>
    </w:p>
    <w:p>
      <w:pPr>
        <w:adjustRightInd w:val="0"/>
        <w:snapToGrid w:val="0"/>
        <w:spacing w:line="360" w:lineRule="auto"/>
        <w:ind w:firstLine="523" w:firstLineChars="218"/>
        <w:rPr>
          <w:rFonts w:ascii="宋体" w:hAnsi="宋体" w:cs="宋体"/>
          <w:sz w:val="24"/>
          <w:szCs w:val="24"/>
        </w:rPr>
      </w:pPr>
      <w:r>
        <w:rPr>
          <w:rFonts w:hint="eastAsia" w:ascii="宋体" w:hAnsi="宋体" w:cs="宋体"/>
          <w:sz w:val="24"/>
          <w:szCs w:val="24"/>
        </w:rPr>
        <w:t>特此证明。</w:t>
      </w:r>
    </w:p>
    <w:p>
      <w:pPr>
        <w:adjustRightInd w:val="0"/>
        <w:snapToGrid w:val="0"/>
        <w:spacing w:line="360" w:lineRule="auto"/>
        <w:rPr>
          <w:rFonts w:ascii="宋体" w:hAnsi="宋体" w:cs="宋体"/>
          <w:sz w:val="24"/>
          <w:szCs w:val="24"/>
        </w:rPr>
      </w:pPr>
      <w:r>
        <w:rPr>
          <w:rFonts w:hint="eastAsia" w:ascii="宋体" w:hAnsi="宋体" w:cs="宋体"/>
          <w:sz w:val="24"/>
          <w:szCs w:val="24"/>
        </w:rPr>
        <w:t xml:space="preserve"> </w:t>
      </w:r>
    </w:p>
    <w:p>
      <w:pPr>
        <w:adjustRightInd w:val="0"/>
        <w:snapToGrid w:val="0"/>
        <w:spacing w:line="360" w:lineRule="auto"/>
        <w:rPr>
          <w:rFonts w:ascii="宋体" w:hAnsi="宋体" w:cs="宋体"/>
          <w:sz w:val="24"/>
          <w:szCs w:val="24"/>
        </w:rPr>
      </w:pPr>
      <w:r>
        <w:rPr>
          <w:rFonts w:hint="eastAsia" w:ascii="宋体" w:hAnsi="宋体" w:cs="宋体"/>
          <w:sz w:val="24"/>
          <w:szCs w:val="24"/>
        </w:rPr>
        <w:t xml:space="preserve"> </w:t>
      </w:r>
    </w:p>
    <w:p>
      <w:pPr>
        <w:adjustRightInd w:val="0"/>
        <w:snapToGrid w:val="0"/>
        <w:spacing w:line="360" w:lineRule="auto"/>
        <w:rPr>
          <w:rFonts w:ascii="宋体" w:hAnsi="宋体" w:cs="宋体"/>
          <w:sz w:val="24"/>
          <w:szCs w:val="24"/>
        </w:rPr>
      </w:pPr>
      <w:r>
        <w:rPr>
          <w:rFonts w:hint="eastAsia" w:ascii="宋体" w:hAnsi="宋体" w:cs="宋体"/>
          <w:sz w:val="24"/>
          <w:szCs w:val="24"/>
        </w:rPr>
        <w:t xml:space="preserve"> </w:t>
      </w:r>
    </w:p>
    <w:p>
      <w:pPr>
        <w:adjustRightInd w:val="0"/>
        <w:snapToGrid w:val="0"/>
        <w:spacing w:line="360" w:lineRule="auto"/>
        <w:jc w:val="right"/>
        <w:rPr>
          <w:rFonts w:ascii="宋体" w:hAnsi="宋体" w:cs="宋体"/>
          <w:sz w:val="24"/>
          <w:szCs w:val="24"/>
        </w:rPr>
      </w:pPr>
      <w:r>
        <w:rPr>
          <w:rFonts w:hint="eastAsia" w:ascii="宋体" w:hAnsi="宋体" w:cs="宋体"/>
          <w:sz w:val="24"/>
          <w:szCs w:val="24"/>
        </w:rPr>
        <w:t>供应商：</w:t>
      </w:r>
      <w:r>
        <w:rPr>
          <w:rFonts w:hint="eastAsia" w:ascii="宋体" w:hAnsi="宋体" w:cs="宋体"/>
          <w:sz w:val="24"/>
          <w:szCs w:val="24"/>
          <w:u w:val="single"/>
        </w:rPr>
        <w:t xml:space="preserve">                     </w:t>
      </w:r>
      <w:r>
        <w:rPr>
          <w:rFonts w:hint="eastAsia" w:ascii="宋体" w:hAnsi="宋体" w:cs="宋体"/>
          <w:sz w:val="24"/>
          <w:szCs w:val="24"/>
        </w:rPr>
        <w:t>（电子签章）</w:t>
      </w:r>
    </w:p>
    <w:p>
      <w:pPr>
        <w:adjustRightInd w:val="0"/>
        <w:snapToGrid w:val="0"/>
        <w:spacing w:line="360" w:lineRule="auto"/>
        <w:jc w:val="right"/>
        <w:rPr>
          <w:rFonts w:ascii="宋体" w:hAnsi="宋体" w:cs="宋体"/>
          <w:sz w:val="24"/>
          <w:szCs w:val="24"/>
        </w:rPr>
      </w:pPr>
      <w:r>
        <w:rPr>
          <w:rFonts w:hint="eastAsia" w:ascii="宋体" w:hAnsi="宋体" w:cs="宋体"/>
          <w:sz w:val="24"/>
          <w:szCs w:val="24"/>
        </w:rPr>
        <w:t xml:space="preserve"> </w:t>
      </w:r>
    </w:p>
    <w:p>
      <w:pPr>
        <w:adjustRightInd w:val="0"/>
        <w:snapToGrid w:val="0"/>
        <w:spacing w:line="360" w:lineRule="auto"/>
        <w:jc w:val="right"/>
        <w:rPr>
          <w:rFonts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月</w:t>
      </w:r>
      <w:r>
        <w:rPr>
          <w:rFonts w:hint="eastAsia" w:ascii="宋体" w:hAnsi="宋体" w:cs="宋体"/>
          <w:sz w:val="24"/>
          <w:szCs w:val="24"/>
          <w:u w:val="single"/>
        </w:rPr>
        <w:t xml:space="preserve">       </w:t>
      </w:r>
      <w:r>
        <w:rPr>
          <w:rFonts w:hint="eastAsia" w:ascii="宋体" w:hAnsi="宋体" w:cs="宋体"/>
          <w:sz w:val="24"/>
          <w:szCs w:val="24"/>
        </w:rPr>
        <w:t>日</w:t>
      </w:r>
    </w:p>
    <w:p>
      <w:pPr>
        <w:widowControl/>
        <w:jc w:val="left"/>
        <w:rPr>
          <w:rFonts w:ascii="宋体" w:hAnsi="宋体" w:cs="宋体"/>
          <w:b/>
          <w:bCs/>
          <w:kern w:val="0"/>
          <w:sz w:val="24"/>
          <w:szCs w:val="24"/>
        </w:rPr>
        <w:sectPr>
          <w:pgSz w:w="11906" w:h="16838"/>
          <w:pgMar w:top="1418" w:right="1247" w:bottom="1361" w:left="1418" w:header="720" w:footer="720" w:gutter="0"/>
          <w:cols w:space="720" w:num="1"/>
          <w:docGrid w:type="lines" w:linePitch="312" w:charSpace="0"/>
        </w:sectPr>
      </w:pPr>
    </w:p>
    <w:p>
      <w:pPr>
        <w:pStyle w:val="7"/>
        <w:jc w:val="center"/>
        <w:rPr>
          <w:rFonts w:ascii="宋体" w:hAnsi="宋体" w:cs="宋体"/>
        </w:rPr>
      </w:pPr>
      <w:bookmarkStart w:id="77" w:name="_Toc391363051"/>
      <w:bookmarkEnd w:id="77"/>
      <w:bookmarkStart w:id="78" w:name="_Toc202941490"/>
      <w:bookmarkEnd w:id="78"/>
      <w:r>
        <w:rPr>
          <w:rFonts w:hint="eastAsia" w:ascii="宋体" w:hAnsi="宋体" w:cs="宋体"/>
        </w:rPr>
        <w:t>四、授权委托书</w:t>
      </w:r>
    </w:p>
    <w:p>
      <w:pPr>
        <w:jc w:val="right"/>
        <w:rPr>
          <w:rFonts w:ascii="宋体" w:hAnsi="宋体" w:cs="宋体"/>
          <w:sz w:val="24"/>
          <w:szCs w:val="24"/>
        </w:rPr>
      </w:pPr>
      <w:r>
        <w:rPr>
          <w:rFonts w:hint="eastAsia" w:ascii="宋体" w:hAnsi="宋体" w:cs="宋体"/>
          <w:sz w:val="24"/>
          <w:szCs w:val="24"/>
        </w:rPr>
        <w:t>（注：适用于授权委托人投标）</w:t>
      </w:r>
    </w:p>
    <w:p>
      <w:pPr>
        <w:adjustRightInd w:val="0"/>
        <w:snapToGrid w:val="0"/>
        <w:spacing w:line="360" w:lineRule="auto"/>
        <w:ind w:firstLine="480" w:firstLineChars="200"/>
        <w:rPr>
          <w:rFonts w:ascii="宋体" w:hAnsi="宋体" w:cs="宋体"/>
          <w:sz w:val="24"/>
          <w:szCs w:val="24"/>
        </w:rPr>
      </w:pPr>
    </w:p>
    <w:p>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本人</w:t>
      </w:r>
      <w:r>
        <w:rPr>
          <w:rFonts w:hint="eastAsia" w:ascii="宋体" w:hAnsi="宋体" w:cs="宋体"/>
          <w:sz w:val="24"/>
          <w:szCs w:val="24"/>
          <w:u w:val="single"/>
        </w:rPr>
        <w:t xml:space="preserve">       </w:t>
      </w:r>
      <w:r>
        <w:rPr>
          <w:rFonts w:hint="eastAsia" w:ascii="宋体" w:hAnsi="宋体" w:cs="宋体"/>
          <w:sz w:val="24"/>
          <w:szCs w:val="24"/>
        </w:rPr>
        <w:t>（姓名）系</w:t>
      </w:r>
      <w:r>
        <w:rPr>
          <w:rFonts w:hint="eastAsia" w:ascii="宋体" w:hAnsi="宋体" w:cs="宋体"/>
          <w:sz w:val="24"/>
          <w:szCs w:val="24"/>
          <w:u w:val="single"/>
        </w:rPr>
        <w:t xml:space="preserve">            </w:t>
      </w:r>
      <w:r>
        <w:rPr>
          <w:rFonts w:hint="eastAsia" w:ascii="宋体" w:hAnsi="宋体" w:cs="宋体"/>
          <w:sz w:val="24"/>
          <w:szCs w:val="24"/>
        </w:rPr>
        <w:t>（供应商名称）的法定代表人，现委托</w:t>
      </w:r>
      <w:r>
        <w:rPr>
          <w:rFonts w:hint="eastAsia" w:ascii="宋体" w:hAnsi="宋体" w:cs="宋体"/>
          <w:sz w:val="24"/>
          <w:szCs w:val="24"/>
          <w:u w:val="single"/>
        </w:rPr>
        <w:t xml:space="preserve">      </w:t>
      </w:r>
      <w:r>
        <w:rPr>
          <w:rFonts w:hint="eastAsia" w:ascii="宋体" w:hAnsi="宋体" w:cs="宋体"/>
          <w:sz w:val="24"/>
          <w:szCs w:val="24"/>
        </w:rPr>
        <w:t>（姓名）为我方代理人。代理人根据授权，以我方名义签署、澄清、说明、补正、递交、撤回、 修改</w:t>
      </w:r>
    </w:p>
    <w:p>
      <w:pPr>
        <w:adjustRightInd w:val="0"/>
        <w:snapToGrid w:val="0"/>
        <w:spacing w:line="360" w:lineRule="auto"/>
        <w:rPr>
          <w:rFonts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u w:val="single"/>
        </w:rPr>
        <w:t xml:space="preserve">                    </w:t>
      </w:r>
      <w:r>
        <w:rPr>
          <w:rFonts w:hint="eastAsia" w:ascii="宋体" w:hAnsi="宋体" w:cs="宋体"/>
          <w:sz w:val="24"/>
          <w:szCs w:val="24"/>
        </w:rPr>
        <w:t>（项目名称、标段）投标文件、签订合同和处理有关事宜，其法律后果由我方承担。</w:t>
      </w:r>
    </w:p>
    <w:p>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委托期限：</w:t>
      </w:r>
      <w:r>
        <w:rPr>
          <w:rFonts w:hint="eastAsia" w:ascii="宋体" w:hAnsi="宋体" w:cs="宋体"/>
          <w:sz w:val="24"/>
          <w:szCs w:val="24"/>
          <w:u w:val="single"/>
        </w:rPr>
        <w:t xml:space="preserve">                 </w:t>
      </w:r>
      <w:r>
        <w:rPr>
          <w:rFonts w:hint="eastAsia" w:ascii="宋体" w:hAnsi="宋体" w:cs="宋体"/>
          <w:sz w:val="24"/>
          <w:szCs w:val="24"/>
        </w:rPr>
        <w:t xml:space="preserve">。 代理人无转委托权。 </w:t>
      </w:r>
    </w:p>
    <w:p>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附：法定代表人身份证和授权委托人身份证</w:t>
      </w:r>
    </w:p>
    <w:p>
      <w:pPr>
        <w:adjustRightInd w:val="0"/>
        <w:snapToGrid w:val="0"/>
        <w:spacing w:line="360" w:lineRule="auto"/>
        <w:rPr>
          <w:rFonts w:ascii="宋体" w:hAnsi="宋体" w:cs="宋体"/>
          <w:sz w:val="24"/>
          <w:szCs w:val="24"/>
        </w:rPr>
      </w:pPr>
      <w:r>
        <w:rPr>
          <w:rFonts w:hint="eastAsia" w:ascii="宋体" w:hAnsi="宋体" w:cs="宋体"/>
          <w:sz w:val="24"/>
          <w:szCs w:val="24"/>
        </w:rPr>
        <w:t xml:space="preserve"> </w:t>
      </w:r>
    </w:p>
    <w:p>
      <w:pPr>
        <w:adjustRightInd w:val="0"/>
        <w:snapToGrid w:val="0"/>
        <w:spacing w:line="360" w:lineRule="auto"/>
        <w:rPr>
          <w:rFonts w:ascii="宋体" w:hAnsi="宋体" w:cs="宋体"/>
          <w:sz w:val="24"/>
          <w:szCs w:val="24"/>
        </w:rPr>
      </w:pPr>
      <w:r>
        <w:rPr>
          <w:rFonts w:hint="eastAsia" w:ascii="宋体" w:hAnsi="宋体" w:cs="宋体"/>
          <w:sz w:val="24"/>
          <w:szCs w:val="24"/>
        </w:rPr>
        <w:t xml:space="preserve"> </w:t>
      </w:r>
    </w:p>
    <w:p>
      <w:pPr>
        <w:adjustRightInd w:val="0"/>
        <w:snapToGrid w:val="0"/>
        <w:spacing w:line="360" w:lineRule="auto"/>
        <w:rPr>
          <w:rFonts w:ascii="宋体" w:hAnsi="宋体" w:cs="宋体"/>
          <w:sz w:val="24"/>
          <w:szCs w:val="24"/>
        </w:rPr>
      </w:pPr>
      <w:r>
        <w:rPr>
          <w:rFonts w:hint="eastAsia" w:ascii="宋体" w:hAnsi="宋体" w:cs="宋体"/>
          <w:sz w:val="24"/>
          <w:szCs w:val="24"/>
        </w:rPr>
        <w:t xml:space="preserve"> </w:t>
      </w:r>
    </w:p>
    <w:p>
      <w:pPr>
        <w:adjustRightInd w:val="0"/>
        <w:snapToGrid w:val="0"/>
        <w:spacing w:line="360" w:lineRule="auto"/>
        <w:ind w:firstLine="628" w:firstLineChars="262"/>
        <w:rPr>
          <w:rFonts w:ascii="宋体" w:hAnsi="宋体" w:cs="宋体"/>
          <w:sz w:val="24"/>
          <w:szCs w:val="24"/>
        </w:rPr>
      </w:pPr>
      <w:r>
        <w:rPr>
          <w:rFonts w:hint="eastAsia" w:ascii="宋体" w:hAnsi="宋体" w:cs="宋体"/>
          <w:sz w:val="24"/>
          <w:szCs w:val="24"/>
        </w:rPr>
        <w:t xml:space="preserve"> </w:t>
      </w:r>
    </w:p>
    <w:p>
      <w:pPr>
        <w:adjustRightInd w:val="0"/>
        <w:snapToGrid w:val="0"/>
        <w:spacing w:line="360" w:lineRule="auto"/>
        <w:ind w:firstLine="628" w:firstLineChars="262"/>
        <w:rPr>
          <w:rFonts w:ascii="宋体" w:hAnsi="宋体" w:cs="宋体"/>
          <w:sz w:val="24"/>
          <w:szCs w:val="24"/>
        </w:rPr>
      </w:pPr>
      <w:r>
        <w:rPr>
          <w:rFonts w:hint="eastAsia" w:ascii="宋体" w:hAnsi="宋体" w:cs="宋体"/>
          <w:sz w:val="24"/>
          <w:szCs w:val="24"/>
        </w:rPr>
        <w:t>供应商：</w:t>
      </w:r>
      <w:r>
        <w:rPr>
          <w:rFonts w:hint="eastAsia" w:ascii="宋体" w:hAnsi="宋体" w:cs="宋体"/>
          <w:sz w:val="24"/>
          <w:szCs w:val="24"/>
          <w:u w:val="single"/>
        </w:rPr>
        <w:t xml:space="preserve">                </w:t>
      </w:r>
      <w:r>
        <w:rPr>
          <w:rFonts w:hint="eastAsia" w:ascii="宋体" w:hAnsi="宋体" w:cs="宋体"/>
          <w:sz w:val="24"/>
          <w:szCs w:val="24"/>
        </w:rPr>
        <w:t>（电子签章）</w:t>
      </w:r>
    </w:p>
    <w:p>
      <w:pPr>
        <w:adjustRightInd w:val="0"/>
        <w:snapToGrid w:val="0"/>
        <w:spacing w:line="360" w:lineRule="auto"/>
        <w:ind w:firstLine="628" w:firstLineChars="262"/>
        <w:rPr>
          <w:rFonts w:ascii="宋体" w:hAnsi="宋体" w:cs="宋体"/>
          <w:sz w:val="24"/>
          <w:szCs w:val="24"/>
        </w:rPr>
      </w:pPr>
      <w:r>
        <w:rPr>
          <w:rFonts w:hint="eastAsia" w:ascii="宋体" w:hAnsi="宋体" w:cs="宋体"/>
          <w:sz w:val="24"/>
          <w:szCs w:val="24"/>
        </w:rPr>
        <w:t>法定代表人：</w:t>
      </w:r>
      <w:r>
        <w:rPr>
          <w:rFonts w:hint="eastAsia" w:ascii="宋体" w:hAnsi="宋体" w:cs="宋体"/>
          <w:sz w:val="24"/>
          <w:szCs w:val="24"/>
          <w:u w:val="single"/>
        </w:rPr>
        <w:t xml:space="preserve">                </w:t>
      </w:r>
      <w:r>
        <w:rPr>
          <w:rFonts w:hint="eastAsia" w:ascii="宋体" w:hAnsi="宋体" w:cs="宋体"/>
          <w:sz w:val="24"/>
          <w:szCs w:val="24"/>
        </w:rPr>
        <w:t>（签字或盖章）</w:t>
      </w:r>
    </w:p>
    <w:p>
      <w:pPr>
        <w:adjustRightInd w:val="0"/>
        <w:snapToGrid w:val="0"/>
        <w:spacing w:line="360" w:lineRule="auto"/>
        <w:ind w:firstLine="628" w:firstLineChars="262"/>
        <w:rPr>
          <w:rFonts w:ascii="宋体" w:hAnsi="宋体" w:cs="宋体"/>
          <w:sz w:val="24"/>
          <w:szCs w:val="24"/>
        </w:rPr>
      </w:pPr>
      <w:r>
        <w:rPr>
          <w:rFonts w:hint="eastAsia" w:ascii="宋体" w:hAnsi="宋体" w:cs="宋体"/>
          <w:sz w:val="24"/>
          <w:szCs w:val="24"/>
        </w:rPr>
        <w:t>身份证号码：</w:t>
      </w:r>
      <w:r>
        <w:rPr>
          <w:rFonts w:hint="eastAsia" w:ascii="宋体" w:hAnsi="宋体" w:cs="宋体"/>
          <w:sz w:val="24"/>
          <w:szCs w:val="24"/>
          <w:u w:val="single"/>
        </w:rPr>
        <w:t xml:space="preserve">                        </w:t>
      </w:r>
    </w:p>
    <w:p>
      <w:pPr>
        <w:adjustRightInd w:val="0"/>
        <w:snapToGrid w:val="0"/>
        <w:spacing w:line="360" w:lineRule="auto"/>
        <w:ind w:firstLine="628" w:firstLineChars="262"/>
        <w:rPr>
          <w:rFonts w:ascii="宋体" w:hAnsi="宋体" w:cs="宋体"/>
          <w:sz w:val="24"/>
          <w:szCs w:val="24"/>
        </w:rPr>
      </w:pPr>
      <w:r>
        <w:rPr>
          <w:rFonts w:hint="eastAsia" w:ascii="宋体" w:hAnsi="宋体" w:cs="宋体"/>
          <w:sz w:val="24"/>
          <w:szCs w:val="24"/>
        </w:rPr>
        <w:t>委托代理人：</w:t>
      </w:r>
      <w:r>
        <w:rPr>
          <w:rFonts w:hint="eastAsia" w:ascii="宋体" w:hAnsi="宋体" w:cs="宋体"/>
          <w:sz w:val="24"/>
          <w:szCs w:val="24"/>
          <w:u w:val="single"/>
        </w:rPr>
        <w:t xml:space="preserve">                </w:t>
      </w:r>
      <w:r>
        <w:rPr>
          <w:rFonts w:hint="eastAsia" w:ascii="宋体" w:hAnsi="宋体" w:cs="宋体"/>
          <w:sz w:val="24"/>
          <w:szCs w:val="24"/>
        </w:rPr>
        <w:t>（签字或盖章）</w:t>
      </w:r>
    </w:p>
    <w:p>
      <w:pPr>
        <w:adjustRightInd w:val="0"/>
        <w:snapToGrid w:val="0"/>
        <w:spacing w:line="360" w:lineRule="auto"/>
        <w:ind w:firstLine="628" w:firstLineChars="262"/>
        <w:rPr>
          <w:rFonts w:ascii="宋体" w:hAnsi="宋体" w:cs="宋体"/>
          <w:sz w:val="24"/>
          <w:szCs w:val="24"/>
        </w:rPr>
      </w:pPr>
      <w:r>
        <w:rPr>
          <w:rFonts w:hint="eastAsia" w:ascii="宋体" w:hAnsi="宋体" w:cs="宋体"/>
          <w:sz w:val="24"/>
          <w:szCs w:val="24"/>
        </w:rPr>
        <w:t>身份证号码：</w:t>
      </w:r>
      <w:r>
        <w:rPr>
          <w:rFonts w:hint="eastAsia" w:ascii="宋体" w:hAnsi="宋体" w:cs="宋体"/>
          <w:sz w:val="24"/>
          <w:szCs w:val="24"/>
          <w:u w:val="single"/>
        </w:rPr>
        <w:t xml:space="preserve">                        </w:t>
      </w:r>
    </w:p>
    <w:p>
      <w:pPr>
        <w:adjustRightInd w:val="0"/>
        <w:snapToGrid w:val="0"/>
        <w:spacing w:line="360" w:lineRule="auto"/>
        <w:ind w:firstLine="628" w:firstLineChars="262"/>
        <w:rPr>
          <w:rFonts w:ascii="宋体" w:hAnsi="宋体" w:cs="宋体"/>
          <w:sz w:val="24"/>
          <w:szCs w:val="24"/>
        </w:rPr>
      </w:pPr>
      <w:r>
        <w:rPr>
          <w:rFonts w:hint="eastAsia" w:ascii="宋体" w:hAnsi="宋体" w:cs="宋体"/>
          <w:sz w:val="24"/>
          <w:szCs w:val="24"/>
          <w:u w:val="single"/>
        </w:rPr>
        <w:tab/>
      </w: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月</w:t>
      </w:r>
      <w:r>
        <w:rPr>
          <w:rFonts w:hint="eastAsia" w:ascii="宋体" w:hAnsi="宋体" w:cs="宋体"/>
          <w:sz w:val="24"/>
          <w:szCs w:val="24"/>
          <w:u w:val="single"/>
        </w:rPr>
        <w:t xml:space="preserve">       </w:t>
      </w:r>
      <w:r>
        <w:rPr>
          <w:rFonts w:hint="eastAsia" w:ascii="宋体" w:hAnsi="宋体" w:cs="宋体"/>
          <w:sz w:val="24"/>
          <w:szCs w:val="24"/>
        </w:rPr>
        <w:t>日</w:t>
      </w:r>
    </w:p>
    <w:p>
      <w:pPr>
        <w:pStyle w:val="7"/>
        <w:jc w:val="center"/>
        <w:rPr>
          <w:rFonts w:ascii="宋体" w:hAnsi="宋体" w:cs="宋体"/>
        </w:rPr>
      </w:pPr>
      <w:bookmarkStart w:id="79" w:name="_Toc391363052"/>
      <w:bookmarkEnd w:id="79"/>
      <w:r>
        <w:rPr>
          <w:rFonts w:hint="eastAsia" w:ascii="宋体" w:hAnsi="宋体" w:cs="宋体"/>
          <w:b w:val="0"/>
          <w:bCs w:val="0"/>
          <w:i/>
          <w:iCs/>
          <w:sz w:val="24"/>
          <w:szCs w:val="24"/>
        </w:rPr>
        <w:br w:type="page"/>
      </w:r>
      <w:bookmarkStart w:id="80" w:name="_Toc520389631"/>
      <w:bookmarkEnd w:id="80"/>
      <w:r>
        <w:rPr>
          <w:rFonts w:hint="eastAsia" w:ascii="宋体" w:hAnsi="宋体" w:cs="宋体"/>
        </w:rPr>
        <w:t>五、技术部分</w:t>
      </w:r>
    </w:p>
    <w:p>
      <w:pPr>
        <w:pStyle w:val="8"/>
        <w:jc w:val="center"/>
        <w:rPr>
          <w:rFonts w:ascii="宋体" w:hAnsi="宋体" w:cs="宋体"/>
        </w:rPr>
      </w:pPr>
      <w:r>
        <w:rPr>
          <w:rFonts w:hint="eastAsia" w:ascii="宋体" w:hAnsi="宋体" w:cs="宋体"/>
        </w:rPr>
        <w:t>技术规格响应/偏离表</w:t>
      </w:r>
    </w:p>
    <w:tbl>
      <w:tblPr>
        <w:tblStyle w:val="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5"/>
        <w:gridCol w:w="1635"/>
        <w:gridCol w:w="1634"/>
        <w:gridCol w:w="1635"/>
        <w:gridCol w:w="2180"/>
        <w:gridCol w:w="12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6" w:hRule="atLeast"/>
          <w:jc w:val="center"/>
        </w:trPr>
        <w:tc>
          <w:tcPr>
            <w:tcW w:w="925" w:type="dxa"/>
            <w:tcBorders>
              <w:top w:val="single" w:color="auto" w:sz="4" w:space="0"/>
              <w:left w:val="single" w:color="auto" w:sz="4" w:space="0"/>
              <w:bottom w:val="single" w:color="auto" w:sz="4" w:space="0"/>
              <w:right w:val="single" w:color="auto" w:sz="4" w:space="0"/>
            </w:tcBorders>
            <w:vAlign w:val="center"/>
          </w:tcPr>
          <w:p>
            <w:pPr>
              <w:spacing w:line="432" w:lineRule="auto"/>
              <w:jc w:val="center"/>
              <w:rPr>
                <w:rFonts w:ascii="宋体" w:hAnsi="宋体" w:cs="宋体"/>
                <w:sz w:val="24"/>
                <w:szCs w:val="24"/>
              </w:rPr>
            </w:pPr>
            <w:r>
              <w:rPr>
                <w:rFonts w:hint="eastAsia" w:ascii="宋体" w:hAnsi="宋体" w:cs="宋体"/>
                <w:sz w:val="24"/>
                <w:szCs w:val="24"/>
              </w:rPr>
              <w:t>序号</w:t>
            </w:r>
          </w:p>
        </w:tc>
        <w:tc>
          <w:tcPr>
            <w:tcW w:w="1635" w:type="dxa"/>
            <w:tcBorders>
              <w:top w:val="single" w:color="auto" w:sz="4" w:space="0"/>
              <w:left w:val="nil"/>
              <w:bottom w:val="single" w:color="auto" w:sz="4" w:space="0"/>
              <w:right w:val="single" w:color="auto" w:sz="4" w:space="0"/>
            </w:tcBorders>
            <w:vAlign w:val="center"/>
          </w:tcPr>
          <w:p>
            <w:pPr>
              <w:spacing w:line="432" w:lineRule="auto"/>
              <w:jc w:val="center"/>
              <w:rPr>
                <w:rFonts w:ascii="宋体" w:hAnsi="宋体" w:cs="宋体"/>
                <w:sz w:val="24"/>
                <w:szCs w:val="24"/>
              </w:rPr>
            </w:pPr>
            <w:r>
              <w:rPr>
                <w:rFonts w:hint="eastAsia" w:ascii="宋体" w:hAnsi="宋体" w:cs="宋体"/>
                <w:sz w:val="24"/>
                <w:szCs w:val="24"/>
              </w:rPr>
              <w:t>货物名称</w:t>
            </w:r>
          </w:p>
        </w:tc>
        <w:tc>
          <w:tcPr>
            <w:tcW w:w="1634" w:type="dxa"/>
            <w:tcBorders>
              <w:top w:val="single" w:color="auto" w:sz="4" w:space="0"/>
              <w:left w:val="nil"/>
              <w:bottom w:val="single" w:color="auto" w:sz="4" w:space="0"/>
              <w:right w:val="single" w:color="auto" w:sz="4" w:space="0"/>
            </w:tcBorders>
            <w:vAlign w:val="center"/>
          </w:tcPr>
          <w:p>
            <w:pPr>
              <w:spacing w:line="432" w:lineRule="auto"/>
              <w:jc w:val="center"/>
              <w:rPr>
                <w:rFonts w:ascii="宋体" w:hAnsi="宋体" w:cs="宋体"/>
                <w:sz w:val="24"/>
                <w:szCs w:val="24"/>
              </w:rPr>
            </w:pPr>
            <w:r>
              <w:rPr>
                <w:rFonts w:hint="eastAsia" w:ascii="宋体" w:hAnsi="宋体" w:cs="宋体"/>
                <w:sz w:val="24"/>
                <w:szCs w:val="24"/>
              </w:rPr>
              <w:t>招标规格</w:t>
            </w:r>
          </w:p>
        </w:tc>
        <w:tc>
          <w:tcPr>
            <w:tcW w:w="1635" w:type="dxa"/>
            <w:tcBorders>
              <w:top w:val="single" w:color="auto" w:sz="4" w:space="0"/>
              <w:left w:val="nil"/>
              <w:bottom w:val="single" w:color="auto" w:sz="4" w:space="0"/>
              <w:right w:val="single" w:color="auto" w:sz="4" w:space="0"/>
            </w:tcBorders>
            <w:vAlign w:val="center"/>
          </w:tcPr>
          <w:p>
            <w:pPr>
              <w:spacing w:line="432" w:lineRule="auto"/>
              <w:jc w:val="center"/>
              <w:rPr>
                <w:rFonts w:ascii="宋体" w:hAnsi="宋体" w:cs="宋体"/>
                <w:sz w:val="24"/>
                <w:szCs w:val="24"/>
              </w:rPr>
            </w:pPr>
            <w:r>
              <w:rPr>
                <w:rFonts w:hint="eastAsia" w:ascii="宋体" w:hAnsi="宋体" w:cs="宋体"/>
                <w:sz w:val="24"/>
                <w:szCs w:val="24"/>
              </w:rPr>
              <w:t>投标规格</w:t>
            </w:r>
          </w:p>
        </w:tc>
        <w:tc>
          <w:tcPr>
            <w:tcW w:w="2180" w:type="dxa"/>
            <w:tcBorders>
              <w:top w:val="single" w:color="auto" w:sz="4" w:space="0"/>
              <w:left w:val="nil"/>
              <w:bottom w:val="single" w:color="auto" w:sz="4" w:space="0"/>
              <w:right w:val="single" w:color="auto" w:sz="4" w:space="0"/>
            </w:tcBorders>
            <w:vAlign w:val="center"/>
          </w:tcPr>
          <w:p>
            <w:pPr>
              <w:spacing w:line="432" w:lineRule="auto"/>
              <w:jc w:val="center"/>
              <w:rPr>
                <w:rFonts w:ascii="宋体" w:hAnsi="宋体" w:cs="宋体"/>
                <w:sz w:val="24"/>
                <w:szCs w:val="24"/>
              </w:rPr>
            </w:pPr>
            <w:r>
              <w:rPr>
                <w:rFonts w:hint="eastAsia" w:ascii="宋体" w:hAnsi="宋体" w:cs="宋体"/>
                <w:sz w:val="24"/>
                <w:szCs w:val="24"/>
              </w:rPr>
              <w:t>偏离情况说明</w:t>
            </w:r>
          </w:p>
        </w:tc>
        <w:tc>
          <w:tcPr>
            <w:tcW w:w="1270" w:type="dxa"/>
            <w:tcBorders>
              <w:top w:val="single" w:color="auto" w:sz="4" w:space="0"/>
              <w:left w:val="nil"/>
              <w:bottom w:val="single" w:color="auto" w:sz="4" w:space="0"/>
              <w:right w:val="single" w:color="auto" w:sz="4" w:space="0"/>
            </w:tcBorders>
            <w:vAlign w:val="center"/>
          </w:tcPr>
          <w:p>
            <w:pPr>
              <w:spacing w:line="432" w:lineRule="auto"/>
              <w:jc w:val="center"/>
              <w:rPr>
                <w:rFonts w:ascii="宋体" w:hAnsi="宋体" w:cs="宋体"/>
                <w:sz w:val="24"/>
                <w:szCs w:val="24"/>
              </w:rPr>
            </w:pPr>
            <w:r>
              <w:rPr>
                <w:rFonts w:hint="eastAsia" w:ascii="宋体" w:hAnsi="宋体" w:cs="宋体"/>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atLeast"/>
          <w:jc w:val="center"/>
        </w:trPr>
        <w:tc>
          <w:tcPr>
            <w:tcW w:w="925" w:type="dxa"/>
            <w:tcBorders>
              <w:top w:val="single" w:color="auto" w:sz="4" w:space="0"/>
              <w:left w:val="single" w:color="auto" w:sz="4" w:space="0"/>
              <w:bottom w:val="single" w:color="auto" w:sz="4" w:space="0"/>
              <w:right w:val="single" w:color="auto" w:sz="4" w:space="0"/>
            </w:tcBorders>
            <w:vAlign w:val="center"/>
          </w:tcPr>
          <w:p>
            <w:pPr>
              <w:spacing w:line="432" w:lineRule="auto"/>
              <w:jc w:val="center"/>
              <w:rPr>
                <w:rFonts w:ascii="宋体" w:hAnsi="宋体" w:cs="宋体"/>
                <w:sz w:val="24"/>
                <w:szCs w:val="24"/>
              </w:rPr>
            </w:pPr>
          </w:p>
        </w:tc>
        <w:tc>
          <w:tcPr>
            <w:tcW w:w="1635" w:type="dxa"/>
            <w:tcBorders>
              <w:top w:val="single" w:color="auto" w:sz="4" w:space="0"/>
              <w:left w:val="nil"/>
              <w:bottom w:val="single" w:color="auto" w:sz="4" w:space="0"/>
              <w:right w:val="single" w:color="auto" w:sz="4" w:space="0"/>
            </w:tcBorders>
            <w:vAlign w:val="center"/>
          </w:tcPr>
          <w:p>
            <w:pPr>
              <w:spacing w:line="432" w:lineRule="auto"/>
              <w:jc w:val="center"/>
              <w:rPr>
                <w:rFonts w:ascii="宋体" w:hAnsi="宋体" w:cs="宋体"/>
                <w:sz w:val="24"/>
                <w:szCs w:val="24"/>
              </w:rPr>
            </w:pPr>
          </w:p>
        </w:tc>
        <w:tc>
          <w:tcPr>
            <w:tcW w:w="1634" w:type="dxa"/>
            <w:tcBorders>
              <w:top w:val="single" w:color="auto" w:sz="4" w:space="0"/>
              <w:left w:val="nil"/>
              <w:bottom w:val="single" w:color="auto" w:sz="4" w:space="0"/>
              <w:right w:val="single" w:color="auto" w:sz="4" w:space="0"/>
            </w:tcBorders>
            <w:vAlign w:val="center"/>
          </w:tcPr>
          <w:p>
            <w:pPr>
              <w:spacing w:line="432" w:lineRule="auto"/>
              <w:jc w:val="center"/>
              <w:rPr>
                <w:rFonts w:ascii="宋体" w:hAnsi="宋体" w:cs="宋体"/>
                <w:sz w:val="24"/>
                <w:szCs w:val="24"/>
              </w:rPr>
            </w:pPr>
          </w:p>
        </w:tc>
        <w:tc>
          <w:tcPr>
            <w:tcW w:w="1635" w:type="dxa"/>
            <w:tcBorders>
              <w:top w:val="single" w:color="auto" w:sz="4" w:space="0"/>
              <w:left w:val="nil"/>
              <w:bottom w:val="single" w:color="auto" w:sz="4" w:space="0"/>
              <w:right w:val="single" w:color="auto" w:sz="4" w:space="0"/>
            </w:tcBorders>
            <w:vAlign w:val="center"/>
          </w:tcPr>
          <w:p>
            <w:pPr>
              <w:spacing w:line="432" w:lineRule="auto"/>
              <w:jc w:val="center"/>
              <w:rPr>
                <w:rFonts w:ascii="宋体" w:hAnsi="宋体" w:cs="宋体"/>
                <w:sz w:val="24"/>
                <w:szCs w:val="24"/>
              </w:rPr>
            </w:pPr>
          </w:p>
        </w:tc>
        <w:tc>
          <w:tcPr>
            <w:tcW w:w="2180" w:type="dxa"/>
            <w:tcBorders>
              <w:top w:val="single" w:color="auto" w:sz="4" w:space="0"/>
              <w:left w:val="nil"/>
              <w:bottom w:val="single" w:color="auto" w:sz="4" w:space="0"/>
              <w:right w:val="single" w:color="auto" w:sz="4" w:space="0"/>
            </w:tcBorders>
            <w:vAlign w:val="center"/>
          </w:tcPr>
          <w:p>
            <w:pPr>
              <w:spacing w:line="432" w:lineRule="auto"/>
              <w:jc w:val="center"/>
              <w:rPr>
                <w:rFonts w:ascii="宋体" w:hAnsi="宋体" w:cs="宋体"/>
                <w:sz w:val="24"/>
                <w:szCs w:val="24"/>
              </w:rPr>
            </w:pPr>
          </w:p>
        </w:tc>
        <w:tc>
          <w:tcPr>
            <w:tcW w:w="1270" w:type="dxa"/>
            <w:tcBorders>
              <w:top w:val="single" w:color="auto" w:sz="4" w:space="0"/>
              <w:left w:val="nil"/>
              <w:bottom w:val="single" w:color="auto" w:sz="4" w:space="0"/>
              <w:right w:val="single" w:color="auto" w:sz="4" w:space="0"/>
            </w:tcBorders>
            <w:vAlign w:val="center"/>
          </w:tcPr>
          <w:p>
            <w:pPr>
              <w:spacing w:line="432" w:lineRule="auto"/>
              <w:jc w:val="center"/>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atLeast"/>
          <w:jc w:val="center"/>
        </w:trPr>
        <w:tc>
          <w:tcPr>
            <w:tcW w:w="925" w:type="dxa"/>
            <w:tcBorders>
              <w:top w:val="single" w:color="auto" w:sz="4" w:space="0"/>
              <w:left w:val="single" w:color="auto" w:sz="4" w:space="0"/>
              <w:bottom w:val="single" w:color="auto" w:sz="4" w:space="0"/>
              <w:right w:val="single" w:color="auto" w:sz="4" w:space="0"/>
            </w:tcBorders>
            <w:vAlign w:val="center"/>
          </w:tcPr>
          <w:p>
            <w:pPr>
              <w:spacing w:line="432" w:lineRule="auto"/>
              <w:jc w:val="center"/>
              <w:rPr>
                <w:rFonts w:ascii="宋体" w:hAnsi="宋体" w:cs="宋体"/>
                <w:sz w:val="24"/>
                <w:szCs w:val="24"/>
              </w:rPr>
            </w:pPr>
          </w:p>
        </w:tc>
        <w:tc>
          <w:tcPr>
            <w:tcW w:w="1635" w:type="dxa"/>
            <w:tcBorders>
              <w:top w:val="single" w:color="auto" w:sz="4" w:space="0"/>
              <w:left w:val="nil"/>
              <w:bottom w:val="single" w:color="auto" w:sz="4" w:space="0"/>
              <w:right w:val="single" w:color="auto" w:sz="4" w:space="0"/>
            </w:tcBorders>
            <w:vAlign w:val="center"/>
          </w:tcPr>
          <w:p>
            <w:pPr>
              <w:spacing w:line="432" w:lineRule="auto"/>
              <w:jc w:val="center"/>
              <w:rPr>
                <w:rFonts w:ascii="宋体" w:hAnsi="宋体" w:cs="宋体"/>
                <w:sz w:val="24"/>
                <w:szCs w:val="24"/>
              </w:rPr>
            </w:pPr>
          </w:p>
        </w:tc>
        <w:tc>
          <w:tcPr>
            <w:tcW w:w="1634" w:type="dxa"/>
            <w:tcBorders>
              <w:top w:val="single" w:color="auto" w:sz="4" w:space="0"/>
              <w:left w:val="nil"/>
              <w:bottom w:val="single" w:color="auto" w:sz="4" w:space="0"/>
              <w:right w:val="single" w:color="auto" w:sz="4" w:space="0"/>
            </w:tcBorders>
            <w:vAlign w:val="center"/>
          </w:tcPr>
          <w:p>
            <w:pPr>
              <w:spacing w:line="432" w:lineRule="auto"/>
              <w:jc w:val="center"/>
              <w:rPr>
                <w:rFonts w:ascii="宋体" w:hAnsi="宋体" w:cs="宋体"/>
                <w:sz w:val="24"/>
                <w:szCs w:val="24"/>
              </w:rPr>
            </w:pPr>
          </w:p>
        </w:tc>
        <w:tc>
          <w:tcPr>
            <w:tcW w:w="1635" w:type="dxa"/>
            <w:tcBorders>
              <w:top w:val="single" w:color="auto" w:sz="4" w:space="0"/>
              <w:left w:val="nil"/>
              <w:bottom w:val="single" w:color="auto" w:sz="4" w:space="0"/>
              <w:right w:val="single" w:color="auto" w:sz="4" w:space="0"/>
            </w:tcBorders>
            <w:vAlign w:val="center"/>
          </w:tcPr>
          <w:p>
            <w:pPr>
              <w:spacing w:line="432" w:lineRule="auto"/>
              <w:jc w:val="center"/>
              <w:rPr>
                <w:rFonts w:ascii="宋体" w:hAnsi="宋体" w:cs="宋体"/>
                <w:sz w:val="24"/>
                <w:szCs w:val="24"/>
              </w:rPr>
            </w:pPr>
          </w:p>
        </w:tc>
        <w:tc>
          <w:tcPr>
            <w:tcW w:w="2180" w:type="dxa"/>
            <w:tcBorders>
              <w:top w:val="single" w:color="auto" w:sz="4" w:space="0"/>
              <w:left w:val="nil"/>
              <w:bottom w:val="single" w:color="auto" w:sz="4" w:space="0"/>
              <w:right w:val="single" w:color="auto" w:sz="4" w:space="0"/>
            </w:tcBorders>
            <w:vAlign w:val="center"/>
          </w:tcPr>
          <w:p>
            <w:pPr>
              <w:spacing w:line="432" w:lineRule="auto"/>
              <w:jc w:val="center"/>
              <w:rPr>
                <w:rFonts w:ascii="宋体" w:hAnsi="宋体" w:cs="宋体"/>
                <w:sz w:val="24"/>
                <w:szCs w:val="24"/>
              </w:rPr>
            </w:pPr>
          </w:p>
        </w:tc>
        <w:tc>
          <w:tcPr>
            <w:tcW w:w="1270" w:type="dxa"/>
            <w:tcBorders>
              <w:top w:val="single" w:color="auto" w:sz="4" w:space="0"/>
              <w:left w:val="nil"/>
              <w:bottom w:val="single" w:color="auto" w:sz="4" w:space="0"/>
              <w:right w:val="single" w:color="auto" w:sz="4" w:space="0"/>
            </w:tcBorders>
            <w:vAlign w:val="center"/>
          </w:tcPr>
          <w:p>
            <w:pPr>
              <w:spacing w:line="432" w:lineRule="auto"/>
              <w:jc w:val="center"/>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atLeast"/>
          <w:jc w:val="center"/>
        </w:trPr>
        <w:tc>
          <w:tcPr>
            <w:tcW w:w="925" w:type="dxa"/>
            <w:tcBorders>
              <w:top w:val="single" w:color="auto" w:sz="4" w:space="0"/>
              <w:left w:val="single" w:color="auto" w:sz="4" w:space="0"/>
              <w:bottom w:val="single" w:color="auto" w:sz="4" w:space="0"/>
              <w:right w:val="single" w:color="auto" w:sz="4" w:space="0"/>
            </w:tcBorders>
            <w:vAlign w:val="center"/>
          </w:tcPr>
          <w:p>
            <w:pPr>
              <w:spacing w:line="432" w:lineRule="auto"/>
              <w:jc w:val="center"/>
              <w:rPr>
                <w:rFonts w:ascii="宋体" w:hAnsi="宋体" w:cs="宋体"/>
                <w:sz w:val="24"/>
                <w:szCs w:val="24"/>
              </w:rPr>
            </w:pPr>
          </w:p>
        </w:tc>
        <w:tc>
          <w:tcPr>
            <w:tcW w:w="1635" w:type="dxa"/>
            <w:tcBorders>
              <w:top w:val="single" w:color="auto" w:sz="4" w:space="0"/>
              <w:left w:val="nil"/>
              <w:bottom w:val="single" w:color="auto" w:sz="4" w:space="0"/>
              <w:right w:val="single" w:color="auto" w:sz="4" w:space="0"/>
            </w:tcBorders>
            <w:vAlign w:val="center"/>
          </w:tcPr>
          <w:p>
            <w:pPr>
              <w:spacing w:line="432" w:lineRule="auto"/>
              <w:jc w:val="center"/>
              <w:rPr>
                <w:rFonts w:ascii="宋体" w:hAnsi="宋体" w:cs="宋体"/>
                <w:sz w:val="24"/>
                <w:szCs w:val="24"/>
              </w:rPr>
            </w:pPr>
          </w:p>
        </w:tc>
        <w:tc>
          <w:tcPr>
            <w:tcW w:w="1634" w:type="dxa"/>
            <w:tcBorders>
              <w:top w:val="single" w:color="auto" w:sz="4" w:space="0"/>
              <w:left w:val="nil"/>
              <w:bottom w:val="single" w:color="auto" w:sz="4" w:space="0"/>
              <w:right w:val="single" w:color="auto" w:sz="4" w:space="0"/>
            </w:tcBorders>
            <w:vAlign w:val="center"/>
          </w:tcPr>
          <w:p>
            <w:pPr>
              <w:spacing w:line="432" w:lineRule="auto"/>
              <w:jc w:val="center"/>
              <w:rPr>
                <w:rFonts w:ascii="宋体" w:hAnsi="宋体" w:cs="宋体"/>
                <w:sz w:val="24"/>
                <w:szCs w:val="24"/>
              </w:rPr>
            </w:pPr>
          </w:p>
        </w:tc>
        <w:tc>
          <w:tcPr>
            <w:tcW w:w="1635" w:type="dxa"/>
            <w:tcBorders>
              <w:top w:val="single" w:color="auto" w:sz="4" w:space="0"/>
              <w:left w:val="nil"/>
              <w:bottom w:val="single" w:color="auto" w:sz="4" w:space="0"/>
              <w:right w:val="single" w:color="auto" w:sz="4" w:space="0"/>
            </w:tcBorders>
            <w:vAlign w:val="center"/>
          </w:tcPr>
          <w:p>
            <w:pPr>
              <w:spacing w:line="432" w:lineRule="auto"/>
              <w:jc w:val="center"/>
              <w:rPr>
                <w:rFonts w:ascii="宋体" w:hAnsi="宋体" w:cs="宋体"/>
                <w:sz w:val="24"/>
                <w:szCs w:val="24"/>
              </w:rPr>
            </w:pPr>
          </w:p>
        </w:tc>
        <w:tc>
          <w:tcPr>
            <w:tcW w:w="2180" w:type="dxa"/>
            <w:tcBorders>
              <w:top w:val="single" w:color="auto" w:sz="4" w:space="0"/>
              <w:left w:val="nil"/>
              <w:bottom w:val="single" w:color="auto" w:sz="4" w:space="0"/>
              <w:right w:val="single" w:color="auto" w:sz="4" w:space="0"/>
            </w:tcBorders>
            <w:vAlign w:val="center"/>
          </w:tcPr>
          <w:p>
            <w:pPr>
              <w:spacing w:line="432" w:lineRule="auto"/>
              <w:jc w:val="center"/>
              <w:rPr>
                <w:rFonts w:ascii="宋体" w:hAnsi="宋体" w:cs="宋体"/>
                <w:sz w:val="24"/>
                <w:szCs w:val="24"/>
              </w:rPr>
            </w:pPr>
          </w:p>
        </w:tc>
        <w:tc>
          <w:tcPr>
            <w:tcW w:w="1270" w:type="dxa"/>
            <w:tcBorders>
              <w:top w:val="single" w:color="auto" w:sz="4" w:space="0"/>
              <w:left w:val="nil"/>
              <w:bottom w:val="single" w:color="auto" w:sz="4" w:space="0"/>
              <w:right w:val="single" w:color="auto" w:sz="4" w:space="0"/>
            </w:tcBorders>
            <w:vAlign w:val="center"/>
          </w:tcPr>
          <w:p>
            <w:pPr>
              <w:spacing w:line="432" w:lineRule="auto"/>
              <w:jc w:val="center"/>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atLeast"/>
          <w:jc w:val="center"/>
        </w:trPr>
        <w:tc>
          <w:tcPr>
            <w:tcW w:w="925" w:type="dxa"/>
            <w:tcBorders>
              <w:top w:val="single" w:color="auto" w:sz="4" w:space="0"/>
              <w:left w:val="single" w:color="auto" w:sz="4" w:space="0"/>
              <w:bottom w:val="single" w:color="auto" w:sz="4" w:space="0"/>
              <w:right w:val="single" w:color="auto" w:sz="4" w:space="0"/>
            </w:tcBorders>
            <w:vAlign w:val="center"/>
          </w:tcPr>
          <w:p>
            <w:pPr>
              <w:spacing w:line="432" w:lineRule="auto"/>
              <w:jc w:val="center"/>
              <w:rPr>
                <w:rFonts w:ascii="宋体" w:hAnsi="宋体" w:cs="宋体"/>
                <w:sz w:val="24"/>
                <w:szCs w:val="24"/>
              </w:rPr>
            </w:pPr>
          </w:p>
        </w:tc>
        <w:tc>
          <w:tcPr>
            <w:tcW w:w="1635" w:type="dxa"/>
            <w:tcBorders>
              <w:top w:val="single" w:color="auto" w:sz="4" w:space="0"/>
              <w:left w:val="nil"/>
              <w:bottom w:val="single" w:color="auto" w:sz="4" w:space="0"/>
              <w:right w:val="single" w:color="auto" w:sz="4" w:space="0"/>
            </w:tcBorders>
            <w:vAlign w:val="center"/>
          </w:tcPr>
          <w:p>
            <w:pPr>
              <w:spacing w:line="432" w:lineRule="auto"/>
              <w:jc w:val="center"/>
              <w:rPr>
                <w:rFonts w:ascii="宋体" w:hAnsi="宋体" w:cs="宋体"/>
                <w:sz w:val="24"/>
                <w:szCs w:val="24"/>
              </w:rPr>
            </w:pPr>
          </w:p>
        </w:tc>
        <w:tc>
          <w:tcPr>
            <w:tcW w:w="1634" w:type="dxa"/>
            <w:tcBorders>
              <w:top w:val="single" w:color="auto" w:sz="4" w:space="0"/>
              <w:left w:val="nil"/>
              <w:bottom w:val="single" w:color="auto" w:sz="4" w:space="0"/>
              <w:right w:val="single" w:color="auto" w:sz="4" w:space="0"/>
            </w:tcBorders>
            <w:vAlign w:val="center"/>
          </w:tcPr>
          <w:p>
            <w:pPr>
              <w:spacing w:line="432" w:lineRule="auto"/>
              <w:jc w:val="center"/>
              <w:rPr>
                <w:rFonts w:ascii="宋体" w:hAnsi="宋体" w:cs="宋体"/>
                <w:sz w:val="24"/>
                <w:szCs w:val="24"/>
              </w:rPr>
            </w:pPr>
          </w:p>
        </w:tc>
        <w:tc>
          <w:tcPr>
            <w:tcW w:w="1635" w:type="dxa"/>
            <w:tcBorders>
              <w:top w:val="single" w:color="auto" w:sz="4" w:space="0"/>
              <w:left w:val="nil"/>
              <w:bottom w:val="single" w:color="auto" w:sz="4" w:space="0"/>
              <w:right w:val="single" w:color="auto" w:sz="4" w:space="0"/>
            </w:tcBorders>
            <w:vAlign w:val="center"/>
          </w:tcPr>
          <w:p>
            <w:pPr>
              <w:spacing w:line="432" w:lineRule="auto"/>
              <w:jc w:val="center"/>
              <w:rPr>
                <w:rFonts w:ascii="宋体" w:hAnsi="宋体" w:cs="宋体"/>
                <w:sz w:val="24"/>
                <w:szCs w:val="24"/>
              </w:rPr>
            </w:pPr>
          </w:p>
        </w:tc>
        <w:tc>
          <w:tcPr>
            <w:tcW w:w="2180" w:type="dxa"/>
            <w:tcBorders>
              <w:top w:val="single" w:color="auto" w:sz="4" w:space="0"/>
              <w:left w:val="nil"/>
              <w:bottom w:val="single" w:color="auto" w:sz="4" w:space="0"/>
              <w:right w:val="single" w:color="auto" w:sz="4" w:space="0"/>
            </w:tcBorders>
            <w:vAlign w:val="center"/>
          </w:tcPr>
          <w:p>
            <w:pPr>
              <w:spacing w:line="432" w:lineRule="auto"/>
              <w:jc w:val="center"/>
              <w:rPr>
                <w:rFonts w:ascii="宋体" w:hAnsi="宋体" w:cs="宋体"/>
                <w:sz w:val="24"/>
                <w:szCs w:val="24"/>
              </w:rPr>
            </w:pPr>
          </w:p>
        </w:tc>
        <w:tc>
          <w:tcPr>
            <w:tcW w:w="1270" w:type="dxa"/>
            <w:tcBorders>
              <w:top w:val="single" w:color="auto" w:sz="4" w:space="0"/>
              <w:left w:val="nil"/>
              <w:bottom w:val="single" w:color="auto" w:sz="4" w:space="0"/>
              <w:right w:val="single" w:color="auto" w:sz="4" w:space="0"/>
            </w:tcBorders>
            <w:vAlign w:val="center"/>
          </w:tcPr>
          <w:p>
            <w:pPr>
              <w:spacing w:line="432" w:lineRule="auto"/>
              <w:jc w:val="center"/>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atLeast"/>
          <w:jc w:val="center"/>
        </w:trPr>
        <w:tc>
          <w:tcPr>
            <w:tcW w:w="925" w:type="dxa"/>
            <w:tcBorders>
              <w:top w:val="single" w:color="auto" w:sz="4" w:space="0"/>
              <w:left w:val="single" w:color="auto" w:sz="4" w:space="0"/>
              <w:bottom w:val="single" w:color="auto" w:sz="4" w:space="0"/>
              <w:right w:val="single" w:color="auto" w:sz="4" w:space="0"/>
            </w:tcBorders>
            <w:vAlign w:val="center"/>
          </w:tcPr>
          <w:p>
            <w:pPr>
              <w:spacing w:line="432" w:lineRule="auto"/>
              <w:jc w:val="center"/>
              <w:rPr>
                <w:rFonts w:ascii="宋体" w:hAnsi="宋体" w:cs="宋体"/>
                <w:sz w:val="24"/>
                <w:szCs w:val="24"/>
              </w:rPr>
            </w:pPr>
          </w:p>
        </w:tc>
        <w:tc>
          <w:tcPr>
            <w:tcW w:w="1635" w:type="dxa"/>
            <w:tcBorders>
              <w:top w:val="single" w:color="auto" w:sz="4" w:space="0"/>
              <w:left w:val="nil"/>
              <w:bottom w:val="single" w:color="auto" w:sz="4" w:space="0"/>
              <w:right w:val="single" w:color="auto" w:sz="4" w:space="0"/>
            </w:tcBorders>
            <w:vAlign w:val="center"/>
          </w:tcPr>
          <w:p>
            <w:pPr>
              <w:spacing w:line="432" w:lineRule="auto"/>
              <w:jc w:val="center"/>
              <w:rPr>
                <w:rFonts w:ascii="宋体" w:hAnsi="宋体" w:cs="宋体"/>
                <w:sz w:val="24"/>
                <w:szCs w:val="24"/>
              </w:rPr>
            </w:pPr>
          </w:p>
        </w:tc>
        <w:tc>
          <w:tcPr>
            <w:tcW w:w="1634" w:type="dxa"/>
            <w:tcBorders>
              <w:top w:val="single" w:color="auto" w:sz="4" w:space="0"/>
              <w:left w:val="nil"/>
              <w:bottom w:val="single" w:color="auto" w:sz="4" w:space="0"/>
              <w:right w:val="single" w:color="auto" w:sz="4" w:space="0"/>
            </w:tcBorders>
            <w:vAlign w:val="center"/>
          </w:tcPr>
          <w:p>
            <w:pPr>
              <w:spacing w:line="432" w:lineRule="auto"/>
              <w:jc w:val="center"/>
              <w:rPr>
                <w:rFonts w:ascii="宋体" w:hAnsi="宋体" w:cs="宋体"/>
                <w:sz w:val="24"/>
                <w:szCs w:val="24"/>
              </w:rPr>
            </w:pPr>
          </w:p>
        </w:tc>
        <w:tc>
          <w:tcPr>
            <w:tcW w:w="1635" w:type="dxa"/>
            <w:tcBorders>
              <w:top w:val="single" w:color="auto" w:sz="4" w:space="0"/>
              <w:left w:val="nil"/>
              <w:bottom w:val="single" w:color="auto" w:sz="4" w:space="0"/>
              <w:right w:val="single" w:color="auto" w:sz="4" w:space="0"/>
            </w:tcBorders>
            <w:vAlign w:val="center"/>
          </w:tcPr>
          <w:p>
            <w:pPr>
              <w:spacing w:line="432" w:lineRule="auto"/>
              <w:jc w:val="center"/>
              <w:rPr>
                <w:rFonts w:ascii="宋体" w:hAnsi="宋体" w:cs="宋体"/>
                <w:sz w:val="24"/>
                <w:szCs w:val="24"/>
              </w:rPr>
            </w:pPr>
          </w:p>
        </w:tc>
        <w:tc>
          <w:tcPr>
            <w:tcW w:w="2180" w:type="dxa"/>
            <w:tcBorders>
              <w:top w:val="single" w:color="auto" w:sz="4" w:space="0"/>
              <w:left w:val="nil"/>
              <w:bottom w:val="single" w:color="auto" w:sz="4" w:space="0"/>
              <w:right w:val="single" w:color="auto" w:sz="4" w:space="0"/>
            </w:tcBorders>
            <w:vAlign w:val="center"/>
          </w:tcPr>
          <w:p>
            <w:pPr>
              <w:spacing w:line="432" w:lineRule="auto"/>
              <w:jc w:val="center"/>
              <w:rPr>
                <w:rFonts w:ascii="宋体" w:hAnsi="宋体" w:cs="宋体"/>
                <w:sz w:val="24"/>
                <w:szCs w:val="24"/>
              </w:rPr>
            </w:pPr>
          </w:p>
        </w:tc>
        <w:tc>
          <w:tcPr>
            <w:tcW w:w="1270" w:type="dxa"/>
            <w:tcBorders>
              <w:top w:val="single" w:color="auto" w:sz="4" w:space="0"/>
              <w:left w:val="nil"/>
              <w:bottom w:val="single" w:color="auto" w:sz="4" w:space="0"/>
              <w:right w:val="single" w:color="auto" w:sz="4" w:space="0"/>
            </w:tcBorders>
            <w:vAlign w:val="center"/>
          </w:tcPr>
          <w:p>
            <w:pPr>
              <w:spacing w:line="432" w:lineRule="auto"/>
              <w:jc w:val="center"/>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atLeast"/>
          <w:jc w:val="center"/>
        </w:trPr>
        <w:tc>
          <w:tcPr>
            <w:tcW w:w="925" w:type="dxa"/>
            <w:tcBorders>
              <w:top w:val="single" w:color="auto" w:sz="4" w:space="0"/>
              <w:left w:val="single" w:color="auto" w:sz="4" w:space="0"/>
              <w:bottom w:val="single" w:color="auto" w:sz="4" w:space="0"/>
              <w:right w:val="single" w:color="auto" w:sz="4" w:space="0"/>
            </w:tcBorders>
            <w:vAlign w:val="center"/>
          </w:tcPr>
          <w:p>
            <w:pPr>
              <w:spacing w:line="432" w:lineRule="auto"/>
              <w:jc w:val="center"/>
              <w:rPr>
                <w:rFonts w:ascii="宋体" w:hAnsi="宋体" w:cs="宋体"/>
                <w:sz w:val="24"/>
                <w:szCs w:val="24"/>
              </w:rPr>
            </w:pPr>
          </w:p>
        </w:tc>
        <w:tc>
          <w:tcPr>
            <w:tcW w:w="1635" w:type="dxa"/>
            <w:tcBorders>
              <w:top w:val="single" w:color="auto" w:sz="4" w:space="0"/>
              <w:left w:val="nil"/>
              <w:bottom w:val="single" w:color="auto" w:sz="4" w:space="0"/>
              <w:right w:val="single" w:color="auto" w:sz="4" w:space="0"/>
            </w:tcBorders>
            <w:vAlign w:val="center"/>
          </w:tcPr>
          <w:p>
            <w:pPr>
              <w:spacing w:line="432" w:lineRule="auto"/>
              <w:jc w:val="center"/>
              <w:rPr>
                <w:rFonts w:ascii="宋体" w:hAnsi="宋体" w:cs="宋体"/>
                <w:sz w:val="24"/>
                <w:szCs w:val="24"/>
              </w:rPr>
            </w:pPr>
          </w:p>
        </w:tc>
        <w:tc>
          <w:tcPr>
            <w:tcW w:w="1634" w:type="dxa"/>
            <w:tcBorders>
              <w:top w:val="single" w:color="auto" w:sz="4" w:space="0"/>
              <w:left w:val="nil"/>
              <w:bottom w:val="single" w:color="auto" w:sz="4" w:space="0"/>
              <w:right w:val="single" w:color="auto" w:sz="4" w:space="0"/>
            </w:tcBorders>
            <w:vAlign w:val="center"/>
          </w:tcPr>
          <w:p>
            <w:pPr>
              <w:spacing w:line="432" w:lineRule="auto"/>
              <w:jc w:val="center"/>
              <w:rPr>
                <w:rFonts w:ascii="宋体" w:hAnsi="宋体" w:cs="宋体"/>
                <w:sz w:val="24"/>
                <w:szCs w:val="24"/>
              </w:rPr>
            </w:pPr>
          </w:p>
        </w:tc>
        <w:tc>
          <w:tcPr>
            <w:tcW w:w="1635" w:type="dxa"/>
            <w:tcBorders>
              <w:top w:val="single" w:color="auto" w:sz="4" w:space="0"/>
              <w:left w:val="nil"/>
              <w:bottom w:val="single" w:color="auto" w:sz="4" w:space="0"/>
              <w:right w:val="single" w:color="auto" w:sz="4" w:space="0"/>
            </w:tcBorders>
            <w:vAlign w:val="center"/>
          </w:tcPr>
          <w:p>
            <w:pPr>
              <w:spacing w:line="432" w:lineRule="auto"/>
              <w:jc w:val="center"/>
              <w:rPr>
                <w:rFonts w:ascii="宋体" w:hAnsi="宋体" w:cs="宋体"/>
                <w:sz w:val="24"/>
                <w:szCs w:val="24"/>
              </w:rPr>
            </w:pPr>
          </w:p>
        </w:tc>
        <w:tc>
          <w:tcPr>
            <w:tcW w:w="2180" w:type="dxa"/>
            <w:tcBorders>
              <w:top w:val="single" w:color="auto" w:sz="4" w:space="0"/>
              <w:left w:val="nil"/>
              <w:bottom w:val="single" w:color="auto" w:sz="4" w:space="0"/>
              <w:right w:val="single" w:color="auto" w:sz="4" w:space="0"/>
            </w:tcBorders>
            <w:vAlign w:val="center"/>
          </w:tcPr>
          <w:p>
            <w:pPr>
              <w:spacing w:line="432" w:lineRule="auto"/>
              <w:jc w:val="center"/>
              <w:rPr>
                <w:rFonts w:ascii="宋体" w:hAnsi="宋体" w:cs="宋体"/>
                <w:sz w:val="24"/>
                <w:szCs w:val="24"/>
              </w:rPr>
            </w:pPr>
          </w:p>
        </w:tc>
        <w:tc>
          <w:tcPr>
            <w:tcW w:w="1270" w:type="dxa"/>
            <w:tcBorders>
              <w:top w:val="single" w:color="auto" w:sz="4" w:space="0"/>
              <w:left w:val="nil"/>
              <w:bottom w:val="single" w:color="auto" w:sz="4" w:space="0"/>
              <w:right w:val="single" w:color="auto" w:sz="4" w:space="0"/>
            </w:tcBorders>
            <w:vAlign w:val="center"/>
          </w:tcPr>
          <w:p>
            <w:pPr>
              <w:spacing w:line="432" w:lineRule="auto"/>
              <w:jc w:val="center"/>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atLeast"/>
          <w:jc w:val="center"/>
        </w:trPr>
        <w:tc>
          <w:tcPr>
            <w:tcW w:w="925" w:type="dxa"/>
            <w:tcBorders>
              <w:top w:val="single" w:color="auto" w:sz="4" w:space="0"/>
              <w:left w:val="single" w:color="auto" w:sz="4" w:space="0"/>
              <w:bottom w:val="single" w:color="auto" w:sz="4" w:space="0"/>
              <w:right w:val="single" w:color="auto" w:sz="4" w:space="0"/>
            </w:tcBorders>
            <w:vAlign w:val="center"/>
          </w:tcPr>
          <w:p>
            <w:pPr>
              <w:spacing w:line="432" w:lineRule="auto"/>
              <w:jc w:val="center"/>
              <w:rPr>
                <w:rFonts w:ascii="宋体" w:hAnsi="宋体" w:cs="宋体"/>
                <w:sz w:val="24"/>
                <w:szCs w:val="24"/>
              </w:rPr>
            </w:pPr>
          </w:p>
        </w:tc>
        <w:tc>
          <w:tcPr>
            <w:tcW w:w="1635" w:type="dxa"/>
            <w:tcBorders>
              <w:top w:val="single" w:color="auto" w:sz="4" w:space="0"/>
              <w:left w:val="nil"/>
              <w:bottom w:val="single" w:color="auto" w:sz="4" w:space="0"/>
              <w:right w:val="single" w:color="auto" w:sz="4" w:space="0"/>
            </w:tcBorders>
            <w:vAlign w:val="center"/>
          </w:tcPr>
          <w:p>
            <w:pPr>
              <w:spacing w:line="432" w:lineRule="auto"/>
              <w:jc w:val="center"/>
              <w:rPr>
                <w:rFonts w:ascii="宋体" w:hAnsi="宋体" w:cs="宋体"/>
                <w:sz w:val="24"/>
                <w:szCs w:val="24"/>
              </w:rPr>
            </w:pPr>
          </w:p>
        </w:tc>
        <w:tc>
          <w:tcPr>
            <w:tcW w:w="1634" w:type="dxa"/>
            <w:tcBorders>
              <w:top w:val="single" w:color="auto" w:sz="4" w:space="0"/>
              <w:left w:val="nil"/>
              <w:bottom w:val="single" w:color="auto" w:sz="4" w:space="0"/>
              <w:right w:val="single" w:color="auto" w:sz="4" w:space="0"/>
            </w:tcBorders>
            <w:vAlign w:val="center"/>
          </w:tcPr>
          <w:p>
            <w:pPr>
              <w:spacing w:line="432" w:lineRule="auto"/>
              <w:jc w:val="center"/>
              <w:rPr>
                <w:rFonts w:ascii="宋体" w:hAnsi="宋体" w:cs="宋体"/>
                <w:sz w:val="24"/>
                <w:szCs w:val="24"/>
              </w:rPr>
            </w:pPr>
          </w:p>
        </w:tc>
        <w:tc>
          <w:tcPr>
            <w:tcW w:w="1635" w:type="dxa"/>
            <w:tcBorders>
              <w:top w:val="single" w:color="auto" w:sz="4" w:space="0"/>
              <w:left w:val="nil"/>
              <w:bottom w:val="single" w:color="auto" w:sz="4" w:space="0"/>
              <w:right w:val="single" w:color="auto" w:sz="4" w:space="0"/>
            </w:tcBorders>
            <w:vAlign w:val="center"/>
          </w:tcPr>
          <w:p>
            <w:pPr>
              <w:spacing w:line="432" w:lineRule="auto"/>
              <w:jc w:val="center"/>
              <w:rPr>
                <w:rFonts w:ascii="宋体" w:hAnsi="宋体" w:cs="宋体"/>
                <w:sz w:val="24"/>
                <w:szCs w:val="24"/>
              </w:rPr>
            </w:pPr>
          </w:p>
        </w:tc>
        <w:tc>
          <w:tcPr>
            <w:tcW w:w="2180" w:type="dxa"/>
            <w:tcBorders>
              <w:top w:val="single" w:color="auto" w:sz="4" w:space="0"/>
              <w:left w:val="nil"/>
              <w:bottom w:val="single" w:color="auto" w:sz="4" w:space="0"/>
              <w:right w:val="single" w:color="auto" w:sz="4" w:space="0"/>
            </w:tcBorders>
            <w:vAlign w:val="center"/>
          </w:tcPr>
          <w:p>
            <w:pPr>
              <w:spacing w:line="432" w:lineRule="auto"/>
              <w:jc w:val="center"/>
              <w:rPr>
                <w:rFonts w:ascii="宋体" w:hAnsi="宋体" w:cs="宋体"/>
                <w:sz w:val="24"/>
                <w:szCs w:val="24"/>
              </w:rPr>
            </w:pPr>
          </w:p>
        </w:tc>
        <w:tc>
          <w:tcPr>
            <w:tcW w:w="1270" w:type="dxa"/>
            <w:tcBorders>
              <w:top w:val="single" w:color="auto" w:sz="4" w:space="0"/>
              <w:left w:val="nil"/>
              <w:bottom w:val="single" w:color="auto" w:sz="4" w:space="0"/>
              <w:right w:val="single" w:color="auto" w:sz="4" w:space="0"/>
            </w:tcBorders>
            <w:vAlign w:val="center"/>
          </w:tcPr>
          <w:p>
            <w:pPr>
              <w:spacing w:line="432" w:lineRule="auto"/>
              <w:jc w:val="center"/>
              <w:rPr>
                <w:rFonts w:ascii="宋体" w:hAnsi="宋体" w:cs="宋体"/>
                <w:sz w:val="24"/>
                <w:szCs w:val="24"/>
              </w:rPr>
            </w:pPr>
          </w:p>
        </w:tc>
      </w:tr>
    </w:tbl>
    <w:p>
      <w:pPr>
        <w:spacing w:line="580" w:lineRule="exact"/>
        <w:rPr>
          <w:rFonts w:ascii="宋体" w:hAnsi="宋体" w:cs="宋体"/>
          <w:spacing w:val="-4"/>
          <w:sz w:val="24"/>
          <w:szCs w:val="24"/>
        </w:rPr>
      </w:pPr>
      <w:r>
        <w:rPr>
          <w:rFonts w:hint="eastAsia" w:ascii="宋体" w:hAnsi="宋体" w:cs="宋体"/>
          <w:spacing w:val="-4"/>
          <w:sz w:val="24"/>
          <w:szCs w:val="24"/>
        </w:rPr>
        <w:t>供应商：</w:t>
      </w:r>
      <w:r>
        <w:rPr>
          <w:rFonts w:hint="eastAsia" w:ascii="宋体" w:hAnsi="宋体" w:cs="宋体"/>
          <w:spacing w:val="-4"/>
          <w:sz w:val="24"/>
          <w:szCs w:val="24"/>
          <w:u w:val="single"/>
        </w:rPr>
        <w:t xml:space="preserve">                    </w:t>
      </w:r>
      <w:r>
        <w:rPr>
          <w:rFonts w:hint="eastAsia" w:ascii="宋体" w:hAnsi="宋体" w:cs="宋体"/>
          <w:spacing w:val="-4"/>
          <w:sz w:val="24"/>
          <w:szCs w:val="24"/>
        </w:rPr>
        <w:t>（</w:t>
      </w:r>
      <w:r>
        <w:rPr>
          <w:rFonts w:hint="eastAsia" w:ascii="宋体" w:hAnsi="宋体" w:cs="宋体"/>
          <w:sz w:val="24"/>
          <w:szCs w:val="24"/>
        </w:rPr>
        <w:t>电子签章</w:t>
      </w:r>
      <w:r>
        <w:rPr>
          <w:rFonts w:hint="eastAsia" w:ascii="宋体" w:hAnsi="宋体" w:cs="宋体"/>
          <w:spacing w:val="-4"/>
          <w:sz w:val="24"/>
          <w:szCs w:val="24"/>
        </w:rPr>
        <w:t>）</w:t>
      </w:r>
    </w:p>
    <w:p>
      <w:pPr>
        <w:spacing w:line="580" w:lineRule="exact"/>
        <w:rPr>
          <w:rFonts w:ascii="宋体" w:hAnsi="宋体" w:cs="宋体"/>
          <w:spacing w:val="-4"/>
          <w:sz w:val="24"/>
          <w:szCs w:val="24"/>
        </w:rPr>
      </w:pPr>
      <w:r>
        <w:rPr>
          <w:rFonts w:hint="eastAsia" w:ascii="宋体" w:hAnsi="宋体" w:cs="宋体"/>
          <w:spacing w:val="-4"/>
          <w:sz w:val="24"/>
          <w:szCs w:val="24"/>
        </w:rPr>
        <w:t>法定代表人或其委托代理人：</w:t>
      </w:r>
      <w:r>
        <w:rPr>
          <w:rFonts w:hint="eastAsia" w:ascii="宋体" w:hAnsi="宋体" w:cs="宋体"/>
          <w:spacing w:val="-4"/>
          <w:sz w:val="24"/>
          <w:szCs w:val="24"/>
          <w:u w:val="single"/>
        </w:rPr>
        <w:t xml:space="preserve">                    </w:t>
      </w:r>
      <w:r>
        <w:rPr>
          <w:rFonts w:hint="eastAsia" w:ascii="宋体" w:hAnsi="宋体" w:cs="宋体"/>
          <w:spacing w:val="-4"/>
          <w:sz w:val="24"/>
          <w:szCs w:val="24"/>
        </w:rPr>
        <w:t>（签字或盖章）</w:t>
      </w:r>
    </w:p>
    <w:p>
      <w:pPr>
        <w:spacing w:line="580" w:lineRule="exact"/>
        <w:ind w:firstLine="4176" w:firstLineChars="1800"/>
        <w:rPr>
          <w:rFonts w:ascii="宋体" w:hAnsi="宋体" w:cs="宋体"/>
          <w:spacing w:val="-4"/>
          <w:sz w:val="24"/>
          <w:szCs w:val="24"/>
        </w:rPr>
      </w:pPr>
      <w:r>
        <w:rPr>
          <w:rFonts w:hint="eastAsia" w:ascii="宋体" w:hAnsi="宋体" w:cs="宋体"/>
          <w:spacing w:val="-4"/>
          <w:sz w:val="24"/>
          <w:szCs w:val="24"/>
        </w:rPr>
        <w:t xml:space="preserve"> </w:t>
      </w:r>
      <w:r>
        <w:rPr>
          <w:rFonts w:hint="eastAsia" w:ascii="宋体" w:hAnsi="宋体" w:cs="宋体"/>
          <w:u w:val="single" w:color="000000"/>
        </w:rPr>
        <w:t xml:space="preserve">  </w:t>
      </w:r>
      <w:r>
        <w:rPr>
          <w:rFonts w:hint="eastAsia" w:ascii="宋体" w:hAnsi="宋体" w:cs="宋体"/>
          <w:u w:val="single" w:color="000000"/>
        </w:rPr>
        <w:tab/>
      </w:r>
      <w:r>
        <w:rPr>
          <w:rFonts w:hint="eastAsia" w:ascii="宋体" w:hAnsi="宋体" w:cs="宋体"/>
        </w:rPr>
        <w:t>年</w:t>
      </w:r>
      <w:r>
        <w:rPr>
          <w:rFonts w:hint="eastAsia" w:ascii="宋体" w:hAnsi="宋体" w:cs="宋体"/>
          <w:u w:val="single" w:color="000000"/>
        </w:rPr>
        <w:t xml:space="preserve">  </w:t>
      </w:r>
      <w:r>
        <w:rPr>
          <w:rFonts w:hint="eastAsia" w:ascii="宋体" w:hAnsi="宋体" w:cs="宋体"/>
          <w:u w:val="single" w:color="000000"/>
        </w:rPr>
        <w:tab/>
      </w:r>
      <w:r>
        <w:rPr>
          <w:rFonts w:hint="eastAsia" w:ascii="宋体" w:hAnsi="宋体" w:cs="宋体"/>
        </w:rPr>
        <w:t>月</w:t>
      </w:r>
      <w:r>
        <w:rPr>
          <w:rFonts w:hint="eastAsia" w:ascii="宋体" w:hAnsi="宋体" w:cs="宋体"/>
          <w:u w:val="single" w:color="000000"/>
        </w:rPr>
        <w:t xml:space="preserve">  </w:t>
      </w:r>
      <w:r>
        <w:rPr>
          <w:rFonts w:hint="eastAsia" w:ascii="宋体" w:hAnsi="宋体" w:cs="宋体"/>
          <w:u w:val="single" w:color="000000"/>
        </w:rPr>
        <w:tab/>
      </w:r>
      <w:r>
        <w:rPr>
          <w:rFonts w:hint="eastAsia" w:ascii="宋体" w:hAnsi="宋体" w:cs="宋体"/>
        </w:rPr>
        <w:t>日</w:t>
      </w:r>
    </w:p>
    <w:p>
      <w:pPr>
        <w:spacing w:line="432" w:lineRule="auto"/>
        <w:rPr>
          <w:rFonts w:ascii="宋体" w:hAnsi="宋体" w:cs="宋体"/>
          <w:sz w:val="24"/>
          <w:szCs w:val="24"/>
        </w:rPr>
      </w:pPr>
      <w:r>
        <w:rPr>
          <w:rFonts w:hint="eastAsia" w:ascii="宋体" w:hAnsi="宋体" w:cs="宋体"/>
          <w:sz w:val="24"/>
          <w:szCs w:val="24"/>
        </w:rPr>
        <w:t>注：1.响应/偏离内容应根据招标文件中的技术规格条款逐条对应填写。</w:t>
      </w:r>
    </w:p>
    <w:p>
      <w:pPr>
        <w:pStyle w:val="21"/>
        <w:kinsoku w:val="0"/>
        <w:overflowPunct w:val="0"/>
        <w:ind w:firstLine="602"/>
        <w:rPr>
          <w:rFonts w:ascii="宋体" w:hAnsi="宋体" w:cs="宋体"/>
          <w:b/>
          <w:bCs/>
          <w:sz w:val="28"/>
          <w:szCs w:val="28"/>
        </w:rPr>
      </w:pPr>
      <w:r>
        <w:rPr>
          <w:rFonts w:hint="eastAsia" w:ascii="宋体" w:hAnsi="宋体" w:cs="宋体"/>
          <w:b/>
          <w:bCs/>
          <w:sz w:val="28"/>
          <w:szCs w:val="28"/>
        </w:rPr>
        <w:t xml:space="preserve"> </w:t>
      </w:r>
    </w:p>
    <w:p>
      <w:pPr>
        <w:pStyle w:val="21"/>
        <w:kinsoku w:val="0"/>
        <w:overflowPunct w:val="0"/>
        <w:ind w:firstLine="602"/>
        <w:rPr>
          <w:rFonts w:ascii="宋体" w:hAnsi="宋体" w:cs="宋体"/>
          <w:b/>
          <w:bCs/>
          <w:sz w:val="28"/>
          <w:szCs w:val="28"/>
        </w:rPr>
      </w:pPr>
      <w:r>
        <w:rPr>
          <w:rFonts w:hint="eastAsia" w:ascii="宋体" w:hAnsi="宋体" w:cs="宋体"/>
          <w:b/>
          <w:bCs/>
          <w:sz w:val="28"/>
          <w:szCs w:val="28"/>
        </w:rPr>
        <w:t xml:space="preserve"> </w:t>
      </w:r>
    </w:p>
    <w:p>
      <w:pPr>
        <w:pStyle w:val="21"/>
        <w:kinsoku w:val="0"/>
        <w:overflowPunct w:val="0"/>
        <w:ind w:firstLine="602"/>
        <w:rPr>
          <w:rFonts w:ascii="宋体" w:hAnsi="宋体" w:cs="宋体"/>
          <w:b/>
          <w:bCs/>
          <w:sz w:val="28"/>
          <w:szCs w:val="28"/>
        </w:rPr>
      </w:pPr>
      <w:r>
        <w:rPr>
          <w:rFonts w:hint="eastAsia" w:ascii="宋体" w:hAnsi="宋体" w:cs="宋体"/>
          <w:b/>
          <w:bCs/>
          <w:sz w:val="28"/>
          <w:szCs w:val="28"/>
        </w:rPr>
        <w:t xml:space="preserve"> </w:t>
      </w:r>
    </w:p>
    <w:p>
      <w:pPr>
        <w:pStyle w:val="21"/>
        <w:kinsoku w:val="0"/>
        <w:overflowPunct w:val="0"/>
        <w:ind w:firstLine="602"/>
        <w:rPr>
          <w:rFonts w:ascii="宋体" w:hAnsi="宋体" w:cs="宋体"/>
          <w:b/>
          <w:bCs/>
          <w:sz w:val="28"/>
          <w:szCs w:val="28"/>
        </w:rPr>
      </w:pPr>
      <w:r>
        <w:rPr>
          <w:rFonts w:hint="eastAsia" w:ascii="宋体" w:hAnsi="宋体" w:cs="宋体"/>
          <w:b/>
          <w:bCs/>
          <w:sz w:val="28"/>
          <w:szCs w:val="28"/>
        </w:rPr>
        <w:t xml:space="preserve"> </w:t>
      </w:r>
    </w:p>
    <w:p>
      <w:pPr>
        <w:widowControl/>
        <w:jc w:val="left"/>
        <w:rPr>
          <w:rFonts w:ascii="宋体" w:hAnsi="宋体" w:cs="宋体"/>
          <w:b/>
          <w:bCs/>
          <w:kern w:val="0"/>
          <w:sz w:val="32"/>
          <w:szCs w:val="32"/>
        </w:rPr>
      </w:pPr>
    </w:p>
    <w:p>
      <w:pPr>
        <w:pStyle w:val="7"/>
        <w:jc w:val="center"/>
        <w:rPr>
          <w:rFonts w:ascii="宋体" w:hAnsi="宋体" w:cs="宋体"/>
        </w:rPr>
      </w:pPr>
      <w:r>
        <w:rPr>
          <w:rFonts w:hint="eastAsia" w:ascii="宋体" w:hAnsi="宋体" w:cs="宋体"/>
        </w:rPr>
        <w:t>六、资格审查资料</w:t>
      </w:r>
    </w:p>
    <w:p>
      <w:pPr>
        <w:pStyle w:val="8"/>
        <w:jc w:val="center"/>
        <w:rPr>
          <w:rFonts w:ascii="宋体" w:hAnsi="宋体" w:cs="宋体"/>
        </w:rPr>
      </w:pPr>
      <w:r>
        <w:rPr>
          <w:rFonts w:hint="eastAsia" w:ascii="宋体" w:hAnsi="宋体" w:cs="宋体"/>
        </w:rPr>
        <w:t xml:space="preserve"> 1、企业基本信息表</w:t>
      </w:r>
    </w:p>
    <w:p>
      <w:pPr>
        <w:pStyle w:val="21"/>
        <w:kinsoku w:val="0"/>
        <w:overflowPunct w:val="0"/>
        <w:spacing w:before="3" w:beforeAutospacing="0" w:after="1"/>
        <w:ind w:firstLine="241"/>
        <w:rPr>
          <w:rFonts w:ascii="宋体" w:hAnsi="宋体" w:cs="宋体"/>
          <w:b/>
          <w:bCs/>
          <w:sz w:val="10"/>
          <w:szCs w:val="10"/>
        </w:rPr>
      </w:pPr>
      <w:r>
        <w:rPr>
          <w:rFonts w:hint="eastAsia" w:ascii="宋体" w:hAnsi="宋体" w:cs="宋体"/>
          <w:b/>
          <w:bCs/>
          <w:sz w:val="10"/>
          <w:szCs w:val="10"/>
        </w:rPr>
        <w:t xml:space="preserve"> </w:t>
      </w:r>
    </w:p>
    <w:tbl>
      <w:tblPr>
        <w:tblStyle w:val="46"/>
        <w:tblW w:w="0" w:type="auto"/>
        <w:tblInd w:w="479" w:type="dxa"/>
        <w:tblLayout w:type="fixed"/>
        <w:tblCellMar>
          <w:top w:w="0" w:type="dxa"/>
          <w:left w:w="0" w:type="dxa"/>
          <w:bottom w:w="0" w:type="dxa"/>
          <w:right w:w="0" w:type="dxa"/>
        </w:tblCellMar>
      </w:tblPr>
      <w:tblGrid>
        <w:gridCol w:w="2185"/>
        <w:gridCol w:w="6939"/>
      </w:tblGrid>
      <w:tr>
        <w:tblPrEx>
          <w:tblCellMar>
            <w:top w:w="0" w:type="dxa"/>
            <w:left w:w="0" w:type="dxa"/>
            <w:bottom w:w="0" w:type="dxa"/>
            <w:right w:w="0" w:type="dxa"/>
          </w:tblCellMar>
        </w:tblPrEx>
        <w:trPr>
          <w:trHeight w:val="800" w:hRule="atLeast"/>
        </w:trPr>
        <w:tc>
          <w:tcPr>
            <w:tcW w:w="2185" w:type="dxa"/>
            <w:tcBorders>
              <w:top w:val="single" w:color="000000" w:sz="4" w:space="0"/>
              <w:left w:val="single" w:color="000000" w:sz="4" w:space="0"/>
              <w:bottom w:val="single" w:color="000000" w:sz="4" w:space="0"/>
              <w:right w:val="single" w:color="000000" w:sz="4" w:space="0"/>
            </w:tcBorders>
            <w:vAlign w:val="center"/>
          </w:tcPr>
          <w:p>
            <w:pPr>
              <w:pStyle w:val="66"/>
              <w:kinsoku w:val="0"/>
              <w:overflowPunct w:val="0"/>
              <w:spacing w:before="1"/>
              <w:ind w:left="112" w:right="102"/>
              <w:jc w:val="center"/>
              <w:rPr>
                <w:rFonts w:hAnsi="宋体"/>
              </w:rPr>
            </w:pPr>
            <w:r>
              <w:rPr>
                <w:rFonts w:hint="eastAsia" w:hAnsi="宋体"/>
              </w:rPr>
              <w:t>供应商名称</w:t>
            </w:r>
          </w:p>
        </w:tc>
        <w:tc>
          <w:tcPr>
            <w:tcW w:w="6939" w:type="dxa"/>
            <w:tcBorders>
              <w:top w:val="single" w:color="000000" w:sz="4" w:space="0"/>
              <w:left w:val="nil"/>
              <w:bottom w:val="single" w:color="000000" w:sz="4" w:space="0"/>
              <w:right w:val="single" w:color="000000" w:sz="4" w:space="0"/>
            </w:tcBorders>
            <w:vAlign w:val="center"/>
          </w:tcPr>
          <w:p>
            <w:pPr>
              <w:pStyle w:val="66"/>
              <w:kinsoku w:val="0"/>
              <w:overflowPunct w:val="0"/>
              <w:jc w:val="center"/>
              <w:rPr>
                <w:rFonts w:hAnsi="宋体"/>
              </w:rPr>
            </w:pPr>
          </w:p>
        </w:tc>
      </w:tr>
      <w:tr>
        <w:tblPrEx>
          <w:tblCellMar>
            <w:top w:w="0" w:type="dxa"/>
            <w:left w:w="0" w:type="dxa"/>
            <w:bottom w:w="0" w:type="dxa"/>
            <w:right w:w="0" w:type="dxa"/>
          </w:tblCellMar>
        </w:tblPrEx>
        <w:trPr>
          <w:trHeight w:val="990" w:hRule="atLeast"/>
        </w:trPr>
        <w:tc>
          <w:tcPr>
            <w:tcW w:w="2185" w:type="dxa"/>
            <w:tcBorders>
              <w:top w:val="single" w:color="000000" w:sz="4" w:space="0"/>
              <w:left w:val="single" w:color="000000" w:sz="4" w:space="0"/>
              <w:bottom w:val="single" w:color="000000" w:sz="4" w:space="0"/>
              <w:right w:val="single" w:color="000000" w:sz="4" w:space="0"/>
            </w:tcBorders>
            <w:vAlign w:val="center"/>
          </w:tcPr>
          <w:p>
            <w:pPr>
              <w:pStyle w:val="66"/>
              <w:kinsoku w:val="0"/>
              <w:overflowPunct w:val="0"/>
              <w:ind w:left="112" w:right="102"/>
              <w:jc w:val="center"/>
              <w:rPr>
                <w:rFonts w:hAnsi="宋体"/>
              </w:rPr>
            </w:pPr>
            <w:r>
              <w:rPr>
                <w:rFonts w:hint="eastAsia" w:hAnsi="宋体"/>
              </w:rPr>
              <w:t>详细住所</w:t>
            </w:r>
          </w:p>
        </w:tc>
        <w:tc>
          <w:tcPr>
            <w:tcW w:w="6939" w:type="dxa"/>
            <w:tcBorders>
              <w:top w:val="single" w:color="000000" w:sz="4" w:space="0"/>
              <w:left w:val="nil"/>
              <w:bottom w:val="single" w:color="000000" w:sz="4" w:space="0"/>
              <w:right w:val="single" w:color="000000" w:sz="4" w:space="0"/>
            </w:tcBorders>
            <w:vAlign w:val="center"/>
          </w:tcPr>
          <w:p>
            <w:pPr>
              <w:pStyle w:val="66"/>
              <w:kinsoku w:val="0"/>
              <w:overflowPunct w:val="0"/>
              <w:jc w:val="center"/>
              <w:rPr>
                <w:rFonts w:hAnsi="宋体"/>
              </w:rPr>
            </w:pPr>
          </w:p>
        </w:tc>
      </w:tr>
      <w:tr>
        <w:tblPrEx>
          <w:tblCellMar>
            <w:top w:w="0" w:type="dxa"/>
            <w:left w:w="0" w:type="dxa"/>
            <w:bottom w:w="0" w:type="dxa"/>
            <w:right w:w="0" w:type="dxa"/>
          </w:tblCellMar>
        </w:tblPrEx>
        <w:trPr>
          <w:trHeight w:val="991" w:hRule="atLeast"/>
        </w:trPr>
        <w:tc>
          <w:tcPr>
            <w:tcW w:w="2185" w:type="dxa"/>
            <w:tcBorders>
              <w:top w:val="single" w:color="000000" w:sz="4" w:space="0"/>
              <w:left w:val="single" w:color="000000" w:sz="4" w:space="0"/>
              <w:bottom w:val="single" w:color="000000" w:sz="4" w:space="0"/>
              <w:right w:val="single" w:color="000000" w:sz="4" w:space="0"/>
            </w:tcBorders>
            <w:vAlign w:val="center"/>
          </w:tcPr>
          <w:p>
            <w:pPr>
              <w:pStyle w:val="66"/>
              <w:kinsoku w:val="0"/>
              <w:overflowPunct w:val="0"/>
              <w:spacing w:before="1"/>
              <w:ind w:left="112" w:right="102"/>
              <w:jc w:val="center"/>
              <w:rPr>
                <w:rFonts w:hAnsi="宋体"/>
              </w:rPr>
            </w:pPr>
            <w:r>
              <w:rPr>
                <w:rFonts w:hint="eastAsia" w:hAnsi="宋体"/>
              </w:rPr>
              <w:t>企业类型</w:t>
            </w:r>
          </w:p>
        </w:tc>
        <w:tc>
          <w:tcPr>
            <w:tcW w:w="6939" w:type="dxa"/>
            <w:tcBorders>
              <w:top w:val="single" w:color="000000" w:sz="4" w:space="0"/>
              <w:left w:val="nil"/>
              <w:bottom w:val="single" w:color="000000" w:sz="4" w:space="0"/>
              <w:right w:val="single" w:color="000000" w:sz="4" w:space="0"/>
            </w:tcBorders>
            <w:vAlign w:val="center"/>
          </w:tcPr>
          <w:p>
            <w:pPr>
              <w:pStyle w:val="66"/>
              <w:kinsoku w:val="0"/>
              <w:overflowPunct w:val="0"/>
              <w:jc w:val="center"/>
              <w:rPr>
                <w:rFonts w:hAnsi="宋体"/>
              </w:rPr>
            </w:pPr>
          </w:p>
        </w:tc>
      </w:tr>
      <w:tr>
        <w:tblPrEx>
          <w:tblCellMar>
            <w:top w:w="0" w:type="dxa"/>
            <w:left w:w="0" w:type="dxa"/>
            <w:bottom w:w="0" w:type="dxa"/>
            <w:right w:w="0" w:type="dxa"/>
          </w:tblCellMar>
        </w:tblPrEx>
        <w:trPr>
          <w:trHeight w:val="990" w:hRule="atLeast"/>
        </w:trPr>
        <w:tc>
          <w:tcPr>
            <w:tcW w:w="2185" w:type="dxa"/>
            <w:tcBorders>
              <w:top w:val="single" w:color="000000" w:sz="4" w:space="0"/>
              <w:left w:val="single" w:color="000000" w:sz="4" w:space="0"/>
              <w:bottom w:val="single" w:color="000000" w:sz="4" w:space="0"/>
              <w:right w:val="single" w:color="000000" w:sz="4" w:space="0"/>
            </w:tcBorders>
            <w:vAlign w:val="center"/>
          </w:tcPr>
          <w:p>
            <w:pPr>
              <w:pStyle w:val="66"/>
              <w:kinsoku w:val="0"/>
              <w:overflowPunct w:val="0"/>
              <w:ind w:left="112" w:right="102"/>
              <w:jc w:val="center"/>
              <w:rPr>
                <w:rFonts w:hAnsi="宋体"/>
              </w:rPr>
            </w:pPr>
            <w:r>
              <w:rPr>
                <w:rFonts w:hint="eastAsia" w:hAnsi="宋体"/>
              </w:rPr>
              <w:t>营业期限</w:t>
            </w:r>
          </w:p>
        </w:tc>
        <w:tc>
          <w:tcPr>
            <w:tcW w:w="6939" w:type="dxa"/>
            <w:tcBorders>
              <w:top w:val="single" w:color="000000" w:sz="4" w:space="0"/>
              <w:left w:val="nil"/>
              <w:bottom w:val="single" w:color="000000" w:sz="4" w:space="0"/>
              <w:right w:val="single" w:color="000000" w:sz="4" w:space="0"/>
            </w:tcBorders>
            <w:vAlign w:val="center"/>
          </w:tcPr>
          <w:p>
            <w:pPr>
              <w:pStyle w:val="66"/>
              <w:kinsoku w:val="0"/>
              <w:overflowPunct w:val="0"/>
              <w:jc w:val="center"/>
              <w:rPr>
                <w:rFonts w:hAnsi="宋体"/>
              </w:rPr>
            </w:pPr>
          </w:p>
        </w:tc>
      </w:tr>
      <w:tr>
        <w:tblPrEx>
          <w:tblCellMar>
            <w:top w:w="0" w:type="dxa"/>
            <w:left w:w="0" w:type="dxa"/>
            <w:bottom w:w="0" w:type="dxa"/>
            <w:right w:w="0" w:type="dxa"/>
          </w:tblCellMar>
        </w:tblPrEx>
        <w:trPr>
          <w:trHeight w:val="786" w:hRule="atLeast"/>
        </w:trPr>
        <w:tc>
          <w:tcPr>
            <w:tcW w:w="2185" w:type="dxa"/>
            <w:tcBorders>
              <w:top w:val="single" w:color="000000" w:sz="4" w:space="0"/>
              <w:left w:val="single" w:color="000000" w:sz="4" w:space="0"/>
              <w:bottom w:val="single" w:color="000000" w:sz="4" w:space="0"/>
              <w:right w:val="single" w:color="000000" w:sz="4" w:space="0"/>
            </w:tcBorders>
            <w:vAlign w:val="center"/>
          </w:tcPr>
          <w:p>
            <w:pPr>
              <w:pStyle w:val="66"/>
              <w:kinsoku w:val="0"/>
              <w:overflowPunct w:val="0"/>
              <w:ind w:left="112" w:right="102"/>
              <w:jc w:val="center"/>
              <w:rPr>
                <w:rFonts w:hAnsi="宋体"/>
              </w:rPr>
            </w:pPr>
            <w:r>
              <w:rPr>
                <w:rFonts w:hint="eastAsia" w:hAnsi="宋体"/>
              </w:rPr>
              <w:t>法定代表人</w:t>
            </w:r>
          </w:p>
        </w:tc>
        <w:tc>
          <w:tcPr>
            <w:tcW w:w="6939" w:type="dxa"/>
            <w:tcBorders>
              <w:top w:val="single" w:color="000000" w:sz="4" w:space="0"/>
              <w:left w:val="nil"/>
              <w:bottom w:val="single" w:color="000000" w:sz="4" w:space="0"/>
              <w:right w:val="single" w:color="000000" w:sz="4" w:space="0"/>
            </w:tcBorders>
            <w:vAlign w:val="center"/>
          </w:tcPr>
          <w:p>
            <w:pPr>
              <w:pStyle w:val="66"/>
              <w:kinsoku w:val="0"/>
              <w:overflowPunct w:val="0"/>
              <w:jc w:val="center"/>
              <w:rPr>
                <w:rFonts w:hAnsi="宋体"/>
              </w:rPr>
            </w:pPr>
          </w:p>
        </w:tc>
      </w:tr>
      <w:tr>
        <w:tblPrEx>
          <w:tblCellMar>
            <w:top w:w="0" w:type="dxa"/>
            <w:left w:w="0" w:type="dxa"/>
            <w:bottom w:w="0" w:type="dxa"/>
            <w:right w:w="0" w:type="dxa"/>
          </w:tblCellMar>
        </w:tblPrEx>
        <w:trPr>
          <w:trHeight w:val="905" w:hRule="atLeast"/>
        </w:trPr>
        <w:tc>
          <w:tcPr>
            <w:tcW w:w="2185" w:type="dxa"/>
            <w:tcBorders>
              <w:top w:val="single" w:color="000000" w:sz="4" w:space="0"/>
              <w:left w:val="single" w:color="000000" w:sz="4" w:space="0"/>
              <w:bottom w:val="single" w:color="000000" w:sz="4" w:space="0"/>
              <w:right w:val="single" w:color="000000" w:sz="4" w:space="0"/>
            </w:tcBorders>
            <w:vAlign w:val="center"/>
          </w:tcPr>
          <w:p>
            <w:pPr>
              <w:pStyle w:val="66"/>
              <w:kinsoku w:val="0"/>
              <w:overflowPunct w:val="0"/>
              <w:ind w:left="112" w:right="102"/>
              <w:jc w:val="center"/>
              <w:rPr>
                <w:rFonts w:hAnsi="宋体"/>
              </w:rPr>
            </w:pPr>
            <w:r>
              <w:rPr>
                <w:rFonts w:hint="eastAsia" w:hAnsi="宋体"/>
              </w:rPr>
              <w:t>传真或邮箱</w:t>
            </w:r>
          </w:p>
        </w:tc>
        <w:tc>
          <w:tcPr>
            <w:tcW w:w="6939" w:type="dxa"/>
            <w:tcBorders>
              <w:top w:val="single" w:color="000000" w:sz="4" w:space="0"/>
              <w:left w:val="nil"/>
              <w:bottom w:val="single" w:color="000000" w:sz="4" w:space="0"/>
              <w:right w:val="single" w:color="000000" w:sz="4" w:space="0"/>
            </w:tcBorders>
            <w:vAlign w:val="center"/>
          </w:tcPr>
          <w:p>
            <w:pPr>
              <w:pStyle w:val="66"/>
              <w:kinsoku w:val="0"/>
              <w:overflowPunct w:val="0"/>
              <w:jc w:val="center"/>
              <w:rPr>
                <w:rFonts w:hAnsi="宋体"/>
              </w:rPr>
            </w:pPr>
          </w:p>
        </w:tc>
      </w:tr>
      <w:tr>
        <w:tblPrEx>
          <w:tblCellMar>
            <w:top w:w="0" w:type="dxa"/>
            <w:left w:w="0" w:type="dxa"/>
            <w:bottom w:w="0" w:type="dxa"/>
            <w:right w:w="0" w:type="dxa"/>
          </w:tblCellMar>
        </w:tblPrEx>
        <w:trPr>
          <w:trHeight w:val="1095" w:hRule="atLeast"/>
        </w:trPr>
        <w:tc>
          <w:tcPr>
            <w:tcW w:w="2185" w:type="dxa"/>
            <w:tcBorders>
              <w:top w:val="single" w:color="000000" w:sz="4" w:space="0"/>
              <w:left w:val="single" w:color="000000" w:sz="4" w:space="0"/>
              <w:bottom w:val="single" w:color="000000" w:sz="4" w:space="0"/>
              <w:right w:val="single" w:color="000000" w:sz="4" w:space="0"/>
            </w:tcBorders>
            <w:vAlign w:val="center"/>
          </w:tcPr>
          <w:p>
            <w:pPr>
              <w:pStyle w:val="66"/>
              <w:kinsoku w:val="0"/>
              <w:overflowPunct w:val="0"/>
              <w:ind w:left="112" w:right="102"/>
              <w:jc w:val="center"/>
              <w:rPr>
                <w:rFonts w:hAnsi="宋体"/>
              </w:rPr>
            </w:pPr>
            <w:r>
              <w:rPr>
                <w:rFonts w:hint="eastAsia" w:hAnsi="宋体"/>
              </w:rPr>
              <w:t>企业联系人及电话</w:t>
            </w:r>
          </w:p>
        </w:tc>
        <w:tc>
          <w:tcPr>
            <w:tcW w:w="6939" w:type="dxa"/>
            <w:tcBorders>
              <w:top w:val="single" w:color="000000" w:sz="4" w:space="0"/>
              <w:left w:val="nil"/>
              <w:bottom w:val="single" w:color="000000" w:sz="4" w:space="0"/>
              <w:right w:val="single" w:color="000000" w:sz="4" w:space="0"/>
            </w:tcBorders>
            <w:vAlign w:val="center"/>
          </w:tcPr>
          <w:p>
            <w:pPr>
              <w:pStyle w:val="66"/>
              <w:kinsoku w:val="0"/>
              <w:overflowPunct w:val="0"/>
              <w:jc w:val="center"/>
              <w:rPr>
                <w:rFonts w:hAnsi="宋体"/>
              </w:rPr>
            </w:pPr>
          </w:p>
        </w:tc>
      </w:tr>
    </w:tbl>
    <w:p>
      <w:pPr>
        <w:pStyle w:val="21"/>
        <w:kinsoku w:val="0"/>
        <w:overflowPunct w:val="0"/>
        <w:spacing w:before="80" w:beforeAutospacing="0"/>
        <w:ind w:left="398" w:firstLine="640"/>
        <w:rPr>
          <w:rFonts w:ascii="宋体" w:hAnsi="宋体" w:cs="宋体"/>
        </w:rPr>
      </w:pPr>
      <w:r>
        <w:rPr>
          <w:rFonts w:hint="eastAsia" w:ascii="宋体" w:hAnsi="宋体" w:cs="宋体"/>
        </w:rPr>
        <w:t>注：后附营业执照等有关资格审查材料</w:t>
      </w:r>
    </w:p>
    <w:p>
      <w:pPr>
        <w:pStyle w:val="21"/>
        <w:kinsoku w:val="0"/>
        <w:overflowPunct w:val="0"/>
        <w:spacing w:before="4" w:beforeAutospacing="0"/>
        <w:ind w:firstLine="460"/>
        <w:rPr>
          <w:rFonts w:ascii="宋体" w:hAnsi="宋体" w:cs="宋体"/>
          <w:sz w:val="21"/>
          <w:szCs w:val="21"/>
        </w:rPr>
      </w:pPr>
      <w:r>
        <w:rPr>
          <w:rFonts w:hint="eastAsia" w:ascii="宋体" w:hAnsi="宋体" w:cs="宋体"/>
          <w:sz w:val="21"/>
          <w:szCs w:val="21"/>
        </w:rPr>
        <w:t xml:space="preserve"> </w:t>
      </w:r>
    </w:p>
    <w:p>
      <w:pPr>
        <w:pStyle w:val="21"/>
        <w:kinsoku w:val="0"/>
        <w:overflowPunct w:val="0"/>
        <w:spacing w:before="74" w:beforeAutospacing="0" w:line="420" w:lineRule="auto"/>
        <w:ind w:left="3708" w:right="637" w:firstLine="640"/>
        <w:rPr>
          <w:rFonts w:ascii="宋体" w:hAnsi="宋体" w:cs="宋体"/>
        </w:rPr>
      </w:pPr>
      <w:r>
        <w:rPr>
          <w:rFonts w:hint="eastAsia" w:ascii="宋体" w:hAnsi="宋体" w:cs="宋体"/>
        </w:rPr>
        <w:t>供应商：</w:t>
      </w:r>
      <w:r>
        <w:rPr>
          <w:rFonts w:hint="eastAsia" w:ascii="宋体" w:hAnsi="宋体" w:cs="宋体"/>
          <w:u w:val="single" w:color="000000"/>
        </w:rPr>
        <w:t xml:space="preserve"> </w:t>
      </w:r>
      <w:r>
        <w:rPr>
          <w:rFonts w:hint="eastAsia" w:ascii="宋体" w:hAnsi="宋体" w:cs="宋体"/>
          <w:u w:val="single" w:color="000000"/>
        </w:rPr>
        <w:tab/>
      </w:r>
      <w:r>
        <w:rPr>
          <w:rFonts w:hint="eastAsia" w:ascii="宋体" w:hAnsi="宋体" w:cs="宋体"/>
          <w:u w:val="single" w:color="000000"/>
        </w:rPr>
        <w:tab/>
      </w:r>
      <w:r>
        <w:rPr>
          <w:rFonts w:hint="eastAsia" w:ascii="宋体" w:hAnsi="宋体" w:cs="宋体"/>
          <w:u w:val="single" w:color="000000"/>
        </w:rPr>
        <w:tab/>
      </w:r>
      <w:r>
        <w:rPr>
          <w:rFonts w:hint="eastAsia" w:ascii="宋体" w:hAnsi="宋体" w:cs="宋体"/>
          <w:u w:val="single" w:color="000000"/>
        </w:rPr>
        <w:tab/>
      </w:r>
      <w:r>
        <w:rPr>
          <w:rFonts w:hint="eastAsia" w:ascii="宋体" w:hAnsi="宋体" w:cs="宋体"/>
        </w:rPr>
        <w:t xml:space="preserve">（电子签章） </w:t>
      </w:r>
    </w:p>
    <w:p>
      <w:pPr>
        <w:pStyle w:val="21"/>
        <w:kinsoku w:val="0"/>
        <w:overflowPunct w:val="0"/>
        <w:spacing w:before="74" w:beforeAutospacing="0" w:line="420" w:lineRule="auto"/>
        <w:ind w:left="3708" w:right="637"/>
        <w:rPr>
          <w:rFonts w:ascii="宋体" w:hAnsi="宋体" w:cs="宋体"/>
        </w:rPr>
      </w:pPr>
      <w:r>
        <w:rPr>
          <w:rFonts w:hint="eastAsia" w:ascii="宋体" w:hAnsi="宋体" w:cs="宋体"/>
        </w:rPr>
        <w:t>法定代表人或其委托代理人：</w:t>
      </w:r>
      <w:r>
        <w:rPr>
          <w:rFonts w:hint="eastAsia" w:ascii="宋体" w:hAnsi="宋体" w:cs="宋体"/>
          <w:u w:val="single" w:color="000000"/>
        </w:rPr>
        <w:t xml:space="preserve"> </w:t>
      </w:r>
      <w:r>
        <w:rPr>
          <w:rFonts w:hint="eastAsia" w:ascii="宋体" w:hAnsi="宋体" w:cs="宋体"/>
          <w:u w:val="single" w:color="000000"/>
        </w:rPr>
        <w:tab/>
      </w:r>
      <w:r>
        <w:rPr>
          <w:rFonts w:hint="eastAsia" w:ascii="宋体" w:hAnsi="宋体" w:cs="宋体"/>
          <w:u w:val="single" w:color="000000"/>
        </w:rPr>
        <w:tab/>
      </w:r>
      <w:r>
        <w:rPr>
          <w:rFonts w:hint="eastAsia" w:ascii="宋体" w:hAnsi="宋体" w:cs="宋体"/>
          <w:u w:val="single" w:color="000000"/>
        </w:rPr>
        <w:tab/>
      </w:r>
      <w:r>
        <w:rPr>
          <w:rFonts w:hint="eastAsia" w:ascii="宋体" w:hAnsi="宋体" w:cs="宋体"/>
        </w:rPr>
        <w:t xml:space="preserve">（签字） </w:t>
      </w:r>
    </w:p>
    <w:p>
      <w:pPr>
        <w:pStyle w:val="21"/>
        <w:kinsoku w:val="0"/>
        <w:overflowPunct w:val="0"/>
        <w:spacing w:before="74" w:beforeAutospacing="0" w:line="420" w:lineRule="auto"/>
        <w:ind w:left="3708" w:right="637" w:firstLine="640"/>
        <w:rPr>
          <w:rFonts w:ascii="宋体" w:hAnsi="宋体" w:cs="宋体"/>
        </w:rPr>
      </w:pPr>
      <w:r>
        <w:rPr>
          <w:rFonts w:hint="eastAsia" w:ascii="宋体" w:hAnsi="宋体" w:cs="宋体"/>
        </w:rPr>
        <w:t>日</w:t>
      </w:r>
      <w:r>
        <w:rPr>
          <w:rFonts w:hint="eastAsia" w:ascii="宋体" w:hAnsi="宋体" w:cs="宋体"/>
        </w:rPr>
        <w:tab/>
      </w:r>
      <w:r>
        <w:rPr>
          <w:rFonts w:hint="eastAsia" w:ascii="宋体" w:hAnsi="宋体" w:cs="宋体"/>
        </w:rPr>
        <w:t>期：</w:t>
      </w:r>
      <w:r>
        <w:rPr>
          <w:rFonts w:hint="eastAsia" w:ascii="宋体" w:hAnsi="宋体" w:cs="宋体"/>
          <w:u w:val="single" w:color="000000"/>
        </w:rPr>
        <w:t xml:space="preserve"> </w:t>
      </w:r>
      <w:r>
        <w:rPr>
          <w:rFonts w:hint="eastAsia" w:ascii="宋体" w:hAnsi="宋体" w:cs="宋体"/>
          <w:u w:val="single" w:color="000000"/>
        </w:rPr>
        <w:tab/>
      </w:r>
      <w:r>
        <w:rPr>
          <w:rFonts w:hint="eastAsia" w:ascii="宋体" w:hAnsi="宋体" w:cs="宋体"/>
        </w:rPr>
        <w:t>年</w:t>
      </w:r>
      <w:r>
        <w:rPr>
          <w:rFonts w:hint="eastAsia" w:ascii="宋体" w:hAnsi="宋体" w:cs="宋体"/>
          <w:u w:val="single" w:color="000000"/>
        </w:rPr>
        <w:t xml:space="preserve"> </w:t>
      </w:r>
      <w:r>
        <w:rPr>
          <w:rFonts w:hint="eastAsia" w:ascii="宋体" w:hAnsi="宋体" w:cs="宋体"/>
          <w:u w:val="single" w:color="000000"/>
        </w:rPr>
        <w:tab/>
      </w:r>
      <w:r>
        <w:rPr>
          <w:rFonts w:hint="eastAsia" w:ascii="宋体" w:hAnsi="宋体" w:cs="宋体"/>
        </w:rPr>
        <w:t>月</w:t>
      </w:r>
      <w:r>
        <w:rPr>
          <w:rFonts w:hint="eastAsia" w:ascii="宋体" w:hAnsi="宋体" w:cs="宋体"/>
          <w:u w:val="single" w:color="000000"/>
        </w:rPr>
        <w:t xml:space="preserve"> </w:t>
      </w:r>
      <w:r>
        <w:rPr>
          <w:rFonts w:hint="eastAsia" w:ascii="宋体" w:hAnsi="宋体" w:cs="宋体"/>
          <w:u w:val="single" w:color="000000"/>
        </w:rPr>
        <w:tab/>
      </w:r>
      <w:r>
        <w:rPr>
          <w:rFonts w:hint="eastAsia" w:ascii="宋体" w:hAnsi="宋体" w:cs="宋体"/>
        </w:rPr>
        <w:t>日</w:t>
      </w:r>
    </w:p>
    <w:p>
      <w:pPr>
        <w:pStyle w:val="21"/>
        <w:kinsoku w:val="0"/>
        <w:overflowPunct w:val="0"/>
        <w:spacing w:before="74" w:beforeAutospacing="0" w:line="420" w:lineRule="auto"/>
        <w:ind w:left="3708" w:right="637" w:firstLine="640"/>
        <w:rPr>
          <w:rFonts w:ascii="宋体" w:hAnsi="宋体" w:cs="宋体"/>
        </w:rPr>
      </w:pPr>
      <w:r>
        <w:rPr>
          <w:rFonts w:hint="eastAsia" w:ascii="宋体" w:hAnsi="宋体" w:cs="宋体"/>
        </w:rPr>
        <w:t xml:space="preserve"> </w:t>
      </w:r>
    </w:p>
    <w:p>
      <w:pPr>
        <w:pStyle w:val="21"/>
        <w:kinsoku w:val="0"/>
        <w:overflowPunct w:val="0"/>
        <w:spacing w:before="74" w:beforeAutospacing="0" w:line="420" w:lineRule="auto"/>
        <w:ind w:left="3708" w:right="637" w:firstLine="640"/>
        <w:rPr>
          <w:rFonts w:ascii="宋体" w:hAnsi="宋体" w:cs="宋体"/>
        </w:rPr>
      </w:pPr>
      <w:r>
        <w:rPr>
          <w:rFonts w:hint="eastAsia" w:ascii="宋体" w:hAnsi="宋体" w:cs="宋体"/>
        </w:rPr>
        <w:t xml:space="preserve"> </w:t>
      </w:r>
    </w:p>
    <w:p>
      <w:pPr>
        <w:pStyle w:val="21"/>
        <w:kinsoku w:val="0"/>
        <w:overflowPunct w:val="0"/>
        <w:spacing w:before="74" w:beforeAutospacing="0" w:line="420" w:lineRule="auto"/>
        <w:ind w:right="636" w:rightChars="303" w:firstLine="640"/>
        <w:rPr>
          <w:rFonts w:ascii="宋体" w:hAnsi="宋体" w:cs="宋体"/>
        </w:rPr>
      </w:pPr>
      <w:r>
        <w:rPr>
          <w:rFonts w:hint="eastAsia" w:ascii="宋体" w:hAnsi="宋体" w:cs="宋体"/>
        </w:rPr>
        <w:t xml:space="preserve"> </w:t>
      </w:r>
    </w:p>
    <w:p>
      <w:pPr>
        <w:pStyle w:val="21"/>
        <w:kinsoku w:val="0"/>
        <w:overflowPunct w:val="0"/>
        <w:spacing w:before="74" w:beforeAutospacing="0" w:line="420" w:lineRule="auto"/>
        <w:ind w:left="3708" w:right="637" w:firstLine="640"/>
        <w:jc w:val="left"/>
        <w:rPr>
          <w:rFonts w:ascii="宋体" w:hAnsi="宋体" w:cs="宋体"/>
        </w:rPr>
      </w:pPr>
      <w:r>
        <w:rPr>
          <w:rFonts w:hint="eastAsia" w:ascii="宋体" w:hAnsi="宋体" w:cs="宋体"/>
        </w:rPr>
        <w:t xml:space="preserve"> </w:t>
      </w:r>
    </w:p>
    <w:p>
      <w:pPr>
        <w:pStyle w:val="8"/>
        <w:jc w:val="center"/>
        <w:rPr>
          <w:rFonts w:ascii="宋体" w:hAnsi="宋体" w:cs="宋体"/>
        </w:rPr>
      </w:pPr>
      <w:r>
        <w:rPr>
          <w:rFonts w:hint="eastAsia" w:ascii="宋体" w:hAnsi="宋体" w:cs="宋体"/>
        </w:rPr>
        <w:t>2、资料审查要求</w:t>
      </w:r>
    </w:p>
    <w:p>
      <w:pPr>
        <w:pStyle w:val="21"/>
        <w:kinsoku w:val="0"/>
        <w:overflowPunct w:val="0"/>
        <w:spacing w:before="74" w:beforeAutospacing="0" w:line="420" w:lineRule="auto"/>
        <w:ind w:left="3708" w:right="637" w:firstLine="640"/>
        <w:jc w:val="left"/>
        <w:rPr>
          <w:rFonts w:ascii="宋体" w:hAnsi="宋体" w:cs="宋体"/>
        </w:rPr>
      </w:pPr>
    </w:p>
    <w:p>
      <w:pPr>
        <w:pStyle w:val="21"/>
        <w:kinsoku w:val="0"/>
        <w:overflowPunct w:val="0"/>
        <w:spacing w:before="74" w:beforeAutospacing="0" w:line="420" w:lineRule="auto"/>
        <w:ind w:left="3708" w:right="637" w:firstLine="640"/>
        <w:jc w:val="left"/>
        <w:rPr>
          <w:rFonts w:ascii="宋体" w:hAnsi="宋体" w:cs="宋体"/>
        </w:rPr>
      </w:pPr>
    </w:p>
    <w:p>
      <w:pPr>
        <w:pStyle w:val="21"/>
        <w:kinsoku w:val="0"/>
        <w:overflowPunct w:val="0"/>
        <w:spacing w:before="74" w:beforeAutospacing="0" w:line="420" w:lineRule="auto"/>
        <w:ind w:left="3708" w:right="637" w:firstLine="640"/>
        <w:jc w:val="left"/>
        <w:rPr>
          <w:rFonts w:ascii="宋体" w:hAnsi="宋体" w:cs="宋体"/>
        </w:rPr>
      </w:pPr>
    </w:p>
    <w:p>
      <w:pPr>
        <w:pStyle w:val="21"/>
        <w:kinsoku w:val="0"/>
        <w:overflowPunct w:val="0"/>
        <w:spacing w:before="74" w:beforeAutospacing="0" w:line="420" w:lineRule="auto"/>
        <w:ind w:left="3708" w:right="637" w:firstLine="640"/>
        <w:jc w:val="left"/>
        <w:rPr>
          <w:rFonts w:ascii="宋体" w:hAnsi="宋体" w:cs="宋体"/>
        </w:rPr>
      </w:pPr>
    </w:p>
    <w:p>
      <w:pPr>
        <w:pStyle w:val="21"/>
        <w:kinsoku w:val="0"/>
        <w:overflowPunct w:val="0"/>
        <w:spacing w:before="74" w:beforeAutospacing="0" w:line="420" w:lineRule="auto"/>
        <w:ind w:left="3708" w:right="637" w:firstLine="640"/>
        <w:jc w:val="left"/>
        <w:rPr>
          <w:rFonts w:ascii="宋体" w:hAnsi="宋体" w:cs="宋体"/>
        </w:rPr>
      </w:pPr>
    </w:p>
    <w:p>
      <w:pPr>
        <w:pStyle w:val="21"/>
        <w:kinsoku w:val="0"/>
        <w:overflowPunct w:val="0"/>
        <w:spacing w:before="74" w:beforeAutospacing="0" w:line="420" w:lineRule="auto"/>
        <w:ind w:left="3708" w:right="637" w:firstLine="640"/>
        <w:jc w:val="left"/>
        <w:rPr>
          <w:rFonts w:ascii="宋体" w:hAnsi="宋体" w:cs="宋体"/>
        </w:rPr>
      </w:pPr>
    </w:p>
    <w:p>
      <w:pPr>
        <w:pStyle w:val="21"/>
        <w:kinsoku w:val="0"/>
        <w:overflowPunct w:val="0"/>
        <w:spacing w:before="74" w:beforeAutospacing="0" w:line="420" w:lineRule="auto"/>
        <w:ind w:left="3708" w:right="637" w:firstLine="640"/>
        <w:jc w:val="left"/>
        <w:rPr>
          <w:rFonts w:ascii="宋体" w:hAnsi="宋体" w:cs="宋体"/>
        </w:rPr>
      </w:pPr>
    </w:p>
    <w:p>
      <w:pPr>
        <w:pStyle w:val="21"/>
        <w:kinsoku w:val="0"/>
        <w:overflowPunct w:val="0"/>
        <w:spacing w:before="74" w:beforeAutospacing="0" w:line="420" w:lineRule="auto"/>
        <w:ind w:left="3708" w:right="637" w:firstLine="640"/>
        <w:jc w:val="left"/>
        <w:rPr>
          <w:rFonts w:ascii="宋体" w:hAnsi="宋体" w:cs="宋体"/>
        </w:rPr>
      </w:pPr>
    </w:p>
    <w:p>
      <w:pPr>
        <w:pStyle w:val="21"/>
        <w:kinsoku w:val="0"/>
        <w:overflowPunct w:val="0"/>
        <w:spacing w:before="74" w:beforeAutospacing="0" w:line="420" w:lineRule="auto"/>
        <w:ind w:left="3708" w:right="637" w:firstLine="640"/>
        <w:jc w:val="left"/>
        <w:rPr>
          <w:rFonts w:ascii="宋体" w:hAnsi="宋体" w:cs="宋体"/>
        </w:rPr>
      </w:pPr>
    </w:p>
    <w:p>
      <w:pPr>
        <w:pStyle w:val="21"/>
        <w:kinsoku w:val="0"/>
        <w:overflowPunct w:val="0"/>
        <w:spacing w:before="74" w:beforeAutospacing="0" w:line="420" w:lineRule="auto"/>
        <w:ind w:left="3708" w:right="637" w:firstLine="640"/>
        <w:jc w:val="left"/>
        <w:rPr>
          <w:rFonts w:ascii="宋体" w:hAnsi="宋体" w:cs="宋体"/>
        </w:rPr>
      </w:pPr>
    </w:p>
    <w:p>
      <w:pPr>
        <w:pStyle w:val="21"/>
        <w:kinsoku w:val="0"/>
        <w:overflowPunct w:val="0"/>
        <w:spacing w:before="74" w:beforeAutospacing="0" w:line="420" w:lineRule="auto"/>
        <w:ind w:left="3708" w:right="637" w:firstLine="640"/>
        <w:jc w:val="left"/>
        <w:rPr>
          <w:rFonts w:ascii="宋体" w:hAnsi="宋体" w:cs="宋体"/>
        </w:rPr>
      </w:pPr>
    </w:p>
    <w:p>
      <w:pPr>
        <w:pStyle w:val="21"/>
        <w:kinsoku w:val="0"/>
        <w:overflowPunct w:val="0"/>
        <w:spacing w:before="74" w:beforeAutospacing="0" w:line="420" w:lineRule="auto"/>
        <w:ind w:left="3708" w:right="637" w:firstLine="640"/>
        <w:jc w:val="left"/>
        <w:rPr>
          <w:rFonts w:ascii="宋体" w:hAnsi="宋体" w:cs="宋体"/>
        </w:rPr>
      </w:pPr>
    </w:p>
    <w:p>
      <w:pPr>
        <w:pStyle w:val="21"/>
        <w:kinsoku w:val="0"/>
        <w:overflowPunct w:val="0"/>
        <w:spacing w:before="74" w:beforeAutospacing="0" w:line="420" w:lineRule="auto"/>
        <w:ind w:left="3708" w:right="637" w:firstLine="640"/>
        <w:jc w:val="left"/>
        <w:rPr>
          <w:rFonts w:ascii="宋体" w:hAnsi="宋体" w:cs="宋体"/>
        </w:rPr>
      </w:pPr>
    </w:p>
    <w:p>
      <w:pPr>
        <w:pStyle w:val="21"/>
        <w:kinsoku w:val="0"/>
        <w:overflowPunct w:val="0"/>
        <w:spacing w:before="74" w:beforeAutospacing="0" w:line="420" w:lineRule="auto"/>
        <w:ind w:left="3708" w:right="637" w:firstLine="640"/>
        <w:jc w:val="left"/>
        <w:rPr>
          <w:rFonts w:ascii="宋体" w:hAnsi="宋体" w:cs="宋体"/>
        </w:rPr>
      </w:pPr>
    </w:p>
    <w:p>
      <w:pPr>
        <w:pStyle w:val="21"/>
        <w:kinsoku w:val="0"/>
        <w:overflowPunct w:val="0"/>
        <w:spacing w:before="74" w:beforeAutospacing="0" w:line="420" w:lineRule="auto"/>
        <w:ind w:left="3708" w:right="637" w:firstLine="640"/>
        <w:jc w:val="left"/>
        <w:rPr>
          <w:rFonts w:ascii="宋体" w:hAnsi="宋体" w:cs="宋体"/>
        </w:rPr>
      </w:pPr>
    </w:p>
    <w:p>
      <w:pPr>
        <w:pStyle w:val="21"/>
        <w:kinsoku w:val="0"/>
        <w:overflowPunct w:val="0"/>
        <w:spacing w:before="74" w:beforeAutospacing="0" w:line="420" w:lineRule="auto"/>
        <w:ind w:left="3708" w:right="637" w:firstLine="640"/>
        <w:jc w:val="left"/>
        <w:rPr>
          <w:rFonts w:ascii="宋体" w:hAnsi="宋体" w:cs="宋体"/>
        </w:rPr>
      </w:pPr>
    </w:p>
    <w:p>
      <w:pPr>
        <w:pStyle w:val="21"/>
        <w:kinsoku w:val="0"/>
        <w:overflowPunct w:val="0"/>
        <w:spacing w:before="74" w:beforeAutospacing="0" w:line="420" w:lineRule="auto"/>
        <w:ind w:left="3708" w:right="637" w:firstLine="640"/>
        <w:jc w:val="left"/>
        <w:rPr>
          <w:rFonts w:ascii="宋体" w:hAnsi="宋体" w:cs="宋体"/>
        </w:rPr>
      </w:pPr>
    </w:p>
    <w:p>
      <w:pPr>
        <w:pStyle w:val="21"/>
        <w:kinsoku w:val="0"/>
        <w:overflowPunct w:val="0"/>
        <w:spacing w:before="74" w:beforeAutospacing="0" w:line="420" w:lineRule="auto"/>
        <w:ind w:left="3708" w:right="637" w:firstLine="640"/>
        <w:jc w:val="left"/>
        <w:rPr>
          <w:rFonts w:ascii="宋体" w:hAnsi="宋体" w:cs="宋体"/>
        </w:rPr>
      </w:pPr>
    </w:p>
    <w:p>
      <w:pPr>
        <w:pStyle w:val="21"/>
        <w:kinsoku w:val="0"/>
        <w:overflowPunct w:val="0"/>
        <w:spacing w:before="74" w:beforeAutospacing="0" w:line="420" w:lineRule="auto"/>
        <w:ind w:left="3708" w:right="637" w:firstLine="640"/>
        <w:jc w:val="left"/>
        <w:rPr>
          <w:rFonts w:ascii="宋体" w:hAnsi="宋体" w:cs="宋体"/>
        </w:rPr>
      </w:pPr>
    </w:p>
    <w:p>
      <w:pPr>
        <w:pStyle w:val="21"/>
        <w:kinsoku w:val="0"/>
        <w:overflowPunct w:val="0"/>
        <w:spacing w:before="74" w:beforeAutospacing="0" w:line="420" w:lineRule="auto"/>
        <w:ind w:left="3708" w:right="637" w:firstLine="640"/>
        <w:jc w:val="left"/>
        <w:rPr>
          <w:rFonts w:ascii="宋体" w:hAnsi="宋体" w:cs="宋体"/>
        </w:rPr>
      </w:pPr>
    </w:p>
    <w:p>
      <w:pPr>
        <w:pStyle w:val="45"/>
        <w:ind w:firstLine="640"/>
        <w:rPr>
          <w:rFonts w:ascii="宋体" w:hAnsi="宋体" w:cs="宋体"/>
        </w:rPr>
        <w:sectPr>
          <w:pgSz w:w="11910" w:h="16840"/>
          <w:pgMar w:top="1580" w:right="1020" w:bottom="1380" w:left="1020" w:header="0" w:footer="1200" w:gutter="0"/>
          <w:cols w:space="720" w:num="1"/>
        </w:sectPr>
      </w:pPr>
    </w:p>
    <w:p>
      <w:pPr>
        <w:pStyle w:val="7"/>
        <w:jc w:val="center"/>
        <w:rPr>
          <w:rFonts w:ascii="宋体" w:hAnsi="宋体" w:cs="宋体"/>
        </w:rPr>
      </w:pPr>
      <w:bookmarkStart w:id="81" w:name="八、资格审查资料"/>
      <w:bookmarkEnd w:id="81"/>
      <w:bookmarkStart w:id="82" w:name="七、服务方案"/>
      <w:bookmarkEnd w:id="82"/>
      <w:bookmarkStart w:id="83" w:name="_bookmark11"/>
      <w:bookmarkEnd w:id="83"/>
      <w:r>
        <w:rPr>
          <w:rFonts w:hint="eastAsia" w:ascii="宋体" w:hAnsi="宋体" w:cs="宋体"/>
        </w:rPr>
        <w:t>七、服务方案及承诺</w:t>
      </w:r>
    </w:p>
    <w:p>
      <w:pPr>
        <w:rPr>
          <w:rFonts w:ascii="宋体" w:hAnsi="宋体" w:cs="宋体"/>
        </w:rPr>
      </w:pPr>
    </w:p>
    <w:p>
      <w:pPr>
        <w:rPr>
          <w:rFonts w:ascii="宋体" w:hAnsi="宋体" w:cs="宋体"/>
        </w:rPr>
      </w:pPr>
    </w:p>
    <w:p>
      <w:pPr>
        <w:pStyle w:val="45"/>
        <w:ind w:firstLine="640"/>
        <w:rPr>
          <w:rFonts w:ascii="宋体" w:hAnsi="宋体" w:cs="宋体"/>
        </w:rPr>
      </w:pPr>
    </w:p>
    <w:p>
      <w:pPr>
        <w:pStyle w:val="45"/>
        <w:ind w:firstLine="640"/>
        <w:rPr>
          <w:rFonts w:ascii="宋体" w:hAnsi="宋体" w:cs="宋体"/>
        </w:rPr>
      </w:pPr>
    </w:p>
    <w:p>
      <w:pPr>
        <w:pStyle w:val="45"/>
        <w:ind w:firstLine="640"/>
        <w:rPr>
          <w:rFonts w:ascii="宋体" w:hAnsi="宋体" w:cs="宋体"/>
        </w:rPr>
      </w:pPr>
    </w:p>
    <w:p>
      <w:pPr>
        <w:pStyle w:val="45"/>
        <w:ind w:firstLine="640"/>
        <w:rPr>
          <w:rFonts w:ascii="宋体" w:hAnsi="宋体" w:cs="宋体"/>
        </w:rPr>
      </w:pPr>
    </w:p>
    <w:p>
      <w:pPr>
        <w:pStyle w:val="45"/>
        <w:ind w:firstLine="640"/>
        <w:rPr>
          <w:rFonts w:ascii="宋体" w:hAnsi="宋体" w:cs="宋体"/>
        </w:rPr>
      </w:pPr>
    </w:p>
    <w:p>
      <w:pPr>
        <w:pStyle w:val="45"/>
        <w:ind w:firstLine="640"/>
        <w:rPr>
          <w:rFonts w:ascii="宋体" w:hAnsi="宋体" w:cs="宋体"/>
        </w:rPr>
      </w:pPr>
    </w:p>
    <w:p>
      <w:pPr>
        <w:pStyle w:val="45"/>
        <w:ind w:firstLine="640"/>
        <w:rPr>
          <w:rFonts w:ascii="宋体" w:hAnsi="宋体" w:cs="宋体"/>
        </w:rPr>
      </w:pPr>
    </w:p>
    <w:p>
      <w:pPr>
        <w:pStyle w:val="45"/>
        <w:ind w:firstLine="640"/>
        <w:rPr>
          <w:rFonts w:ascii="宋体" w:hAnsi="宋体" w:cs="宋体"/>
        </w:rPr>
      </w:pPr>
    </w:p>
    <w:p>
      <w:pPr>
        <w:pStyle w:val="45"/>
        <w:ind w:firstLine="640"/>
        <w:rPr>
          <w:rFonts w:ascii="宋体" w:hAnsi="宋体" w:cs="宋体"/>
        </w:rPr>
      </w:pPr>
    </w:p>
    <w:p>
      <w:pPr>
        <w:pStyle w:val="45"/>
        <w:ind w:firstLine="640"/>
        <w:rPr>
          <w:rFonts w:ascii="宋体" w:hAnsi="宋体" w:cs="宋体"/>
        </w:rPr>
      </w:pPr>
    </w:p>
    <w:p>
      <w:pPr>
        <w:pStyle w:val="45"/>
        <w:ind w:firstLine="640"/>
        <w:rPr>
          <w:rFonts w:ascii="宋体" w:hAnsi="宋体" w:cs="宋体"/>
        </w:rPr>
      </w:pPr>
    </w:p>
    <w:p>
      <w:pPr>
        <w:pStyle w:val="45"/>
        <w:ind w:firstLine="640"/>
        <w:rPr>
          <w:rFonts w:ascii="宋体" w:hAnsi="宋体" w:cs="宋体"/>
        </w:rPr>
      </w:pPr>
    </w:p>
    <w:p>
      <w:pPr>
        <w:pStyle w:val="45"/>
        <w:ind w:firstLine="640"/>
        <w:rPr>
          <w:rFonts w:ascii="宋体" w:hAnsi="宋体" w:cs="宋体"/>
        </w:rPr>
      </w:pPr>
    </w:p>
    <w:p>
      <w:pPr>
        <w:widowControl/>
        <w:jc w:val="left"/>
        <w:rPr>
          <w:rFonts w:ascii="宋体" w:hAnsi="宋体" w:cs="宋体"/>
          <w:b/>
          <w:bCs/>
          <w:kern w:val="0"/>
          <w:sz w:val="32"/>
          <w:szCs w:val="32"/>
        </w:rPr>
        <w:sectPr>
          <w:pgSz w:w="11910" w:h="16840"/>
          <w:pgMar w:top="1320" w:right="1020" w:bottom="1380" w:left="1020" w:header="0" w:footer="1200" w:gutter="0"/>
          <w:cols w:space="720" w:num="1"/>
        </w:sectPr>
      </w:pPr>
      <w:bookmarkStart w:id="84" w:name="_bookmark12"/>
      <w:bookmarkEnd w:id="84"/>
      <w:bookmarkStart w:id="85" w:name="_bookmark13"/>
      <w:bookmarkEnd w:id="85"/>
    </w:p>
    <w:p>
      <w:pPr>
        <w:pStyle w:val="7"/>
        <w:jc w:val="center"/>
        <w:rPr>
          <w:rFonts w:ascii="宋体" w:hAnsi="宋体" w:cs="宋体"/>
        </w:rPr>
      </w:pPr>
      <w:bookmarkStart w:id="86" w:name="十一、投标承诺函"/>
      <w:bookmarkEnd w:id="86"/>
      <w:bookmarkStart w:id="87" w:name="_bookmark16"/>
      <w:bookmarkEnd w:id="87"/>
      <w:bookmarkStart w:id="88" w:name="_Toc404096944"/>
      <w:r>
        <w:rPr>
          <w:rFonts w:hint="eastAsia" w:ascii="宋体" w:hAnsi="宋体" w:cs="宋体"/>
        </w:rPr>
        <w:t>八、反商业贿赂承诺书</w:t>
      </w:r>
      <w:bookmarkEnd w:id="88"/>
    </w:p>
    <w:p>
      <w:pPr>
        <w:rPr>
          <w:rFonts w:ascii="宋体" w:hAnsi="宋体" w:cs="宋体"/>
        </w:rPr>
      </w:pPr>
    </w:p>
    <w:p>
      <w:pPr>
        <w:spacing w:line="480" w:lineRule="auto"/>
        <w:rPr>
          <w:rFonts w:ascii="宋体" w:hAnsi="宋体" w:cs="宋体"/>
          <w:sz w:val="24"/>
        </w:rPr>
      </w:pPr>
      <w:r>
        <w:rPr>
          <w:rFonts w:hint="eastAsia" w:ascii="宋体" w:hAnsi="宋体" w:cs="宋体"/>
          <w:sz w:val="24"/>
        </w:rPr>
        <w:t>我公司承诺：</w:t>
      </w:r>
    </w:p>
    <w:p>
      <w:pPr>
        <w:spacing w:line="480" w:lineRule="auto"/>
        <w:ind w:firstLine="480" w:firstLineChars="200"/>
        <w:rPr>
          <w:rFonts w:ascii="宋体" w:hAnsi="宋体" w:cs="宋体"/>
          <w:sz w:val="24"/>
        </w:rPr>
      </w:pPr>
      <w:r>
        <w:rPr>
          <w:rFonts w:hint="eastAsia" w:ascii="宋体" w:hAnsi="宋体" w:cs="宋体"/>
          <w:sz w:val="24"/>
        </w:rPr>
        <w:t>在</w:t>
      </w:r>
      <w:r>
        <w:rPr>
          <w:rFonts w:hint="eastAsia" w:ascii="宋体" w:hAnsi="宋体" w:cs="宋体"/>
          <w:sz w:val="24"/>
          <w:u w:val="single"/>
        </w:rPr>
        <w:t xml:space="preserve">              （项目名称、标段）   </w:t>
      </w:r>
      <w:r>
        <w:rPr>
          <w:rFonts w:hint="eastAsia" w:ascii="宋体" w:hAnsi="宋体" w:cs="宋体"/>
          <w:sz w:val="24"/>
        </w:rPr>
        <w:t>招标活动中，我公司保证做到：</w:t>
      </w:r>
    </w:p>
    <w:p>
      <w:pPr>
        <w:spacing w:line="480" w:lineRule="auto"/>
        <w:ind w:firstLine="480" w:firstLineChars="200"/>
        <w:rPr>
          <w:rFonts w:ascii="宋体" w:hAnsi="宋体" w:cs="宋体"/>
          <w:sz w:val="24"/>
        </w:rPr>
      </w:pPr>
      <w:r>
        <w:rPr>
          <w:rFonts w:hint="eastAsia" w:ascii="宋体" w:hAnsi="宋体" w:cs="宋体"/>
          <w:sz w:val="24"/>
        </w:rPr>
        <w:t>一、公平竞争参加本次招标活动。</w:t>
      </w:r>
    </w:p>
    <w:p>
      <w:pPr>
        <w:spacing w:line="480" w:lineRule="auto"/>
        <w:ind w:firstLine="480" w:firstLineChars="200"/>
        <w:rPr>
          <w:rFonts w:ascii="宋体" w:hAnsi="宋体" w:cs="宋体"/>
          <w:sz w:val="24"/>
        </w:rPr>
      </w:pPr>
      <w:r>
        <w:rPr>
          <w:rFonts w:hint="eastAsia" w:ascii="宋体" w:hAnsi="宋体" w:cs="宋体"/>
          <w:sz w:val="24"/>
        </w:rPr>
        <w:t>二、杜绝任何形式的商业贿赂行为。不向国家工作人员、政府采购代理机构工作人员、评审专家及亲属提供礼品礼金、有价证券、购物券、回扣、佣金、咨询费、劳务费、资助费、宣传费、宴请；不为其报销各种消费凭证，不支付其旅游、娱乐等费用。</w:t>
      </w:r>
    </w:p>
    <w:p>
      <w:pPr>
        <w:spacing w:line="480" w:lineRule="auto"/>
        <w:ind w:firstLine="480" w:firstLineChars="200"/>
        <w:rPr>
          <w:rFonts w:ascii="宋体" w:hAnsi="宋体" w:cs="宋体"/>
          <w:sz w:val="24"/>
        </w:rPr>
      </w:pPr>
      <w:r>
        <w:rPr>
          <w:rFonts w:hint="eastAsia" w:ascii="宋体" w:hAnsi="宋体" w:cs="宋体"/>
          <w:sz w:val="24"/>
        </w:rPr>
        <w:t>三、若出现上述行为，我公司及参与投标的工作人员愿意接受按照国家法律法规等有关规定给予的处罚。</w:t>
      </w:r>
    </w:p>
    <w:p>
      <w:pPr>
        <w:spacing w:line="480" w:lineRule="auto"/>
        <w:ind w:firstLine="480" w:firstLineChars="200"/>
        <w:rPr>
          <w:rFonts w:ascii="宋体" w:hAnsi="宋体" w:cs="宋体"/>
          <w:sz w:val="24"/>
        </w:rPr>
      </w:pPr>
    </w:p>
    <w:p>
      <w:pPr>
        <w:spacing w:line="360" w:lineRule="auto"/>
        <w:ind w:firstLine="480" w:firstLineChars="200"/>
        <w:rPr>
          <w:rFonts w:ascii="宋体" w:hAnsi="宋体" w:cs="宋体"/>
          <w:sz w:val="24"/>
        </w:rPr>
      </w:pPr>
    </w:p>
    <w:p>
      <w:pPr>
        <w:spacing w:line="360" w:lineRule="auto"/>
        <w:ind w:firstLine="480" w:firstLineChars="200"/>
        <w:rPr>
          <w:rFonts w:ascii="宋体" w:hAnsi="宋体" w:cs="宋体"/>
          <w:sz w:val="24"/>
        </w:rPr>
      </w:pPr>
    </w:p>
    <w:p>
      <w:pPr>
        <w:spacing w:line="360" w:lineRule="auto"/>
        <w:ind w:firstLine="480" w:firstLineChars="200"/>
        <w:rPr>
          <w:rFonts w:ascii="宋体" w:hAnsi="宋体" w:cs="宋体"/>
          <w:sz w:val="24"/>
        </w:rPr>
      </w:pPr>
    </w:p>
    <w:p>
      <w:pPr>
        <w:spacing w:line="360" w:lineRule="auto"/>
        <w:ind w:firstLine="3312" w:firstLineChars="1380"/>
        <w:rPr>
          <w:rFonts w:ascii="宋体" w:hAnsi="宋体" w:cs="宋体"/>
          <w:sz w:val="24"/>
          <w:u w:val="single"/>
        </w:rPr>
      </w:pPr>
      <w:r>
        <w:rPr>
          <w:rFonts w:hint="eastAsia" w:ascii="宋体" w:hAnsi="宋体" w:cs="宋体"/>
          <w:sz w:val="24"/>
        </w:rPr>
        <w:t>供应商名称（</w:t>
      </w:r>
      <w:r>
        <w:rPr>
          <w:rFonts w:hint="eastAsia" w:ascii="宋体" w:hAnsi="宋体" w:cs="宋体"/>
          <w:sz w:val="24"/>
          <w:szCs w:val="24"/>
        </w:rPr>
        <w:t>电子签章</w:t>
      </w:r>
      <w:r>
        <w:rPr>
          <w:rFonts w:hint="eastAsia" w:ascii="宋体" w:hAnsi="宋体" w:cs="宋体"/>
          <w:sz w:val="24"/>
        </w:rPr>
        <w:t>）：</w:t>
      </w:r>
      <w:r>
        <w:rPr>
          <w:rFonts w:hint="eastAsia" w:ascii="宋体" w:hAnsi="宋体" w:cs="宋体"/>
          <w:sz w:val="24"/>
          <w:u w:val="single"/>
        </w:rPr>
        <w:t xml:space="preserve">                   </w:t>
      </w:r>
    </w:p>
    <w:p>
      <w:pPr>
        <w:spacing w:line="360" w:lineRule="auto"/>
        <w:ind w:firstLine="3312" w:firstLineChars="1380"/>
        <w:rPr>
          <w:rFonts w:ascii="宋体" w:hAnsi="宋体" w:cs="宋体"/>
          <w:sz w:val="24"/>
          <w:u w:val="single"/>
        </w:rPr>
      </w:pPr>
      <w:r>
        <w:rPr>
          <w:rFonts w:hint="eastAsia" w:ascii="宋体" w:hAnsi="宋体" w:cs="宋体"/>
          <w:sz w:val="24"/>
        </w:rPr>
        <w:t>法定代表人（签字或盖章） :</w:t>
      </w:r>
      <w:r>
        <w:rPr>
          <w:rFonts w:hint="eastAsia" w:ascii="宋体" w:hAnsi="宋体" w:cs="宋体"/>
          <w:sz w:val="24"/>
          <w:u w:val="single"/>
        </w:rPr>
        <w:t xml:space="preserve">                        </w:t>
      </w:r>
    </w:p>
    <w:p>
      <w:pPr>
        <w:spacing w:line="360" w:lineRule="auto"/>
        <w:ind w:firstLine="3360" w:firstLineChars="1400"/>
        <w:rPr>
          <w:rFonts w:ascii="宋体" w:hAnsi="宋体" w:cs="宋体"/>
          <w:sz w:val="24"/>
        </w:rPr>
      </w:pPr>
      <w:r>
        <w:rPr>
          <w:rFonts w:hint="eastAsia" w:ascii="宋体" w:hAnsi="宋体" w:cs="宋体"/>
          <w:sz w:val="24"/>
        </w:rPr>
        <w:t>委托代理人（签字或盖章）:</w:t>
      </w:r>
      <w:r>
        <w:rPr>
          <w:rFonts w:hint="eastAsia" w:ascii="宋体" w:hAnsi="宋体" w:cs="宋体"/>
          <w:sz w:val="24"/>
          <w:u w:val="single"/>
        </w:rPr>
        <w:t xml:space="preserve">                       </w:t>
      </w:r>
    </w:p>
    <w:p>
      <w:pPr>
        <w:spacing w:line="360" w:lineRule="auto"/>
        <w:ind w:firstLine="3360" w:firstLineChars="1400"/>
        <w:rPr>
          <w:rFonts w:ascii="宋体" w:hAnsi="宋体" w:cs="宋体"/>
          <w:sz w:val="24"/>
        </w:rPr>
      </w:pPr>
      <w:r>
        <w:rPr>
          <w:rFonts w:hint="eastAsia" w:ascii="宋体" w:hAnsi="宋体" w:cs="宋体"/>
          <w:sz w:val="24"/>
        </w:rPr>
        <w:t>日   期：</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pPr>
        <w:pStyle w:val="45"/>
        <w:ind w:firstLine="640"/>
        <w:rPr>
          <w:rFonts w:ascii="宋体" w:hAnsi="宋体" w:cs="宋体"/>
        </w:rPr>
      </w:pPr>
    </w:p>
    <w:p>
      <w:pPr>
        <w:pStyle w:val="45"/>
        <w:ind w:firstLine="640"/>
        <w:rPr>
          <w:rFonts w:ascii="宋体" w:hAnsi="宋体" w:cs="宋体"/>
        </w:rPr>
      </w:pPr>
    </w:p>
    <w:p>
      <w:pPr>
        <w:rPr>
          <w:rFonts w:ascii="宋体" w:hAnsi="宋体" w:cs="宋体"/>
        </w:rPr>
      </w:pPr>
    </w:p>
    <w:p>
      <w:pPr>
        <w:pStyle w:val="45"/>
        <w:ind w:firstLine="640"/>
        <w:rPr>
          <w:rFonts w:ascii="宋体" w:hAnsi="宋体" w:cs="宋体"/>
        </w:rPr>
      </w:pPr>
    </w:p>
    <w:p>
      <w:pPr>
        <w:pStyle w:val="7"/>
        <w:jc w:val="center"/>
        <w:rPr>
          <w:rFonts w:ascii="宋体" w:hAnsi="宋体" w:cs="宋体"/>
        </w:rPr>
      </w:pPr>
      <w:r>
        <w:rPr>
          <w:rFonts w:hint="eastAsia" w:ascii="宋体" w:hAnsi="宋体" w:cs="宋体"/>
        </w:rPr>
        <w:t>九、投标诚信承诺</w:t>
      </w:r>
    </w:p>
    <w:p>
      <w:pPr>
        <w:spacing w:line="400" w:lineRule="exact"/>
        <w:rPr>
          <w:rFonts w:ascii="宋体" w:hAnsi="宋体" w:cs="宋体"/>
          <w:sz w:val="24"/>
          <w:u w:val="single"/>
        </w:rPr>
      </w:pPr>
      <w:r>
        <w:rPr>
          <w:rFonts w:hint="eastAsia" w:ascii="宋体" w:hAnsi="宋体" w:cs="宋体"/>
          <w:sz w:val="24"/>
        </w:rPr>
        <w:t>致：</w:t>
      </w:r>
      <w:r>
        <w:rPr>
          <w:rFonts w:hint="eastAsia" w:ascii="宋体" w:hAnsi="宋体" w:cs="宋体"/>
          <w:sz w:val="24"/>
          <w:u w:val="single"/>
        </w:rPr>
        <w:t xml:space="preserve">       （采购人）      </w:t>
      </w:r>
    </w:p>
    <w:p>
      <w:pPr>
        <w:spacing w:line="400" w:lineRule="exact"/>
        <w:ind w:firstLine="480" w:firstLineChars="200"/>
        <w:rPr>
          <w:rFonts w:ascii="宋体" w:hAnsi="宋体" w:cs="宋体"/>
          <w:sz w:val="24"/>
        </w:rPr>
      </w:pPr>
      <w:r>
        <w:rPr>
          <w:rFonts w:hint="eastAsia" w:ascii="宋体" w:hAnsi="宋体" w:cs="宋体"/>
          <w:sz w:val="24"/>
        </w:rPr>
        <w:t xml:space="preserve">   本着认真、诚信、严谨的态度，我公司决定参加贵单位关于</w:t>
      </w:r>
      <w:r>
        <w:rPr>
          <w:rFonts w:hint="eastAsia" w:ascii="宋体" w:hAnsi="宋体" w:cs="宋体"/>
          <w:sz w:val="24"/>
          <w:u w:val="single"/>
        </w:rPr>
        <w:t xml:space="preserve">        （项目名称、标段）  </w:t>
      </w:r>
      <w:r>
        <w:rPr>
          <w:rFonts w:hint="eastAsia" w:ascii="宋体" w:hAnsi="宋体" w:cs="宋体"/>
          <w:sz w:val="24"/>
        </w:rPr>
        <w:t>的投标。我公司承诺如下：</w:t>
      </w:r>
    </w:p>
    <w:p>
      <w:pPr>
        <w:spacing w:line="400" w:lineRule="exact"/>
        <w:ind w:firstLine="480" w:firstLineChars="200"/>
        <w:rPr>
          <w:rFonts w:ascii="宋体" w:hAnsi="宋体" w:cs="宋体"/>
          <w:sz w:val="24"/>
        </w:rPr>
      </w:pPr>
      <w:r>
        <w:rPr>
          <w:rFonts w:hint="eastAsia" w:ascii="宋体" w:hAnsi="宋体" w:cs="宋体"/>
          <w:sz w:val="24"/>
        </w:rPr>
        <w:t>一、在投标过程中，我公司将严格遵守国家相关法律法规及省、市规定，遵循招标文件的要求。</w:t>
      </w:r>
    </w:p>
    <w:p>
      <w:pPr>
        <w:spacing w:line="400" w:lineRule="exact"/>
        <w:ind w:firstLine="480" w:firstLineChars="200"/>
        <w:rPr>
          <w:rFonts w:ascii="宋体" w:hAnsi="宋体" w:cs="宋体"/>
          <w:sz w:val="24"/>
        </w:rPr>
      </w:pPr>
      <w:r>
        <w:rPr>
          <w:rFonts w:hint="eastAsia" w:ascii="宋体" w:hAnsi="宋体" w:cs="宋体"/>
          <w:sz w:val="24"/>
        </w:rPr>
        <w:t>二、在报名及投标过程中，我公司保证按招标公告和招标文件要求提供的所有备审资料合法、真实、有效。</w:t>
      </w:r>
    </w:p>
    <w:p>
      <w:pPr>
        <w:spacing w:line="400" w:lineRule="exact"/>
        <w:ind w:firstLine="480" w:firstLineChars="200"/>
        <w:rPr>
          <w:rFonts w:ascii="宋体" w:hAnsi="宋体" w:cs="宋体"/>
          <w:sz w:val="24"/>
        </w:rPr>
      </w:pPr>
      <w:r>
        <w:rPr>
          <w:rFonts w:hint="eastAsia" w:ascii="宋体" w:hAnsi="宋体" w:cs="宋体"/>
          <w:sz w:val="24"/>
        </w:rPr>
        <w:t>三、报名通过后，我公司将认真组织参与本次招标活动。除不可抗力或法定情形外，保证不放弃本次投标,按招标文件要求参加开标会议。如若放弃投标，我公司愿意弥补招标活动损失，并接受相关部门处罚。</w:t>
      </w:r>
    </w:p>
    <w:p>
      <w:pPr>
        <w:spacing w:line="400" w:lineRule="exact"/>
        <w:ind w:firstLine="480" w:firstLineChars="200"/>
        <w:rPr>
          <w:rFonts w:ascii="宋体" w:hAnsi="宋体" w:cs="宋体"/>
          <w:sz w:val="24"/>
        </w:rPr>
      </w:pPr>
      <w:r>
        <w:rPr>
          <w:rFonts w:hint="eastAsia" w:ascii="宋体" w:hAnsi="宋体" w:cs="宋体"/>
          <w:sz w:val="24"/>
        </w:rPr>
        <w:t>四、在投标过程中，我公司保证公平竞争，不与采购人、其它供应商、代理机构、评标专家等就本项目串通投标。</w:t>
      </w:r>
    </w:p>
    <w:p>
      <w:pPr>
        <w:spacing w:line="400" w:lineRule="exact"/>
        <w:ind w:firstLine="480" w:firstLineChars="200"/>
        <w:rPr>
          <w:rFonts w:ascii="宋体" w:hAnsi="宋体" w:cs="宋体"/>
          <w:sz w:val="24"/>
        </w:rPr>
      </w:pPr>
      <w:r>
        <w:rPr>
          <w:rFonts w:hint="eastAsia" w:ascii="宋体" w:hAnsi="宋体" w:cs="宋体"/>
          <w:sz w:val="24"/>
        </w:rPr>
        <w:t>五、我公司如被确定为中标候选人，保证不出现违法放弃中标行为，违法放弃中标行为包括但不限于以下情形：</w:t>
      </w:r>
    </w:p>
    <w:p>
      <w:pPr>
        <w:spacing w:line="400" w:lineRule="exact"/>
        <w:ind w:firstLine="480" w:firstLineChars="200"/>
        <w:rPr>
          <w:rFonts w:ascii="宋体" w:hAnsi="宋体" w:cs="宋体"/>
          <w:sz w:val="24"/>
        </w:rPr>
      </w:pPr>
      <w:r>
        <w:rPr>
          <w:rFonts w:hint="eastAsia" w:ascii="宋体" w:hAnsi="宋体" w:cs="宋体"/>
          <w:sz w:val="24"/>
        </w:rPr>
        <w:t>1.  除不可抗力因素和采购人的责任等免责条件外，中标候选人拒绝按规定接受中标的；</w:t>
      </w:r>
    </w:p>
    <w:p>
      <w:pPr>
        <w:spacing w:line="400" w:lineRule="exact"/>
        <w:ind w:firstLine="480" w:firstLineChars="200"/>
        <w:rPr>
          <w:rFonts w:ascii="宋体" w:hAnsi="宋体" w:cs="宋体"/>
          <w:sz w:val="24"/>
        </w:rPr>
      </w:pPr>
      <w:r>
        <w:rPr>
          <w:rFonts w:hint="eastAsia" w:ascii="宋体" w:hAnsi="宋体" w:cs="宋体"/>
          <w:sz w:val="24"/>
        </w:rPr>
        <w:t>2.   除不可抗力因素和采购人的责任等免责条件外，中标人拒绝依据招标文件、投标文件和中标通知书与采购人签订书面合同的；</w:t>
      </w:r>
    </w:p>
    <w:p>
      <w:pPr>
        <w:spacing w:line="400" w:lineRule="exact"/>
        <w:ind w:firstLine="480" w:firstLineChars="200"/>
        <w:rPr>
          <w:rFonts w:ascii="宋体" w:hAnsi="宋体" w:cs="宋体"/>
          <w:sz w:val="24"/>
        </w:rPr>
      </w:pPr>
      <w:r>
        <w:rPr>
          <w:rFonts w:hint="eastAsia" w:ascii="宋体" w:hAnsi="宋体" w:cs="宋体"/>
          <w:sz w:val="24"/>
        </w:rPr>
        <w:t>3.  建设行政主管部门认定的其他违法放弃中标行为。</w:t>
      </w:r>
    </w:p>
    <w:p>
      <w:pPr>
        <w:spacing w:line="400" w:lineRule="exact"/>
        <w:ind w:firstLine="480" w:firstLineChars="200"/>
        <w:rPr>
          <w:rFonts w:ascii="宋体" w:hAnsi="宋体" w:cs="宋体"/>
          <w:sz w:val="24"/>
        </w:rPr>
      </w:pPr>
      <w:r>
        <w:rPr>
          <w:rFonts w:hint="eastAsia" w:ascii="宋体" w:hAnsi="宋体" w:cs="宋体"/>
          <w:sz w:val="24"/>
        </w:rPr>
        <w:t>六、我公司如有第五条所述行为，愿意接受被认定为违法放弃中标，并接受以下处罚：违法放弃中标的，交纳其投标报价与依序递补中标候选人投标报价差额作为对招标活动损失的补偿，并按《中华人民共和国招标投标法》第六十条及相关法律法规和规章的规定，取消2至5年参加必须招标项目的投标资格。</w:t>
      </w:r>
    </w:p>
    <w:p>
      <w:pPr>
        <w:spacing w:line="400" w:lineRule="exact"/>
        <w:ind w:firstLine="480" w:firstLineChars="200"/>
        <w:rPr>
          <w:rFonts w:ascii="宋体" w:hAnsi="宋体" w:cs="宋体"/>
          <w:sz w:val="24"/>
        </w:rPr>
      </w:pPr>
      <w:r>
        <w:rPr>
          <w:rFonts w:hint="eastAsia" w:ascii="宋体" w:hAnsi="宋体" w:cs="宋体"/>
          <w:sz w:val="24"/>
        </w:rPr>
        <w:t>七、我公司愿意配合相关部门关于本项目的调查，如有违法违规行为愿意接受处罚。</w:t>
      </w:r>
    </w:p>
    <w:p>
      <w:pPr>
        <w:spacing w:line="400" w:lineRule="exact"/>
        <w:ind w:firstLine="480" w:firstLineChars="200"/>
        <w:rPr>
          <w:rFonts w:ascii="宋体" w:hAnsi="宋体" w:cs="宋体"/>
          <w:sz w:val="24"/>
        </w:rPr>
      </w:pPr>
      <w:r>
        <w:rPr>
          <w:rFonts w:hint="eastAsia" w:ascii="宋体" w:hAnsi="宋体" w:cs="宋体"/>
          <w:sz w:val="24"/>
        </w:rPr>
        <w:t>八、如果我公司对招标工作有询问、质疑、投诉，保证按法律法规相关规定进行，决不恶意投诉。</w:t>
      </w:r>
    </w:p>
    <w:p>
      <w:pPr>
        <w:spacing w:line="400" w:lineRule="exact"/>
        <w:ind w:firstLine="480" w:firstLineChars="200"/>
        <w:rPr>
          <w:rFonts w:ascii="宋体" w:hAnsi="宋体" w:cs="宋体"/>
          <w:sz w:val="24"/>
        </w:rPr>
      </w:pPr>
      <w:r>
        <w:rPr>
          <w:rFonts w:hint="eastAsia" w:ascii="宋体" w:hAnsi="宋体" w:cs="宋体"/>
          <w:sz w:val="24"/>
        </w:rPr>
        <w:t>以上承诺为我公司真实意愿。</w:t>
      </w:r>
    </w:p>
    <w:p>
      <w:pPr>
        <w:spacing w:line="360" w:lineRule="auto"/>
        <w:rPr>
          <w:rFonts w:ascii="宋体" w:hAnsi="宋体" w:cs="宋体"/>
          <w:sz w:val="24"/>
        </w:rPr>
      </w:pPr>
    </w:p>
    <w:p>
      <w:pPr>
        <w:spacing w:line="360" w:lineRule="auto"/>
        <w:ind w:firstLine="2160" w:firstLineChars="900"/>
        <w:rPr>
          <w:rFonts w:ascii="宋体" w:hAnsi="宋体" w:cs="宋体"/>
          <w:sz w:val="24"/>
          <w:u w:val="single"/>
        </w:rPr>
      </w:pPr>
      <w:r>
        <w:rPr>
          <w:rFonts w:hint="eastAsia" w:ascii="宋体" w:hAnsi="宋体" w:cs="宋体"/>
          <w:sz w:val="24"/>
        </w:rPr>
        <w:t>供应商：</w:t>
      </w:r>
      <w:r>
        <w:rPr>
          <w:rFonts w:hint="eastAsia" w:ascii="宋体" w:hAnsi="宋体" w:cs="宋体"/>
          <w:sz w:val="24"/>
          <w:u w:val="single"/>
        </w:rPr>
        <w:t xml:space="preserve">                       </w:t>
      </w:r>
      <w:r>
        <w:rPr>
          <w:rFonts w:hint="eastAsia" w:ascii="宋体" w:hAnsi="宋体" w:cs="宋体"/>
          <w:sz w:val="24"/>
        </w:rPr>
        <w:t>（</w:t>
      </w:r>
      <w:r>
        <w:rPr>
          <w:rFonts w:hint="eastAsia" w:ascii="宋体" w:hAnsi="宋体" w:cs="宋体"/>
          <w:sz w:val="24"/>
          <w:szCs w:val="24"/>
        </w:rPr>
        <w:t>电子签章</w:t>
      </w:r>
      <w:r>
        <w:rPr>
          <w:rFonts w:hint="eastAsia" w:ascii="宋体" w:hAnsi="宋体" w:cs="宋体"/>
          <w:sz w:val="24"/>
        </w:rPr>
        <w:t xml:space="preserve">）  </w:t>
      </w:r>
    </w:p>
    <w:p>
      <w:pPr>
        <w:spacing w:line="360" w:lineRule="auto"/>
        <w:ind w:firstLine="1680" w:firstLineChars="700"/>
        <w:rPr>
          <w:rFonts w:ascii="宋体" w:hAnsi="宋体" w:cs="宋体"/>
          <w:sz w:val="24"/>
          <w:u w:val="single"/>
        </w:rPr>
      </w:pPr>
      <w:r>
        <w:rPr>
          <w:rFonts w:hint="eastAsia" w:ascii="宋体" w:hAnsi="宋体" w:cs="宋体"/>
          <w:sz w:val="24"/>
        </w:rPr>
        <w:t>法定代表人或</w:t>
      </w:r>
      <w:r>
        <w:rPr>
          <w:rFonts w:hint="eastAsia" w:ascii="宋体" w:hAnsi="宋体" w:cs="宋体"/>
          <w:sz w:val="24"/>
          <w:szCs w:val="24"/>
        </w:rPr>
        <w:t>其</w:t>
      </w:r>
      <w:r>
        <w:rPr>
          <w:rFonts w:hint="eastAsia" w:ascii="宋体" w:hAnsi="宋体" w:cs="宋体"/>
          <w:sz w:val="24"/>
        </w:rPr>
        <w:t>委托代理人：</w:t>
      </w:r>
      <w:r>
        <w:rPr>
          <w:rFonts w:hint="eastAsia" w:ascii="宋体" w:hAnsi="宋体" w:cs="宋体"/>
          <w:sz w:val="24"/>
          <w:u w:val="single"/>
        </w:rPr>
        <w:t xml:space="preserve">          </w:t>
      </w:r>
      <w:r>
        <w:rPr>
          <w:rFonts w:hint="eastAsia" w:ascii="宋体" w:hAnsi="宋体" w:cs="宋体"/>
          <w:sz w:val="24"/>
        </w:rPr>
        <w:t>（签字或盖章）</w:t>
      </w:r>
    </w:p>
    <w:p>
      <w:pPr>
        <w:spacing w:line="360" w:lineRule="auto"/>
        <w:ind w:firstLine="4080" w:firstLineChars="1700"/>
        <w:rPr>
          <w:rFonts w:ascii="宋体" w:hAnsi="宋体" w:cs="宋体"/>
          <w:sz w:val="24"/>
        </w:rPr>
      </w:pPr>
      <w:r>
        <w:rPr>
          <w:rFonts w:hint="eastAsia" w:ascii="宋体" w:hAnsi="宋体" w:cs="宋体"/>
          <w:sz w:val="24"/>
        </w:rPr>
        <w:t>日   期：</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pPr>
        <w:pStyle w:val="7"/>
        <w:jc w:val="center"/>
        <w:rPr>
          <w:rFonts w:ascii="宋体" w:hAnsi="宋体" w:cs="宋体"/>
        </w:rPr>
      </w:pPr>
      <w:r>
        <w:rPr>
          <w:rFonts w:hint="eastAsia" w:ascii="宋体" w:hAnsi="宋体" w:cs="宋体"/>
        </w:rPr>
        <w:t xml:space="preserve">十、供应商认为需要提交的其他资料 </w:t>
      </w:r>
    </w:p>
    <w:p>
      <w:pPr>
        <w:pStyle w:val="45"/>
        <w:ind w:firstLine="640"/>
        <w:rPr>
          <w:rFonts w:ascii="宋体" w:hAnsi="宋体" w:cs="宋体"/>
        </w:rPr>
      </w:pPr>
      <w:r>
        <w:rPr>
          <w:rFonts w:hint="eastAsia" w:ascii="宋体" w:hAnsi="宋体" w:cs="宋体"/>
        </w:rPr>
        <w:t xml:space="preserve"> </w:t>
      </w:r>
    </w:p>
    <w:p>
      <w:pPr>
        <w:pStyle w:val="45"/>
        <w:ind w:firstLine="640"/>
        <w:rPr>
          <w:rFonts w:ascii="宋体" w:hAnsi="宋体" w:cs="宋体"/>
        </w:rPr>
      </w:pPr>
      <w:r>
        <w:rPr>
          <w:rFonts w:hint="eastAsia" w:ascii="宋体" w:hAnsi="宋体" w:cs="宋体"/>
        </w:rPr>
        <w:t xml:space="preserve"> </w:t>
      </w:r>
    </w:p>
    <w:p>
      <w:pPr>
        <w:pStyle w:val="45"/>
        <w:ind w:firstLine="640"/>
        <w:rPr>
          <w:rFonts w:ascii="宋体" w:hAnsi="宋体" w:cs="宋体"/>
        </w:rPr>
      </w:pPr>
      <w:r>
        <w:rPr>
          <w:rFonts w:hint="eastAsia" w:ascii="宋体" w:hAnsi="宋体" w:cs="宋体"/>
        </w:rPr>
        <w:t xml:space="preserve"> </w:t>
      </w:r>
    </w:p>
    <w:p>
      <w:pPr>
        <w:pStyle w:val="45"/>
        <w:ind w:firstLine="640"/>
        <w:rPr>
          <w:rFonts w:ascii="宋体" w:hAnsi="宋体" w:cs="宋体"/>
        </w:rPr>
      </w:pPr>
      <w:r>
        <w:rPr>
          <w:rFonts w:hint="eastAsia" w:ascii="宋体" w:hAnsi="宋体" w:cs="宋体"/>
        </w:rPr>
        <w:t xml:space="preserve"> </w:t>
      </w:r>
    </w:p>
    <w:p>
      <w:pPr>
        <w:pStyle w:val="45"/>
        <w:ind w:firstLine="640"/>
        <w:rPr>
          <w:rFonts w:ascii="宋体" w:hAnsi="宋体" w:cs="宋体"/>
        </w:rPr>
      </w:pPr>
      <w:r>
        <w:rPr>
          <w:rFonts w:hint="eastAsia" w:ascii="宋体" w:hAnsi="宋体" w:cs="宋体"/>
        </w:rPr>
        <w:t xml:space="preserve"> </w:t>
      </w:r>
    </w:p>
    <w:p>
      <w:pPr>
        <w:pStyle w:val="45"/>
        <w:ind w:firstLine="640"/>
        <w:rPr>
          <w:rFonts w:ascii="宋体" w:hAnsi="宋体" w:cs="宋体"/>
        </w:rPr>
      </w:pPr>
      <w:r>
        <w:rPr>
          <w:rFonts w:hint="eastAsia" w:ascii="宋体" w:hAnsi="宋体" w:cs="宋体"/>
        </w:rPr>
        <w:t xml:space="preserve"> </w:t>
      </w:r>
    </w:p>
    <w:p>
      <w:pPr>
        <w:pStyle w:val="45"/>
        <w:ind w:firstLine="640"/>
        <w:rPr>
          <w:rFonts w:ascii="宋体" w:hAnsi="宋体" w:cs="宋体"/>
        </w:rPr>
      </w:pPr>
    </w:p>
    <w:p>
      <w:pPr>
        <w:pStyle w:val="45"/>
        <w:ind w:firstLine="640"/>
        <w:rPr>
          <w:rFonts w:ascii="宋体" w:hAnsi="宋体" w:cs="宋体"/>
        </w:rPr>
      </w:pPr>
      <w:r>
        <w:rPr>
          <w:rFonts w:hint="eastAsia" w:ascii="宋体" w:hAnsi="宋体" w:cs="宋体"/>
        </w:rPr>
        <w:t xml:space="preserve"> </w:t>
      </w:r>
    </w:p>
    <w:p>
      <w:pPr>
        <w:pStyle w:val="45"/>
        <w:ind w:firstLine="640"/>
        <w:rPr>
          <w:rFonts w:ascii="宋体" w:hAnsi="宋体" w:cs="宋体"/>
        </w:rPr>
      </w:pPr>
      <w:r>
        <w:rPr>
          <w:rFonts w:hint="eastAsia" w:ascii="宋体" w:hAnsi="宋体" w:cs="宋体"/>
        </w:rPr>
        <w:t xml:space="preserve"> </w:t>
      </w:r>
    </w:p>
    <w:p>
      <w:pPr>
        <w:pStyle w:val="45"/>
        <w:ind w:firstLine="640"/>
        <w:rPr>
          <w:rFonts w:ascii="宋体" w:hAnsi="宋体" w:cs="宋体"/>
        </w:rPr>
      </w:pPr>
      <w:r>
        <w:rPr>
          <w:rFonts w:hint="eastAsia" w:ascii="宋体" w:hAnsi="宋体" w:cs="宋体"/>
        </w:rPr>
        <w:t xml:space="preserve"> </w:t>
      </w:r>
    </w:p>
    <w:p>
      <w:pPr>
        <w:pStyle w:val="45"/>
        <w:ind w:firstLine="640"/>
        <w:rPr>
          <w:rFonts w:ascii="宋体" w:hAnsi="宋体" w:cs="宋体"/>
        </w:rPr>
      </w:pPr>
      <w:r>
        <w:rPr>
          <w:rFonts w:hint="eastAsia" w:ascii="宋体" w:hAnsi="宋体" w:cs="宋体"/>
        </w:rPr>
        <w:t xml:space="preserve"> </w:t>
      </w:r>
    </w:p>
    <w:p>
      <w:pPr>
        <w:pStyle w:val="45"/>
        <w:ind w:firstLine="640"/>
        <w:rPr>
          <w:rFonts w:ascii="宋体" w:hAnsi="宋体" w:cs="宋体"/>
        </w:rPr>
      </w:pPr>
    </w:p>
    <w:p>
      <w:pPr>
        <w:rPr>
          <w:rFonts w:ascii="宋体" w:hAnsi="宋体" w:cs="宋体"/>
        </w:rPr>
      </w:pPr>
    </w:p>
    <w:p>
      <w:pPr>
        <w:pStyle w:val="45"/>
        <w:ind w:firstLine="640"/>
        <w:rPr>
          <w:rFonts w:ascii="宋体" w:hAnsi="宋体" w:cs="宋体"/>
        </w:rPr>
      </w:pPr>
    </w:p>
    <w:p>
      <w:pPr>
        <w:rPr>
          <w:rFonts w:ascii="宋体" w:hAnsi="宋体" w:cs="宋体"/>
        </w:rPr>
      </w:pPr>
    </w:p>
    <w:p>
      <w:pPr>
        <w:pStyle w:val="21"/>
        <w:spacing w:before="59"/>
        <w:ind w:right="189"/>
        <w:rPr>
          <w:rFonts w:ascii="宋体" w:hAnsi="宋体" w:cs="宋体"/>
          <w:b/>
          <w:bCs/>
        </w:rPr>
      </w:pPr>
      <w:bookmarkStart w:id="89" w:name="_Toc6326_WPSOffice_Level2"/>
      <w:r>
        <w:rPr>
          <w:rFonts w:hint="eastAsia" w:ascii="宋体" w:hAnsi="宋体" w:cs="宋体"/>
          <w:b/>
          <w:bCs/>
        </w:rPr>
        <w:t>附一：</w:t>
      </w:r>
    </w:p>
    <w:p>
      <w:pPr>
        <w:pStyle w:val="21"/>
        <w:spacing w:before="59"/>
        <w:ind w:right="189"/>
        <w:jc w:val="center"/>
        <w:rPr>
          <w:rFonts w:ascii="宋体" w:hAnsi="宋体" w:cs="宋体"/>
          <w:b/>
          <w:bCs/>
        </w:rPr>
      </w:pPr>
      <w:r>
        <w:rPr>
          <w:rFonts w:hint="eastAsia" w:ascii="宋体" w:hAnsi="宋体" w:cs="宋体"/>
          <w:b/>
          <w:bCs/>
        </w:rPr>
        <w:t>中小微企业声明函</w:t>
      </w:r>
      <w:bookmarkEnd w:id="89"/>
    </w:p>
    <w:p>
      <w:pPr>
        <w:pStyle w:val="21"/>
        <w:spacing w:before="1"/>
        <w:ind w:right="189"/>
        <w:jc w:val="center"/>
        <w:rPr>
          <w:rFonts w:ascii="宋体" w:hAnsi="宋体" w:cs="宋体"/>
          <w:b/>
        </w:rPr>
      </w:pPr>
      <w:r>
        <w:rPr>
          <w:rFonts w:hint="eastAsia" w:ascii="宋体" w:hAnsi="宋体" w:cs="宋体"/>
        </w:rPr>
        <w:t>（属于中小微企业的填写，不属于的无需填写此项内容）</w:t>
      </w:r>
      <w:bookmarkStart w:id="90" w:name="OLE_LINK14"/>
      <w:bookmarkStart w:id="91" w:name="OLE_LINK13"/>
    </w:p>
    <w:p>
      <w:pPr>
        <w:spacing w:line="440" w:lineRule="exact"/>
        <w:ind w:firstLine="480" w:firstLineChars="200"/>
        <w:rPr>
          <w:rFonts w:ascii="宋体" w:hAnsi="宋体" w:cs="宋体"/>
          <w:sz w:val="24"/>
        </w:rPr>
      </w:pPr>
      <w:r>
        <w:rPr>
          <w:rFonts w:hint="eastAsia" w:ascii="宋体" w:hAnsi="宋体" w:cs="宋体"/>
          <w:sz w:val="24"/>
        </w:rPr>
        <w:t>本公司(联合体)郑重声明，根据《财政部关于进一步加大政府采购支持中小企业力度的通知》(财库(2022)19号)的规定，本公司参加</w:t>
      </w:r>
      <w:r>
        <w:rPr>
          <w:rFonts w:hint="eastAsia" w:ascii="宋体" w:hAnsi="宋体" w:cs="宋体"/>
          <w:sz w:val="24"/>
          <w:u w:val="single"/>
        </w:rPr>
        <w:t xml:space="preserve">      </w:t>
      </w:r>
      <w:r>
        <w:rPr>
          <w:rFonts w:hint="eastAsia" w:ascii="宋体" w:hAnsi="宋体" w:cs="宋体"/>
          <w:sz w:val="24"/>
        </w:rPr>
        <w:t>(单位名称)的</w:t>
      </w:r>
      <w:r>
        <w:rPr>
          <w:rFonts w:hint="eastAsia" w:ascii="宋体" w:hAnsi="宋体" w:cs="宋体"/>
          <w:sz w:val="24"/>
          <w:u w:val="single"/>
        </w:rPr>
        <w:t xml:space="preserve">      </w:t>
      </w:r>
      <w:r>
        <w:rPr>
          <w:rFonts w:hint="eastAsia" w:ascii="宋体" w:hAnsi="宋体" w:cs="宋体"/>
          <w:sz w:val="24"/>
        </w:rPr>
        <w:t>(项目名称)采购活动，提供的货物全部由符合政策要求的中小企业制造。相关企业(含联合体中的中小企业、签订分包意向协议的中小企业)的具体情况如下：</w:t>
      </w:r>
    </w:p>
    <w:p>
      <w:pPr>
        <w:spacing w:line="440" w:lineRule="exact"/>
        <w:ind w:firstLine="480" w:firstLineChars="200"/>
        <w:rPr>
          <w:rFonts w:ascii="宋体" w:hAnsi="宋体" w:cs="宋体"/>
          <w:sz w:val="24"/>
        </w:rPr>
      </w:pPr>
      <w:r>
        <w:rPr>
          <w:rFonts w:hint="eastAsia" w:ascii="宋体" w:hAnsi="宋体" w:cs="宋体"/>
          <w:sz w:val="24"/>
        </w:rPr>
        <w:t>1.(标的名称)</w:t>
      </w:r>
      <w:r>
        <w:rPr>
          <w:rFonts w:hint="eastAsia" w:ascii="宋体" w:hAnsi="宋体" w:cs="宋体"/>
          <w:sz w:val="24"/>
          <w:u w:val="single"/>
        </w:rPr>
        <w:t xml:space="preserve">       </w:t>
      </w:r>
      <w:r>
        <w:rPr>
          <w:rFonts w:hint="eastAsia" w:ascii="宋体" w:hAnsi="宋体" w:cs="宋体"/>
          <w:sz w:val="24"/>
        </w:rPr>
        <w:t>，属于</w:t>
      </w:r>
      <w:r>
        <w:rPr>
          <w:rFonts w:hint="eastAsia" w:ascii="宋体" w:hAnsi="宋体" w:cs="宋体"/>
          <w:sz w:val="24"/>
          <w:u w:val="single"/>
        </w:rPr>
        <w:t xml:space="preserve">       </w:t>
      </w:r>
      <w:r>
        <w:rPr>
          <w:rFonts w:hint="eastAsia" w:ascii="宋体" w:hAnsi="宋体" w:cs="宋体"/>
          <w:sz w:val="24"/>
        </w:rPr>
        <w:t>（采购文件中明确的所属行业）行业；制造商为</w:t>
      </w:r>
      <w:r>
        <w:rPr>
          <w:rFonts w:hint="eastAsia" w:ascii="宋体" w:hAnsi="宋体" w:cs="宋体"/>
          <w:sz w:val="24"/>
          <w:u w:val="single"/>
        </w:rPr>
        <w:t xml:space="preserve">       </w:t>
      </w:r>
      <w:r>
        <w:rPr>
          <w:rFonts w:hint="eastAsia" w:ascii="宋体" w:hAnsi="宋体" w:cs="宋体"/>
          <w:sz w:val="24"/>
        </w:rPr>
        <w:t>(企业名称)，从业人员</w:t>
      </w:r>
      <w:r>
        <w:rPr>
          <w:rFonts w:hint="eastAsia" w:ascii="宋体" w:hAnsi="宋体" w:cs="宋体"/>
          <w:sz w:val="24"/>
          <w:u w:val="single"/>
        </w:rPr>
        <w:t xml:space="preserve">      </w:t>
      </w:r>
      <w:r>
        <w:rPr>
          <w:rFonts w:hint="eastAsia" w:ascii="宋体" w:hAnsi="宋体" w:cs="宋体"/>
          <w:sz w:val="24"/>
        </w:rPr>
        <w:t>人，营业收入为</w:t>
      </w:r>
      <w:r>
        <w:rPr>
          <w:rFonts w:hint="eastAsia" w:ascii="宋体" w:hAnsi="宋体" w:cs="宋体"/>
          <w:sz w:val="24"/>
          <w:u w:val="single"/>
        </w:rPr>
        <w:t xml:space="preserve">     </w:t>
      </w:r>
      <w:r>
        <w:rPr>
          <w:rFonts w:hint="eastAsia" w:ascii="宋体" w:hAnsi="宋体" w:cs="宋体"/>
          <w:sz w:val="24"/>
        </w:rPr>
        <w:t>万元，资产总额为</w:t>
      </w:r>
      <w:r>
        <w:rPr>
          <w:rFonts w:hint="eastAsia" w:ascii="宋体" w:hAnsi="宋体" w:cs="宋体"/>
          <w:sz w:val="24"/>
          <w:u w:val="single"/>
        </w:rPr>
        <w:t xml:space="preserve">      </w:t>
      </w:r>
      <w:r>
        <w:rPr>
          <w:rFonts w:hint="eastAsia" w:ascii="宋体" w:hAnsi="宋体" w:cs="宋体"/>
          <w:sz w:val="24"/>
        </w:rPr>
        <w:t>万元，属于（中型企业、小型企业、微型企业)：</w:t>
      </w:r>
    </w:p>
    <w:p>
      <w:pPr>
        <w:spacing w:line="440" w:lineRule="exact"/>
        <w:ind w:firstLine="480" w:firstLineChars="200"/>
        <w:rPr>
          <w:rFonts w:ascii="宋体" w:hAnsi="宋体" w:cs="宋体"/>
          <w:sz w:val="24"/>
        </w:rPr>
      </w:pPr>
      <w:r>
        <w:rPr>
          <w:rFonts w:hint="eastAsia" w:ascii="宋体" w:hAnsi="宋体" w:cs="宋体"/>
          <w:sz w:val="24"/>
        </w:rPr>
        <w:t>2.(标的名称）</w:t>
      </w:r>
      <w:r>
        <w:rPr>
          <w:rFonts w:hint="eastAsia" w:ascii="宋体" w:hAnsi="宋体" w:cs="宋体"/>
          <w:sz w:val="24"/>
          <w:u w:val="single"/>
        </w:rPr>
        <w:t xml:space="preserve">       </w:t>
      </w:r>
      <w:r>
        <w:rPr>
          <w:rFonts w:hint="eastAsia" w:ascii="宋体" w:hAnsi="宋体" w:cs="宋体"/>
          <w:sz w:val="24"/>
        </w:rPr>
        <w:t>，属于</w:t>
      </w:r>
      <w:r>
        <w:rPr>
          <w:rFonts w:hint="eastAsia" w:ascii="宋体" w:hAnsi="宋体" w:cs="宋体"/>
          <w:sz w:val="24"/>
          <w:u w:val="single"/>
        </w:rPr>
        <w:t xml:space="preserve">      </w:t>
      </w:r>
      <w:r>
        <w:rPr>
          <w:rFonts w:hint="eastAsia" w:ascii="宋体" w:hAnsi="宋体" w:cs="宋体"/>
          <w:sz w:val="24"/>
        </w:rPr>
        <w:t>（采购文件中明确的所属行业)行业；制造商为</w:t>
      </w:r>
      <w:r>
        <w:rPr>
          <w:rFonts w:hint="eastAsia" w:ascii="宋体" w:hAnsi="宋体" w:cs="宋体"/>
          <w:sz w:val="24"/>
          <w:u w:val="single"/>
        </w:rPr>
        <w:t xml:space="preserve">      </w:t>
      </w:r>
      <w:r>
        <w:rPr>
          <w:rFonts w:hint="eastAsia" w:ascii="宋体" w:hAnsi="宋体" w:cs="宋体"/>
          <w:sz w:val="24"/>
        </w:rPr>
        <w:t>(企业名称），从业人员</w:t>
      </w:r>
      <w:r>
        <w:rPr>
          <w:rFonts w:hint="eastAsia" w:ascii="宋体" w:hAnsi="宋体" w:cs="宋体"/>
          <w:sz w:val="24"/>
          <w:u w:val="single"/>
        </w:rPr>
        <w:t xml:space="preserve">     </w:t>
      </w:r>
      <w:r>
        <w:rPr>
          <w:rFonts w:hint="eastAsia" w:ascii="宋体" w:hAnsi="宋体" w:cs="宋体"/>
          <w:sz w:val="24"/>
        </w:rPr>
        <w:t>人，营业收入为</w:t>
      </w:r>
      <w:r>
        <w:rPr>
          <w:rFonts w:hint="eastAsia" w:ascii="宋体" w:hAnsi="宋体" w:cs="宋体"/>
          <w:sz w:val="24"/>
          <w:u w:val="single"/>
        </w:rPr>
        <w:t xml:space="preserve">     </w:t>
      </w:r>
      <w:r>
        <w:rPr>
          <w:rFonts w:hint="eastAsia" w:ascii="宋体" w:hAnsi="宋体" w:cs="宋体"/>
          <w:sz w:val="24"/>
        </w:rPr>
        <w:t>万元，资产总额为</w:t>
      </w:r>
      <w:r>
        <w:rPr>
          <w:rFonts w:hint="eastAsia" w:ascii="宋体" w:hAnsi="宋体" w:cs="宋体"/>
          <w:sz w:val="24"/>
          <w:u w:val="single"/>
        </w:rPr>
        <w:t xml:space="preserve">       </w:t>
      </w:r>
      <w:r>
        <w:rPr>
          <w:rFonts w:hint="eastAsia" w:ascii="宋体" w:hAnsi="宋体" w:cs="宋体"/>
          <w:sz w:val="24"/>
        </w:rPr>
        <w:t>万元，属于《中型企业、小型企业、微型企业）；</w:t>
      </w:r>
    </w:p>
    <w:p>
      <w:pPr>
        <w:spacing w:line="440" w:lineRule="exact"/>
        <w:ind w:firstLine="480" w:firstLineChars="200"/>
        <w:rPr>
          <w:rFonts w:ascii="宋体" w:hAnsi="宋体" w:cs="宋体"/>
          <w:sz w:val="24"/>
        </w:rPr>
      </w:pPr>
      <w:r>
        <w:rPr>
          <w:rFonts w:hint="eastAsia" w:ascii="宋体" w:hAnsi="宋体" w:cs="宋体"/>
          <w:sz w:val="24"/>
        </w:rPr>
        <w:t>........</w:t>
      </w:r>
    </w:p>
    <w:p>
      <w:pPr>
        <w:spacing w:line="440" w:lineRule="exact"/>
        <w:ind w:firstLine="480" w:firstLineChars="200"/>
        <w:rPr>
          <w:rFonts w:ascii="宋体" w:hAnsi="宋体" w:cs="宋体"/>
          <w:sz w:val="24"/>
        </w:rPr>
      </w:pPr>
      <w:r>
        <w:rPr>
          <w:rFonts w:hint="eastAsia" w:ascii="宋体" w:hAnsi="宋体" w:cs="宋体"/>
          <w:sz w:val="24"/>
        </w:rPr>
        <w:t>以上企业，不属于大企业的分支机构，不存在控股股东为大企业的情形，也不存在与大企业的负责人为同一人的情形。</w:t>
      </w:r>
    </w:p>
    <w:p>
      <w:pPr>
        <w:spacing w:line="440" w:lineRule="exact"/>
        <w:ind w:firstLine="480" w:firstLineChars="200"/>
        <w:rPr>
          <w:rFonts w:ascii="宋体" w:hAnsi="宋体" w:cs="宋体"/>
          <w:sz w:val="24"/>
        </w:rPr>
      </w:pPr>
      <w:r>
        <w:rPr>
          <w:rFonts w:hint="eastAsia" w:ascii="宋体" w:hAnsi="宋体" w:cs="宋体"/>
          <w:sz w:val="24"/>
        </w:rPr>
        <w:t>本企业对上述声明内容的真实性负责。如有虚假，将依法承担相应责任。</w:t>
      </w:r>
    </w:p>
    <w:p>
      <w:pPr>
        <w:spacing w:line="440" w:lineRule="exact"/>
        <w:rPr>
          <w:rFonts w:ascii="宋体" w:hAnsi="宋体" w:cs="宋体"/>
          <w:sz w:val="24"/>
        </w:rPr>
      </w:pPr>
    </w:p>
    <w:p>
      <w:pPr>
        <w:pStyle w:val="7"/>
        <w:rPr>
          <w:rFonts w:ascii="宋体" w:hAnsi="宋体" w:cs="宋体"/>
        </w:rPr>
      </w:pPr>
    </w:p>
    <w:p>
      <w:pPr>
        <w:rPr>
          <w:rFonts w:ascii="宋体" w:hAnsi="宋体" w:cs="宋体"/>
        </w:rPr>
      </w:pPr>
    </w:p>
    <w:p>
      <w:pPr>
        <w:spacing w:line="440" w:lineRule="exact"/>
        <w:jc w:val="center"/>
        <w:rPr>
          <w:rFonts w:ascii="宋体" w:hAnsi="宋体" w:cs="宋体"/>
          <w:sz w:val="24"/>
        </w:rPr>
      </w:pPr>
      <w:r>
        <w:rPr>
          <w:rFonts w:hint="eastAsia" w:ascii="宋体" w:hAnsi="宋体" w:cs="宋体"/>
          <w:sz w:val="24"/>
        </w:rPr>
        <w:t xml:space="preserve">    供应商(</w:t>
      </w:r>
      <w:r>
        <w:rPr>
          <w:rFonts w:hint="eastAsia" w:ascii="宋体" w:hAnsi="宋体" w:cs="宋体"/>
          <w:sz w:val="24"/>
          <w:szCs w:val="24"/>
        </w:rPr>
        <w:t>公章</w:t>
      </w:r>
      <w:r>
        <w:rPr>
          <w:rFonts w:hint="eastAsia" w:ascii="宋体" w:hAnsi="宋体" w:cs="宋体"/>
          <w:sz w:val="24"/>
        </w:rPr>
        <w:t>)：</w:t>
      </w:r>
    </w:p>
    <w:p>
      <w:pPr>
        <w:spacing w:line="440" w:lineRule="exact"/>
        <w:jc w:val="center"/>
        <w:rPr>
          <w:rFonts w:ascii="宋体" w:hAnsi="宋体" w:cs="宋体"/>
          <w:sz w:val="24"/>
        </w:rPr>
      </w:pPr>
      <w:r>
        <w:rPr>
          <w:rFonts w:hint="eastAsia" w:ascii="宋体" w:hAnsi="宋体" w:cs="宋体"/>
          <w:sz w:val="24"/>
        </w:rPr>
        <w:t xml:space="preserve">    日   期：</w:t>
      </w:r>
    </w:p>
    <w:p>
      <w:pPr>
        <w:pStyle w:val="9"/>
        <w:ind w:firstLine="480"/>
        <w:rPr>
          <w:rFonts w:ascii="宋体" w:hAnsi="宋体" w:cs="宋体"/>
          <w:sz w:val="24"/>
        </w:rPr>
      </w:pPr>
    </w:p>
    <w:p>
      <w:pPr>
        <w:pStyle w:val="21"/>
        <w:rPr>
          <w:rFonts w:ascii="宋体" w:hAnsi="宋体" w:cs="宋体"/>
          <w:b/>
          <w:bCs/>
        </w:rPr>
      </w:pPr>
    </w:p>
    <w:p>
      <w:pPr>
        <w:pStyle w:val="21"/>
        <w:rPr>
          <w:rFonts w:ascii="宋体" w:hAnsi="宋体" w:cs="宋体"/>
          <w:b/>
          <w:bCs/>
        </w:rPr>
      </w:pPr>
      <w:r>
        <w:rPr>
          <w:rFonts w:hint="eastAsia" w:ascii="宋体" w:hAnsi="宋体" w:cs="宋体"/>
          <w:b/>
          <w:bCs/>
        </w:rPr>
        <w:t>附注：从业人员、营业收入、资产总额填报上一年度数据，无上一年度数据的新成立企业可不填报。</w:t>
      </w:r>
    </w:p>
    <w:p>
      <w:pPr>
        <w:pStyle w:val="5"/>
        <w:rPr>
          <w:rFonts w:ascii="宋体" w:hAnsi="宋体" w:eastAsia="宋体" w:cs="宋体"/>
          <w:sz w:val="24"/>
          <w:szCs w:val="24"/>
        </w:rPr>
      </w:pPr>
      <w:r>
        <w:rPr>
          <w:rFonts w:hint="eastAsia" w:ascii="宋体" w:hAnsi="宋体" w:eastAsia="宋体" w:cs="宋体"/>
          <w:sz w:val="24"/>
          <w:szCs w:val="24"/>
        </w:rPr>
        <w:br w:type="page"/>
      </w:r>
      <w:bookmarkStart w:id="92" w:name="_Toc21965"/>
      <w:bookmarkStart w:id="93" w:name="_Toc8980_WPSOffice_Level2"/>
      <w:bookmarkStart w:id="94" w:name="_Toc14325"/>
      <w:r>
        <w:rPr>
          <w:rFonts w:hint="eastAsia" w:ascii="宋体" w:hAnsi="宋体" w:eastAsia="宋体" w:cs="宋体"/>
          <w:sz w:val="24"/>
          <w:szCs w:val="24"/>
        </w:rPr>
        <w:t>附二：</w:t>
      </w:r>
    </w:p>
    <w:p>
      <w:pPr>
        <w:pStyle w:val="5"/>
        <w:jc w:val="center"/>
        <w:rPr>
          <w:rFonts w:ascii="宋体" w:hAnsi="宋体" w:eastAsia="宋体" w:cs="宋体"/>
          <w:sz w:val="24"/>
          <w:szCs w:val="24"/>
        </w:rPr>
      </w:pPr>
      <w:r>
        <w:rPr>
          <w:rFonts w:hint="eastAsia" w:ascii="宋体" w:hAnsi="宋体" w:eastAsia="宋体" w:cs="宋体"/>
          <w:sz w:val="24"/>
          <w:szCs w:val="24"/>
        </w:rPr>
        <w:t>残疾人福利性单位声明函（如有）</w:t>
      </w:r>
      <w:bookmarkEnd w:id="92"/>
      <w:bookmarkEnd w:id="93"/>
      <w:bookmarkEnd w:id="94"/>
    </w:p>
    <w:p>
      <w:pPr>
        <w:rPr>
          <w:rFonts w:ascii="宋体" w:hAnsi="宋体" w:cs="宋体"/>
        </w:rPr>
      </w:pPr>
    </w:p>
    <w:bookmarkEnd w:id="90"/>
    <w:bookmarkEnd w:id="91"/>
    <w:p>
      <w:pPr>
        <w:rPr>
          <w:rFonts w:ascii="宋体" w:hAnsi="宋体" w:cs="宋体"/>
          <w:b/>
          <w:spacing w:val="6"/>
        </w:rPr>
      </w:pPr>
    </w:p>
    <w:p>
      <w:pPr>
        <w:ind w:firstLine="444" w:firstLineChars="200"/>
        <w:rPr>
          <w:rFonts w:ascii="宋体" w:hAnsi="宋体" w:cs="宋体"/>
          <w:spacing w:val="6"/>
        </w:rPr>
      </w:pPr>
      <w:r>
        <w:rPr>
          <w:rFonts w:hint="eastAsia" w:ascii="宋体" w:hAnsi="宋体" w:cs="宋体"/>
          <w:spacing w:val="6"/>
        </w:rPr>
        <w:t>本单位郑重声明，根据《财政部 民政部 中国残疾人联合会关于促进残疾人就业政府采购政策的通知》（财库</w:t>
      </w:r>
      <w:r>
        <w:rPr>
          <w:rFonts w:hint="eastAsia" w:ascii="宋体" w:hAnsi="宋体" w:cs="宋体"/>
        </w:rPr>
        <w:t>〔2017〕 141</w:t>
      </w:r>
      <w:r>
        <w:rPr>
          <w:rFonts w:hint="eastAsia" w:ascii="宋体" w:hAnsi="宋体" w:cs="宋体"/>
          <w:spacing w:val="6"/>
        </w:rPr>
        <w:t>号）的规定，本单位为符合条件的残疾人福利性单位，且本单位参加</w:t>
      </w:r>
      <w:r>
        <w:rPr>
          <w:rFonts w:hint="eastAsia" w:ascii="宋体" w:hAnsi="宋体" w:cs="宋体"/>
          <w:spacing w:val="6"/>
          <w:u w:val="single"/>
        </w:rPr>
        <w:t xml:space="preserve">       </w:t>
      </w:r>
      <w:r>
        <w:rPr>
          <w:rFonts w:hint="eastAsia" w:ascii="宋体" w:hAnsi="宋体" w:cs="宋体"/>
          <w:spacing w:val="6"/>
        </w:rPr>
        <w:t>单位的</w:t>
      </w:r>
      <w:r>
        <w:rPr>
          <w:rFonts w:hint="eastAsia" w:ascii="宋体" w:hAnsi="宋体" w:cs="宋体"/>
          <w:spacing w:val="6"/>
          <w:u w:val="single"/>
        </w:rPr>
        <w:t xml:space="preserve">      </w:t>
      </w:r>
      <w:r>
        <w:rPr>
          <w:rFonts w:hint="eastAsia" w:ascii="宋体" w:hAnsi="宋体" w:cs="宋体"/>
          <w:spacing w:val="6"/>
        </w:rPr>
        <w:t>项目采购活动提供本单位制造的货物（由本单位承担工程/提供服务），或者提供其他残疾人福利性单位制造的货物（不包括使用非残疾人福利性单位注册商标的货物）。</w:t>
      </w:r>
    </w:p>
    <w:p>
      <w:pPr>
        <w:ind w:firstLine="444" w:firstLineChars="200"/>
        <w:rPr>
          <w:rFonts w:ascii="宋体" w:hAnsi="宋体" w:cs="宋体"/>
          <w:spacing w:val="6"/>
        </w:rPr>
      </w:pPr>
      <w:r>
        <w:rPr>
          <w:rFonts w:hint="eastAsia" w:ascii="宋体" w:hAnsi="宋体" w:cs="宋体"/>
          <w:spacing w:val="6"/>
        </w:rPr>
        <w:t>本单位对上述声明的真实性负责。如有虚假，将依法承担相应责任。</w:t>
      </w:r>
    </w:p>
    <w:p>
      <w:pPr>
        <w:spacing w:line="460" w:lineRule="exact"/>
        <w:jc w:val="center"/>
        <w:rPr>
          <w:rFonts w:ascii="宋体" w:hAnsi="宋体" w:cs="宋体"/>
        </w:rPr>
      </w:pPr>
      <w:r>
        <w:rPr>
          <w:rFonts w:hint="eastAsia" w:ascii="宋体" w:hAnsi="宋体" w:cs="宋体"/>
        </w:rPr>
        <w:t xml:space="preserve">                                                 </w:t>
      </w:r>
      <w:bookmarkStart w:id="95" w:name="_Toc13152_WPSOffice_Level2"/>
      <w:r>
        <w:rPr>
          <w:rFonts w:hint="eastAsia" w:ascii="宋体" w:hAnsi="宋体" w:cs="宋体"/>
        </w:rPr>
        <w:t>供应商（公章）：</w:t>
      </w:r>
      <w:bookmarkEnd w:id="95"/>
    </w:p>
    <w:p>
      <w:pPr>
        <w:jc w:val="center"/>
        <w:rPr>
          <w:rFonts w:ascii="宋体" w:hAnsi="宋体" w:cs="宋体"/>
          <w:spacing w:val="6"/>
        </w:rPr>
      </w:pPr>
    </w:p>
    <w:p>
      <w:pPr>
        <w:jc w:val="center"/>
        <w:rPr>
          <w:rFonts w:ascii="宋体" w:hAnsi="宋体" w:cs="宋体"/>
        </w:rPr>
      </w:pPr>
      <w:r>
        <w:rPr>
          <w:rFonts w:hint="eastAsia" w:ascii="宋体" w:hAnsi="宋体" w:cs="宋体"/>
        </w:rPr>
        <w:t xml:space="preserve">                                                 </w:t>
      </w:r>
      <w:bookmarkStart w:id="96" w:name="_Toc2487_WPSOffice_Level2"/>
      <w:r>
        <w:rPr>
          <w:rFonts w:hint="eastAsia" w:ascii="宋体" w:hAnsi="宋体" w:cs="宋体"/>
        </w:rPr>
        <w:t xml:space="preserve">日期： </w:t>
      </w:r>
      <w:bookmarkEnd w:id="96"/>
    </w:p>
    <w:p>
      <w:pPr>
        <w:rPr>
          <w:rFonts w:ascii="宋体" w:hAnsi="宋体" w:cs="宋体"/>
        </w:rPr>
      </w:pPr>
    </w:p>
    <w:p>
      <w:pPr>
        <w:widowControl/>
        <w:rPr>
          <w:rFonts w:ascii="宋体" w:hAnsi="宋体" w:cs="宋体"/>
          <w:b/>
        </w:rPr>
      </w:pPr>
      <w:r>
        <w:rPr>
          <w:rFonts w:hint="eastAsia" w:ascii="宋体" w:hAnsi="宋体" w:cs="宋体"/>
          <w:b/>
        </w:rPr>
        <w:t>（提醒：如果响应人</w:t>
      </w:r>
      <w:r>
        <w:rPr>
          <w:rFonts w:hint="eastAsia" w:ascii="宋体" w:hAnsi="宋体" w:cs="宋体"/>
          <w:b/>
          <w:spacing w:val="10"/>
        </w:rPr>
        <w:t>不是残疾人福利性单位</w:t>
      </w:r>
      <w:r>
        <w:rPr>
          <w:rFonts w:hint="eastAsia" w:ascii="宋体" w:hAnsi="宋体" w:cs="宋体"/>
          <w:b/>
        </w:rPr>
        <w:t>，则不需要提供《残疾人福利性单位声明函》。否则，因此导致虚假投标的后果由响应人自行承担。）</w:t>
      </w:r>
    </w:p>
    <w:p>
      <w:pPr>
        <w:rPr>
          <w:rFonts w:ascii="宋体" w:hAnsi="宋体" w:cs="宋体"/>
        </w:rPr>
      </w:pPr>
      <w:r>
        <w:rPr>
          <w:rFonts w:hint="eastAsia" w:ascii="宋体" w:hAnsi="宋体" w:cs="宋体"/>
        </w:rPr>
        <w:t>《财政部民政部中国残疾人联合会关于促进残疾人就业政府采购政策的通知》（财库（2017〔141〕号）的规定：</w:t>
      </w:r>
    </w:p>
    <w:p>
      <w:pPr>
        <w:ind w:firstLine="420" w:firstLineChars="200"/>
        <w:rPr>
          <w:rFonts w:ascii="宋体" w:hAnsi="宋体" w:cs="宋体"/>
        </w:rPr>
      </w:pPr>
      <w:r>
        <w:rPr>
          <w:rFonts w:hint="eastAsia" w:ascii="宋体" w:hAnsi="宋体" w:cs="宋体"/>
        </w:rPr>
        <w:t>1. 享受政府采购支持政策的残疾人福利性单位应当同时满足以下条件：</w:t>
      </w:r>
    </w:p>
    <w:p>
      <w:pPr>
        <w:rPr>
          <w:rFonts w:ascii="宋体" w:hAnsi="宋体" w:cs="宋体"/>
        </w:rPr>
      </w:pPr>
      <w:r>
        <w:rPr>
          <w:rFonts w:hint="eastAsia" w:ascii="宋体" w:hAnsi="宋体" w:cs="宋体"/>
        </w:rPr>
        <w:t>（1）安置的残疾人占本单位在职职工人数的比例不低于25%（含25%），并且安置的残疾人人数不少于10人（含10人）；</w:t>
      </w:r>
    </w:p>
    <w:p>
      <w:pPr>
        <w:rPr>
          <w:rFonts w:ascii="宋体" w:hAnsi="宋体" w:cs="宋体"/>
        </w:rPr>
      </w:pPr>
      <w:r>
        <w:rPr>
          <w:rFonts w:hint="eastAsia" w:ascii="宋体" w:hAnsi="宋体" w:cs="宋体"/>
        </w:rPr>
        <w:t>（2）依法与安置的每位残疾人签订了一年以上（含一年）的劳动合同或服务协议；</w:t>
      </w:r>
    </w:p>
    <w:p>
      <w:pPr>
        <w:rPr>
          <w:rFonts w:ascii="宋体" w:hAnsi="宋体" w:cs="宋体"/>
        </w:rPr>
      </w:pPr>
      <w:r>
        <w:rPr>
          <w:rFonts w:hint="eastAsia" w:ascii="宋体" w:hAnsi="宋体" w:cs="宋体"/>
        </w:rPr>
        <w:t>（3）为安置的每位残疾人按月足额缴纳了基本养老保险、基本医疗保险、失业保险、工伤保险和生育保险等社会保险费；</w:t>
      </w:r>
    </w:p>
    <w:p>
      <w:pPr>
        <w:rPr>
          <w:rFonts w:ascii="宋体" w:hAnsi="宋体" w:cs="宋体"/>
        </w:rPr>
      </w:pPr>
      <w:r>
        <w:rPr>
          <w:rFonts w:hint="eastAsia" w:ascii="宋体" w:hAnsi="宋体" w:cs="宋体"/>
        </w:rPr>
        <w:t>（4）通过银行等金融机构向安置的每位残疾人，按月支付了不低于单位所在区县适用的经省级人民政府批准的月最低工资标准的工资；</w:t>
      </w:r>
    </w:p>
    <w:p>
      <w:pPr>
        <w:rPr>
          <w:rFonts w:ascii="宋体" w:hAnsi="宋体" w:cs="宋体"/>
        </w:rPr>
      </w:pPr>
      <w:r>
        <w:rPr>
          <w:rFonts w:hint="eastAsia" w:ascii="宋体" w:hAnsi="宋体" w:cs="宋体"/>
        </w:rPr>
        <w:t>（5）提供本单位制造的货物、承担的工程或者服务（以下简称产品），或者提供其他残疾人福利性单位制造的货物（不包括使用非残疾人福利性单位注册商标的货物）。</w:t>
      </w:r>
    </w:p>
    <w:p>
      <w:pPr>
        <w:ind w:firstLine="420" w:firstLineChars="200"/>
        <w:rPr>
          <w:rFonts w:ascii="宋体" w:hAnsi="宋体" w:cs="宋体"/>
          <w:b/>
        </w:rPr>
      </w:pPr>
      <w:r>
        <w:rPr>
          <w:rFonts w:hint="eastAsia" w:ascii="宋体" w:hAnsi="宋体" w:cs="宋体"/>
        </w:rPr>
        <w:t>2. 中标人为残疾人福利性单位的，采购人或者其委托的采购代理机构应当随中标、成交结果同时公告其《残疾人福利性单位声明函》，接受社会监督。</w:t>
      </w:r>
    </w:p>
    <w:p>
      <w:pPr>
        <w:jc w:val="center"/>
        <w:rPr>
          <w:rFonts w:ascii="宋体" w:hAnsi="宋体" w:cs="宋体"/>
        </w:rPr>
      </w:pPr>
    </w:p>
    <w:p>
      <w:pPr>
        <w:jc w:val="center"/>
        <w:rPr>
          <w:rFonts w:ascii="宋体" w:hAnsi="宋体" w:cs="宋体"/>
        </w:rPr>
      </w:pPr>
    </w:p>
    <w:p>
      <w:pPr>
        <w:jc w:val="center"/>
        <w:rPr>
          <w:rFonts w:ascii="宋体" w:hAnsi="宋体" w:cs="宋体"/>
        </w:rPr>
      </w:pPr>
    </w:p>
    <w:p>
      <w:pPr>
        <w:jc w:val="center"/>
        <w:rPr>
          <w:rFonts w:ascii="宋体" w:hAnsi="宋体" w:cs="宋体"/>
        </w:rPr>
      </w:pPr>
    </w:p>
    <w:p>
      <w:pPr>
        <w:jc w:val="center"/>
        <w:rPr>
          <w:rFonts w:ascii="宋体" w:hAnsi="宋体" w:cs="宋体"/>
        </w:rPr>
      </w:pPr>
    </w:p>
    <w:p>
      <w:pPr>
        <w:jc w:val="center"/>
        <w:rPr>
          <w:rFonts w:ascii="宋体" w:hAnsi="宋体" w:cs="宋体"/>
        </w:rPr>
      </w:pPr>
    </w:p>
    <w:p>
      <w:pPr>
        <w:jc w:val="center"/>
        <w:rPr>
          <w:rFonts w:ascii="宋体" w:hAnsi="宋体" w:cs="宋体"/>
        </w:rPr>
      </w:pPr>
    </w:p>
    <w:p>
      <w:pPr>
        <w:jc w:val="center"/>
        <w:rPr>
          <w:rFonts w:ascii="宋体" w:hAnsi="宋体" w:cs="宋体"/>
        </w:rPr>
      </w:pPr>
    </w:p>
    <w:p>
      <w:pPr>
        <w:rPr>
          <w:rFonts w:ascii="宋体" w:hAnsi="宋体" w:cs="宋体"/>
        </w:rPr>
      </w:pPr>
    </w:p>
    <w:sectPr>
      <w:headerReference r:id="rId4" w:type="default"/>
      <w:footerReference r:id="rId5" w:type="default"/>
      <w:footerReference r:id="rId6" w:type="even"/>
      <w:pgSz w:w="11906" w:h="16838"/>
      <w:pgMar w:top="1440" w:right="1800" w:bottom="1440" w:left="1800" w:header="851" w:footer="839" w:gutter="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ˎ̥">
    <w:altName w:val="Times New Roman"/>
    <w:panose1 w:val="00000000000000000000"/>
    <w:charset w:val="00"/>
    <w:family w:val="auto"/>
    <w:pitch w:val="default"/>
    <w:sig w:usb0="00000000" w:usb1="00000000" w:usb2="00000000" w:usb3="00000000" w:csb0="00040001" w:csb1="00000000"/>
  </w:font>
  <w:font w:name="仿宋_GB2312">
    <w:altName w:val="仿宋"/>
    <w:panose1 w:val="00000000000000000000"/>
    <w:charset w:val="86"/>
    <w:family w:val="modern"/>
    <w:pitch w:val="default"/>
    <w:sig w:usb0="00000000" w:usb1="00000000" w:usb2="00000016" w:usb3="00000000" w:csb0="00040001" w:csb1="00000000"/>
  </w:font>
  <w:font w:name="楷体">
    <w:panose1 w:val="02010609060101010101"/>
    <w:charset w:val="86"/>
    <w:family w:val="modern"/>
    <w:pitch w:val="default"/>
    <w:sig w:usb0="800002BF" w:usb1="38CF7CFA" w:usb2="00000016" w:usb3="00000000" w:csb0="00040001" w:csb1="00000000"/>
  </w:font>
  <w:font w:name="等线 Light">
    <w:panose1 w:val="02010600030101010101"/>
    <w:charset w:val="86"/>
    <w:family w:val="auto"/>
    <w:pitch w:val="default"/>
    <w:sig w:usb0="A00002BF" w:usb1="38CF7CFA" w:usb2="00000016" w:usb3="00000000" w:csb0="0004000F" w:csb1="00000000"/>
  </w:font>
  <w:font w:name="Arial Unicode MS">
    <w:panose1 w:val="020B0604020202020204"/>
    <w:charset w:val="86"/>
    <w:family w:val="roman"/>
    <w:pitch w:val="default"/>
    <w:sig w:usb0="FFFFFFFF" w:usb1="E9FFFFFF" w:usb2="0000003F" w:usb3="00000000" w:csb0="603F01FF" w:csb1="FFFF0000"/>
  </w:font>
  <w:font w:name="仿宋">
    <w:panose1 w:val="02010609060101010101"/>
    <w:charset w:val="86"/>
    <w:family w:val="modern"/>
    <w:pitch w:val="default"/>
    <w:sig w:usb0="800002BF" w:usb1="38CF7CFA" w:usb2="00000016" w:usb3="00000000" w:csb0="00040001" w:csb1="00000000"/>
  </w:font>
  <w:font w:name="PMingLiU">
    <w:altName w:val="Microsoft JhengHei UI"/>
    <w:panose1 w:val="02010601000101010101"/>
    <w:charset w:val="88"/>
    <w:family w:val="auto"/>
    <w:pitch w:val="default"/>
    <w:sig w:usb0="00000000" w:usb1="00000000" w:usb2="00000010" w:usb3="00000000" w:csb0="00100000" w:csb1="00000000"/>
  </w:font>
  <w:font w:name="Tahoma">
    <w:panose1 w:val="020B0604030504040204"/>
    <w:charset w:val="00"/>
    <w:family w:val="auto"/>
    <w:pitch w:val="default"/>
    <w:sig w:usb0="E1002EFF" w:usb1="C000605B" w:usb2="00000029" w:usb3="00000000" w:csb0="200101FF" w:csb1="20280000"/>
  </w:font>
  <w:font w:name="隶书">
    <w:panose1 w:val="02010509060101010101"/>
    <w:charset w:val="86"/>
    <w:family w:val="modern"/>
    <w:pitch w:val="default"/>
    <w:sig w:usb0="00000001" w:usb1="080E0000" w:usb2="00000000" w:usb3="00000000" w:csb0="00040000" w:csb1="00000000"/>
  </w:font>
  <w:font w:name="楷体_GB2312">
    <w:altName w:val="楷体"/>
    <w:panose1 w:val="00000000000000000000"/>
    <w:charset w:val="86"/>
    <w:family w:val="modern"/>
    <w:pitch w:val="default"/>
    <w:sig w:usb0="00000000" w:usb1="00000000" w:usb2="00000016" w:usb3="00000000" w:csb0="00040001" w:csb1="00000000"/>
  </w:font>
  <w:font w:name="Verdana">
    <w:panose1 w:val="020B0604030504040204"/>
    <w:charset w:val="00"/>
    <w:family w:val="swiss"/>
    <w:pitch w:val="default"/>
    <w:sig w:usb0="A00006FF" w:usb1="4000205B" w:usb2="00000010" w:usb3="00000000" w:csb0="2000019F" w:csb1="00000000"/>
  </w:font>
  <w:font w:name="Garamond">
    <w:panose1 w:val="02020404030301010803"/>
    <w:charset w:val="00"/>
    <w:family w:val="roman"/>
    <w:pitch w:val="default"/>
    <w:sig w:usb0="00000287" w:usb1="00000000" w:usb2="00000000" w:usb3="00000000" w:csb0="0000009F" w:csb1="DFD70000"/>
  </w:font>
  <w:font w:name="华文中宋">
    <w:panose1 w:val="02010600040101010101"/>
    <w:charset w:val="86"/>
    <w:family w:val="auto"/>
    <w:pitch w:val="default"/>
    <w:sig w:usb0="00000287" w:usb1="080F0000" w:usb2="00000000" w:usb3="00000000" w:csb0="0004009F" w:csb1="DFD7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29"/>
                          </w:pPr>
                          <w:r>
                            <w:rPr>
                              <w:rFonts w:hint="eastAsia"/>
                            </w:rPr>
                            <w:fldChar w:fldCharType="begin"/>
                          </w:r>
                          <w:r>
                            <w:rPr>
                              <w:rFonts w:hint="eastAsia"/>
                            </w:rPr>
                            <w:instrText xml:space="preserve"> PAGE  \* MERGEFORMAT </w:instrText>
                          </w:r>
                          <w:r>
                            <w:rPr>
                              <w:rFonts w:hint="eastAsia"/>
                            </w:rPr>
                            <w:fldChar w:fldCharType="separate"/>
                          </w:r>
                          <w:r>
                            <w:t>4</w:t>
                          </w:r>
                          <w:r>
                            <w:rPr>
                              <w:rFonts w:hint="eastAsia"/>
                            </w:rPr>
                            <w:fldChar w:fldCharType="end"/>
                          </w:r>
                        </w:p>
                      </w:txbxContent>
                    </wps:txbx>
                    <wps:bodyPr wrap="none" lIns="0" tIns="0" rIns="0" bIns="0" upright="1">
                      <a:spAutoFit/>
                    </wps:bodyPr>
                  </wps:wsp>
                </a:graphicData>
              </a:graphic>
            </wp:anchor>
          </w:drawing>
        </mc:Choice>
        <mc:Fallback>
          <w:pict>
            <v:shape id="文本框 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D/6vHQyQEAAJkDAAAOAAAAAAAAAAEAIAAAAB4BAABkcnMvZTJvRG9j&#10;LnhtbFBLBQYAAAAABgAGAFkBAABZBQAAAAA=&#10;">
              <v:fill on="f" focussize="0,0"/>
              <v:stroke on="f"/>
              <v:imagedata o:title=""/>
              <o:lock v:ext="edit" aspectratio="f"/>
              <v:textbox inset="0mm,0mm,0mm,0mm" style="mso-fit-shape-to-text:t;">
                <w:txbxContent>
                  <w:p>
                    <w:pPr>
                      <w:pStyle w:val="29"/>
                    </w:pPr>
                    <w:r>
                      <w:rPr>
                        <w:rFonts w:hint="eastAsia"/>
                      </w:rPr>
                      <w:fldChar w:fldCharType="begin"/>
                    </w:r>
                    <w:r>
                      <w:rPr>
                        <w:rFonts w:hint="eastAsia"/>
                      </w:rPr>
                      <w:instrText xml:space="preserve"> PAGE  \* MERGEFORMAT </w:instrText>
                    </w:r>
                    <w:r>
                      <w:rPr>
                        <w:rFonts w:hint="eastAsia"/>
                      </w:rPr>
                      <w:fldChar w:fldCharType="separate"/>
                    </w:r>
                    <w:r>
                      <w:t>4</w:t>
                    </w:r>
                    <w:r>
                      <w:rPr>
                        <w:rFonts w:hint="eastAsia"/>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framePr w:wrap="around" w:vAnchor="text" w:hAnchor="margin" w:xAlign="center" w:y="1"/>
      <w:tabs>
        <w:tab w:val="center" w:pos="4153"/>
        <w:tab w:val="right" w:pos="8306"/>
      </w:tabs>
      <w:rPr>
        <w:rStyle w:val="50"/>
      </w:rPr>
    </w:pPr>
    <w:r>
      <w:fldChar w:fldCharType="begin"/>
    </w:r>
    <w:r>
      <w:rPr>
        <w:rStyle w:val="50"/>
      </w:rPr>
      <w:instrText xml:space="preserve">PAGE  </w:instrText>
    </w:r>
    <w:r>
      <w:fldChar w:fldCharType="separate"/>
    </w:r>
    <w:r>
      <w:rPr>
        <w:rStyle w:val="50"/>
      </w:rPr>
      <w:t>69</w:t>
    </w:r>
    <w:r>
      <w:fldChar w:fldCharType="end"/>
    </w:r>
  </w:p>
  <w:p>
    <w:pPr>
      <w:pStyle w:val="29"/>
      <w:tabs>
        <w:tab w:val="center" w:pos="4153"/>
        <w:tab w:val="right" w:pos="8306"/>
      </w:tabs>
      <w:rPr>
        <w:sz w:val="21"/>
        <w:szCs w:val="21"/>
      </w:rPr>
    </w:pPr>
    <w:r>
      <w:rPr>
        <w:rFonts w:hint="eastAsia"/>
        <w:sz w:val="21"/>
        <w:szCs w:val="21"/>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framePr w:wrap="around" w:vAnchor="text" w:hAnchor="margin" w:xAlign="center" w:y="1"/>
      <w:tabs>
        <w:tab w:val="center" w:pos="4153"/>
        <w:tab w:val="right" w:pos="8306"/>
      </w:tabs>
      <w:rPr>
        <w:rStyle w:val="50"/>
      </w:rPr>
    </w:pPr>
    <w:r>
      <w:fldChar w:fldCharType="begin"/>
    </w:r>
    <w:r>
      <w:rPr>
        <w:rStyle w:val="50"/>
      </w:rPr>
      <w:instrText xml:space="preserve">PAGE  </w:instrText>
    </w:r>
    <w:r>
      <w:fldChar w:fldCharType="end"/>
    </w:r>
  </w:p>
  <w:p>
    <w:pPr>
      <w:pStyle w:val="29"/>
      <w:tabs>
        <w:tab w:val="center" w:pos="4153"/>
        <w:tab w:val="right" w:pos="8306"/>
      </w:tabs>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tabs>
        <w:tab w:val="center" w:pos="4153"/>
        <w:tab w:val="right" w:pos="8306"/>
      </w:tabs>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0413AB2"/>
    <w:multiLevelType w:val="singleLevel"/>
    <w:tmpl w:val="C0413AB2"/>
    <w:lvl w:ilvl="0" w:tentative="0">
      <w:start w:val="3"/>
      <w:numFmt w:val="chineseCounting"/>
      <w:suff w:val="space"/>
      <w:lvlText w:val="第%1章"/>
      <w:lvlJc w:val="left"/>
      <w:rPr>
        <w:rFonts w:hint="eastAsia"/>
      </w:rPr>
    </w:lvl>
  </w:abstractNum>
  <w:abstractNum w:abstractNumId="1">
    <w:nsid w:val="00000007"/>
    <w:multiLevelType w:val="multilevel"/>
    <w:tmpl w:val="00000007"/>
    <w:lvl w:ilvl="0" w:tentative="0">
      <w:start w:val="8"/>
      <w:numFmt w:val="decimal"/>
      <w:pStyle w:val="262"/>
      <w:lvlText w:val="%1）"/>
      <w:lvlJc w:val="left"/>
      <w:pPr>
        <w:tabs>
          <w:tab w:val="left" w:pos="904"/>
        </w:tabs>
        <w:ind w:left="904" w:hanging="360"/>
      </w:pPr>
      <w:rPr>
        <w:rFonts w:hint="default"/>
        <w:color w:val="auto"/>
      </w:rPr>
    </w:lvl>
    <w:lvl w:ilvl="1" w:tentative="0">
      <w:start w:val="1"/>
      <w:numFmt w:val="lowerLetter"/>
      <w:lvlText w:val="%2)"/>
      <w:lvlJc w:val="left"/>
      <w:pPr>
        <w:tabs>
          <w:tab w:val="left" w:pos="1384"/>
        </w:tabs>
        <w:ind w:left="1384" w:hanging="420"/>
      </w:pPr>
    </w:lvl>
    <w:lvl w:ilvl="2" w:tentative="0">
      <w:start w:val="1"/>
      <w:numFmt w:val="lowerRoman"/>
      <w:lvlText w:val="%3."/>
      <w:lvlJc w:val="right"/>
      <w:pPr>
        <w:tabs>
          <w:tab w:val="left" w:pos="1804"/>
        </w:tabs>
        <w:ind w:left="1804" w:hanging="420"/>
      </w:pPr>
    </w:lvl>
    <w:lvl w:ilvl="3" w:tentative="0">
      <w:start w:val="1"/>
      <w:numFmt w:val="decimal"/>
      <w:lvlText w:val="%4."/>
      <w:lvlJc w:val="left"/>
      <w:pPr>
        <w:tabs>
          <w:tab w:val="left" w:pos="2224"/>
        </w:tabs>
        <w:ind w:left="2224" w:hanging="420"/>
      </w:pPr>
    </w:lvl>
    <w:lvl w:ilvl="4" w:tentative="0">
      <w:start w:val="1"/>
      <w:numFmt w:val="lowerLetter"/>
      <w:lvlText w:val="%5)"/>
      <w:lvlJc w:val="left"/>
      <w:pPr>
        <w:tabs>
          <w:tab w:val="left" w:pos="2644"/>
        </w:tabs>
        <w:ind w:left="2644" w:hanging="420"/>
      </w:pPr>
    </w:lvl>
    <w:lvl w:ilvl="5" w:tentative="0">
      <w:start w:val="1"/>
      <w:numFmt w:val="lowerRoman"/>
      <w:lvlText w:val="%6."/>
      <w:lvlJc w:val="right"/>
      <w:pPr>
        <w:tabs>
          <w:tab w:val="left" w:pos="3064"/>
        </w:tabs>
        <w:ind w:left="3064" w:hanging="420"/>
      </w:pPr>
    </w:lvl>
    <w:lvl w:ilvl="6" w:tentative="0">
      <w:start w:val="1"/>
      <w:numFmt w:val="decimal"/>
      <w:lvlText w:val="%7."/>
      <w:lvlJc w:val="left"/>
      <w:pPr>
        <w:tabs>
          <w:tab w:val="left" w:pos="3484"/>
        </w:tabs>
        <w:ind w:left="3484" w:hanging="420"/>
      </w:pPr>
    </w:lvl>
    <w:lvl w:ilvl="7" w:tentative="0">
      <w:start w:val="1"/>
      <w:numFmt w:val="lowerLetter"/>
      <w:lvlText w:val="%8)"/>
      <w:lvlJc w:val="left"/>
      <w:pPr>
        <w:tabs>
          <w:tab w:val="left" w:pos="3904"/>
        </w:tabs>
        <w:ind w:left="3904" w:hanging="420"/>
      </w:pPr>
    </w:lvl>
    <w:lvl w:ilvl="8" w:tentative="0">
      <w:start w:val="1"/>
      <w:numFmt w:val="lowerRoman"/>
      <w:lvlText w:val="%9."/>
      <w:lvlJc w:val="right"/>
      <w:pPr>
        <w:tabs>
          <w:tab w:val="left" w:pos="4324"/>
        </w:tabs>
        <w:ind w:left="4324" w:hanging="420"/>
      </w:pPr>
    </w:lvl>
  </w:abstractNum>
  <w:abstractNum w:abstractNumId="2">
    <w:nsid w:val="0000000F"/>
    <w:multiLevelType w:val="multilevel"/>
    <w:tmpl w:val="0000000F"/>
    <w:lvl w:ilvl="0" w:tentative="0">
      <w:start w:val="1"/>
      <w:numFmt w:val="decimal"/>
      <w:pStyle w:val="261"/>
      <w:lvlText w:val="（%1）"/>
      <w:lvlJc w:val="left"/>
      <w:pPr>
        <w:tabs>
          <w:tab w:val="left" w:pos="720"/>
        </w:tabs>
        <w:ind w:left="720" w:hanging="720"/>
      </w:pPr>
      <w:rPr>
        <w:rFonts w:ascii="Times New Roman" w:hAnsi="Times New Roman" w:eastAsia="Times New Roman"/>
        <w:lang w:val="en-US"/>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2615314E"/>
    <w:multiLevelType w:val="multilevel"/>
    <w:tmpl w:val="2615314E"/>
    <w:lvl w:ilvl="0" w:tentative="0">
      <w:start w:val="1"/>
      <w:numFmt w:val="decimal"/>
      <w:pStyle w:val="255"/>
      <w:lvlText w:val="表%1"/>
      <w:lvlJc w:val="left"/>
      <w:pPr>
        <w:tabs>
          <w:tab w:val="left" w:pos="624"/>
        </w:tabs>
        <w:ind w:left="624" w:hanging="624"/>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2E20337C"/>
    <w:multiLevelType w:val="multilevel"/>
    <w:tmpl w:val="2E20337C"/>
    <w:lvl w:ilvl="0" w:tentative="0">
      <w:start w:val="1"/>
      <w:numFmt w:val="decimal"/>
      <w:lvlText w:val="%1"/>
      <w:lvlJc w:val="left"/>
      <w:pPr>
        <w:ind w:left="840" w:hanging="360"/>
      </w:pPr>
      <w:rPr>
        <w:rFonts w:hint="default" w:ascii="Times New Roman" w:hAnsi="Times New Roman" w:cs="Times New Roman"/>
      </w:rPr>
    </w:lvl>
    <w:lvl w:ilvl="1" w:tentative="0">
      <w:start w:val="1"/>
      <w:numFmt w:val="lowerLetter"/>
      <w:lvlText w:val="%2)"/>
      <w:lvlJc w:val="left"/>
      <w:pPr>
        <w:ind w:left="1320" w:hanging="420"/>
      </w:pPr>
      <w:rPr>
        <w:rFonts w:hint="default" w:ascii="Times New Roman" w:hAnsi="Times New Roman" w:cs="Times New Roman"/>
      </w:rPr>
    </w:lvl>
    <w:lvl w:ilvl="2" w:tentative="0">
      <w:start w:val="1"/>
      <w:numFmt w:val="lowerRoman"/>
      <w:lvlText w:val="%3."/>
      <w:lvlJc w:val="right"/>
      <w:pPr>
        <w:ind w:left="1740" w:hanging="420"/>
      </w:pPr>
      <w:rPr>
        <w:rFonts w:hint="default" w:ascii="Times New Roman" w:hAnsi="Times New Roman" w:cs="Times New Roman"/>
      </w:rPr>
    </w:lvl>
    <w:lvl w:ilvl="3" w:tentative="0">
      <w:start w:val="1"/>
      <w:numFmt w:val="decimal"/>
      <w:lvlText w:val="%4."/>
      <w:lvlJc w:val="left"/>
      <w:pPr>
        <w:ind w:left="2160" w:hanging="420"/>
      </w:pPr>
      <w:rPr>
        <w:rFonts w:hint="default" w:ascii="Times New Roman" w:hAnsi="Times New Roman" w:cs="Times New Roman"/>
      </w:rPr>
    </w:lvl>
    <w:lvl w:ilvl="4" w:tentative="0">
      <w:start w:val="1"/>
      <w:numFmt w:val="lowerLetter"/>
      <w:lvlText w:val="%5)"/>
      <w:lvlJc w:val="left"/>
      <w:pPr>
        <w:ind w:left="2580" w:hanging="420"/>
      </w:pPr>
      <w:rPr>
        <w:rFonts w:hint="default" w:ascii="Times New Roman" w:hAnsi="Times New Roman" w:cs="Times New Roman"/>
      </w:rPr>
    </w:lvl>
    <w:lvl w:ilvl="5" w:tentative="0">
      <w:start w:val="1"/>
      <w:numFmt w:val="lowerRoman"/>
      <w:lvlText w:val="%6."/>
      <w:lvlJc w:val="right"/>
      <w:pPr>
        <w:ind w:left="3000" w:hanging="420"/>
      </w:pPr>
      <w:rPr>
        <w:rFonts w:hint="default" w:ascii="Times New Roman" w:hAnsi="Times New Roman" w:cs="Times New Roman"/>
      </w:rPr>
    </w:lvl>
    <w:lvl w:ilvl="6" w:tentative="0">
      <w:start w:val="1"/>
      <w:numFmt w:val="decimal"/>
      <w:lvlText w:val="%7."/>
      <w:lvlJc w:val="left"/>
      <w:pPr>
        <w:ind w:left="3420" w:hanging="420"/>
      </w:pPr>
      <w:rPr>
        <w:rFonts w:hint="default" w:ascii="Times New Roman" w:hAnsi="Times New Roman" w:cs="Times New Roman"/>
      </w:rPr>
    </w:lvl>
    <w:lvl w:ilvl="7" w:tentative="0">
      <w:start w:val="1"/>
      <w:numFmt w:val="lowerLetter"/>
      <w:lvlText w:val="%8)"/>
      <w:lvlJc w:val="left"/>
      <w:pPr>
        <w:ind w:left="3840" w:hanging="420"/>
      </w:pPr>
      <w:rPr>
        <w:rFonts w:hint="default" w:ascii="Times New Roman" w:hAnsi="Times New Roman" w:cs="Times New Roman"/>
      </w:rPr>
    </w:lvl>
    <w:lvl w:ilvl="8" w:tentative="0">
      <w:start w:val="1"/>
      <w:numFmt w:val="lowerRoman"/>
      <w:lvlText w:val="%9."/>
      <w:lvlJc w:val="right"/>
      <w:pPr>
        <w:ind w:left="4260" w:hanging="420"/>
      </w:pPr>
      <w:rPr>
        <w:rFonts w:hint="default" w:ascii="Times New Roman" w:hAnsi="Times New Roman" w:cs="Times New Roman"/>
      </w:rPr>
    </w:lvl>
  </w:abstractNum>
  <w:abstractNum w:abstractNumId="5">
    <w:nsid w:val="535778F6"/>
    <w:multiLevelType w:val="multilevel"/>
    <w:tmpl w:val="535778F6"/>
    <w:lvl w:ilvl="0" w:tentative="0">
      <w:start w:val="1"/>
      <w:numFmt w:val="chineseCountingThousand"/>
      <w:suff w:val="nothing"/>
      <w:lvlText w:val="%1、"/>
      <w:lvlJc w:val="left"/>
      <w:pPr>
        <w:ind w:left="0" w:firstLine="0"/>
      </w:pPr>
      <w:rPr>
        <w:b/>
        <w:i w:val="0"/>
        <w:sz w:val="24"/>
      </w:rPr>
    </w:lvl>
    <w:lvl w:ilvl="1" w:tentative="0">
      <w:start w:val="1"/>
      <w:numFmt w:val="decimal"/>
      <w:suff w:val="nothing"/>
      <w:lvlText w:val="%2. "/>
      <w:lvlJc w:val="left"/>
      <w:pPr>
        <w:ind w:left="0" w:firstLine="0"/>
      </w:pPr>
      <w:rPr>
        <w:b w:val="0"/>
        <w:i w:val="0"/>
        <w:sz w:val="24"/>
      </w:rPr>
    </w:lvl>
    <w:lvl w:ilvl="2" w:tentative="0">
      <w:start w:val="1"/>
      <w:numFmt w:val="none"/>
      <w:suff w:val="nothing"/>
      <w:lvlText w:val=""/>
      <w:lvlJc w:val="left"/>
      <w:pPr>
        <w:ind w:left="0" w:firstLine="0"/>
      </w:pPr>
    </w:lvl>
    <w:lvl w:ilvl="3" w:tentative="0">
      <w:start w:val="1"/>
      <w:numFmt w:val="none"/>
      <w:suff w:val="nothing"/>
      <w:lvlText w:val=""/>
      <w:lvlJc w:val="left"/>
      <w:pPr>
        <w:ind w:left="0" w:firstLine="0"/>
      </w:pPr>
    </w:lvl>
    <w:lvl w:ilvl="4" w:tentative="0">
      <w:start w:val="1"/>
      <w:numFmt w:val="none"/>
      <w:suff w:val="nothing"/>
      <w:lvlText w:val=""/>
      <w:lvlJc w:val="left"/>
      <w:pPr>
        <w:ind w:left="0" w:firstLine="0"/>
      </w:pPr>
    </w:lvl>
    <w:lvl w:ilvl="5" w:tentative="0">
      <w:start w:val="1"/>
      <w:numFmt w:val="none"/>
      <w:pStyle w:val="11"/>
      <w:suff w:val="nothing"/>
      <w:lvlText w:val=""/>
      <w:lvlJc w:val="left"/>
      <w:pPr>
        <w:ind w:left="0" w:firstLine="0"/>
      </w:pPr>
    </w:lvl>
    <w:lvl w:ilvl="6" w:tentative="0">
      <w:start w:val="1"/>
      <w:numFmt w:val="none"/>
      <w:pStyle w:val="12"/>
      <w:suff w:val="nothing"/>
      <w:lvlText w:val=""/>
      <w:lvlJc w:val="left"/>
      <w:pPr>
        <w:ind w:left="0" w:firstLine="0"/>
      </w:pPr>
    </w:lvl>
    <w:lvl w:ilvl="7" w:tentative="0">
      <w:start w:val="1"/>
      <w:numFmt w:val="none"/>
      <w:pStyle w:val="13"/>
      <w:suff w:val="nothing"/>
      <w:lvlText w:val=""/>
      <w:lvlJc w:val="left"/>
      <w:pPr>
        <w:ind w:left="0" w:firstLine="0"/>
      </w:pPr>
    </w:lvl>
    <w:lvl w:ilvl="8" w:tentative="0">
      <w:start w:val="1"/>
      <w:numFmt w:val="none"/>
      <w:pStyle w:val="14"/>
      <w:suff w:val="nothing"/>
      <w:lvlText w:val=""/>
      <w:lvlJc w:val="left"/>
      <w:pPr>
        <w:ind w:left="0" w:firstLine="0"/>
      </w:pPr>
    </w:lvl>
  </w:abstractNum>
  <w:abstractNum w:abstractNumId="6">
    <w:nsid w:val="6921385D"/>
    <w:multiLevelType w:val="multilevel"/>
    <w:tmpl w:val="6921385D"/>
    <w:lvl w:ilvl="0" w:tentative="0">
      <w:start w:val="1"/>
      <w:numFmt w:val="decimal"/>
      <w:suff w:val="nothing"/>
      <w:lvlText w:val="%1"/>
      <w:lvlJc w:val="center"/>
      <w:pPr>
        <w:ind w:left="420" w:hanging="132"/>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5"/>
  </w:num>
  <w:num w:numId="2">
    <w:abstractNumId w:val="3"/>
  </w:num>
  <w:num w:numId="3">
    <w:abstractNumId w:val="2"/>
  </w:num>
  <w:num w:numId="4">
    <w:abstractNumId w:val="1"/>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NotTrackMoves/>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A4NTFhNmUwODdlNzFjNThjZmFiOThiNDVjNjk5YmEifQ=="/>
  </w:docVars>
  <w:rsids>
    <w:rsidRoot w:val="00E45E61"/>
    <w:rsid w:val="00016B47"/>
    <w:rsid w:val="0002058D"/>
    <w:rsid w:val="00023AE7"/>
    <w:rsid w:val="00023B5C"/>
    <w:rsid w:val="000257AA"/>
    <w:rsid w:val="0003341B"/>
    <w:rsid w:val="00033B0B"/>
    <w:rsid w:val="00035EB3"/>
    <w:rsid w:val="00035ECC"/>
    <w:rsid w:val="00043979"/>
    <w:rsid w:val="0005059A"/>
    <w:rsid w:val="000536E4"/>
    <w:rsid w:val="00053769"/>
    <w:rsid w:val="00060F1E"/>
    <w:rsid w:val="00061D4C"/>
    <w:rsid w:val="000625FE"/>
    <w:rsid w:val="00064317"/>
    <w:rsid w:val="0006608E"/>
    <w:rsid w:val="00071E35"/>
    <w:rsid w:val="000764A7"/>
    <w:rsid w:val="000901F1"/>
    <w:rsid w:val="00093249"/>
    <w:rsid w:val="00093950"/>
    <w:rsid w:val="000A1A9C"/>
    <w:rsid w:val="000A4317"/>
    <w:rsid w:val="000A4553"/>
    <w:rsid w:val="000A5406"/>
    <w:rsid w:val="000A6F93"/>
    <w:rsid w:val="000A7E5D"/>
    <w:rsid w:val="000B0C8E"/>
    <w:rsid w:val="000B603E"/>
    <w:rsid w:val="000B6146"/>
    <w:rsid w:val="000B7251"/>
    <w:rsid w:val="000C361C"/>
    <w:rsid w:val="000C53ED"/>
    <w:rsid w:val="000C5ECB"/>
    <w:rsid w:val="000C72C2"/>
    <w:rsid w:val="000D1013"/>
    <w:rsid w:val="000D4287"/>
    <w:rsid w:val="000E0869"/>
    <w:rsid w:val="000E12FD"/>
    <w:rsid w:val="000E4A73"/>
    <w:rsid w:val="000F01E7"/>
    <w:rsid w:val="000F206A"/>
    <w:rsid w:val="000F2595"/>
    <w:rsid w:val="000F5C39"/>
    <w:rsid w:val="0011051D"/>
    <w:rsid w:val="001147DD"/>
    <w:rsid w:val="001165B5"/>
    <w:rsid w:val="00122F11"/>
    <w:rsid w:val="00126EB2"/>
    <w:rsid w:val="00127B4A"/>
    <w:rsid w:val="00132BA7"/>
    <w:rsid w:val="00137C9F"/>
    <w:rsid w:val="00150FF5"/>
    <w:rsid w:val="00157172"/>
    <w:rsid w:val="001634B9"/>
    <w:rsid w:val="001643F4"/>
    <w:rsid w:val="00171586"/>
    <w:rsid w:val="00174982"/>
    <w:rsid w:val="001813B4"/>
    <w:rsid w:val="00183159"/>
    <w:rsid w:val="001846C4"/>
    <w:rsid w:val="00193DAB"/>
    <w:rsid w:val="00194927"/>
    <w:rsid w:val="00197158"/>
    <w:rsid w:val="00197852"/>
    <w:rsid w:val="001B52F1"/>
    <w:rsid w:val="001C1BCF"/>
    <w:rsid w:val="001C3485"/>
    <w:rsid w:val="001C3776"/>
    <w:rsid w:val="001C3EED"/>
    <w:rsid w:val="001C4C47"/>
    <w:rsid w:val="001C66E0"/>
    <w:rsid w:val="001C7540"/>
    <w:rsid w:val="001D240D"/>
    <w:rsid w:val="001D5DB8"/>
    <w:rsid w:val="001E0709"/>
    <w:rsid w:val="001E31EA"/>
    <w:rsid w:val="001E4476"/>
    <w:rsid w:val="001E4A9D"/>
    <w:rsid w:val="001E6284"/>
    <w:rsid w:val="00201A1B"/>
    <w:rsid w:val="00204E77"/>
    <w:rsid w:val="002052F7"/>
    <w:rsid w:val="00206469"/>
    <w:rsid w:val="00210737"/>
    <w:rsid w:val="00215FB6"/>
    <w:rsid w:val="0021710E"/>
    <w:rsid w:val="0022065C"/>
    <w:rsid w:val="002244CF"/>
    <w:rsid w:val="00224728"/>
    <w:rsid w:val="00227522"/>
    <w:rsid w:val="0022766C"/>
    <w:rsid w:val="002363BB"/>
    <w:rsid w:val="00253316"/>
    <w:rsid w:val="002628A8"/>
    <w:rsid w:val="00262C1B"/>
    <w:rsid w:val="00270397"/>
    <w:rsid w:val="00271DB2"/>
    <w:rsid w:val="00275808"/>
    <w:rsid w:val="00276060"/>
    <w:rsid w:val="00276F14"/>
    <w:rsid w:val="00280195"/>
    <w:rsid w:val="00280609"/>
    <w:rsid w:val="0028117F"/>
    <w:rsid w:val="0028354C"/>
    <w:rsid w:val="002853C5"/>
    <w:rsid w:val="00286075"/>
    <w:rsid w:val="00287FAB"/>
    <w:rsid w:val="00297599"/>
    <w:rsid w:val="002A2355"/>
    <w:rsid w:val="002A710C"/>
    <w:rsid w:val="002B0E2A"/>
    <w:rsid w:val="002B3905"/>
    <w:rsid w:val="002B792A"/>
    <w:rsid w:val="002C0EE4"/>
    <w:rsid w:val="002C1CF0"/>
    <w:rsid w:val="002C616B"/>
    <w:rsid w:val="002D6AFA"/>
    <w:rsid w:val="002E0969"/>
    <w:rsid w:val="00300CAE"/>
    <w:rsid w:val="00301BC3"/>
    <w:rsid w:val="0030562B"/>
    <w:rsid w:val="003066CB"/>
    <w:rsid w:val="00312008"/>
    <w:rsid w:val="0031469A"/>
    <w:rsid w:val="003152F0"/>
    <w:rsid w:val="00317B87"/>
    <w:rsid w:val="00321DC7"/>
    <w:rsid w:val="003228C9"/>
    <w:rsid w:val="00322FB0"/>
    <w:rsid w:val="00332CB2"/>
    <w:rsid w:val="00333D26"/>
    <w:rsid w:val="00340611"/>
    <w:rsid w:val="00345C59"/>
    <w:rsid w:val="0035178C"/>
    <w:rsid w:val="003533E7"/>
    <w:rsid w:val="00353D79"/>
    <w:rsid w:val="00354A47"/>
    <w:rsid w:val="00357119"/>
    <w:rsid w:val="00360A25"/>
    <w:rsid w:val="00371EFD"/>
    <w:rsid w:val="0037593E"/>
    <w:rsid w:val="00377B29"/>
    <w:rsid w:val="003823C4"/>
    <w:rsid w:val="003838E6"/>
    <w:rsid w:val="0039028F"/>
    <w:rsid w:val="003910B2"/>
    <w:rsid w:val="003930E8"/>
    <w:rsid w:val="00393638"/>
    <w:rsid w:val="00394F5D"/>
    <w:rsid w:val="00397568"/>
    <w:rsid w:val="003A53D5"/>
    <w:rsid w:val="003A5FE9"/>
    <w:rsid w:val="003B2F7F"/>
    <w:rsid w:val="003B47C0"/>
    <w:rsid w:val="003B4FF7"/>
    <w:rsid w:val="003B5F3B"/>
    <w:rsid w:val="003B6543"/>
    <w:rsid w:val="003C4DBA"/>
    <w:rsid w:val="003D2DE9"/>
    <w:rsid w:val="003D68DA"/>
    <w:rsid w:val="003D6CC0"/>
    <w:rsid w:val="003E2CE9"/>
    <w:rsid w:val="003E5A9B"/>
    <w:rsid w:val="003F09CF"/>
    <w:rsid w:val="00404033"/>
    <w:rsid w:val="004055B8"/>
    <w:rsid w:val="0040634C"/>
    <w:rsid w:val="00414D6E"/>
    <w:rsid w:val="004232B9"/>
    <w:rsid w:val="004364D7"/>
    <w:rsid w:val="00436710"/>
    <w:rsid w:val="00436A8D"/>
    <w:rsid w:val="00436C4B"/>
    <w:rsid w:val="00440562"/>
    <w:rsid w:val="004571A1"/>
    <w:rsid w:val="004612D0"/>
    <w:rsid w:val="0047144A"/>
    <w:rsid w:val="00475C0C"/>
    <w:rsid w:val="004768CF"/>
    <w:rsid w:val="004829FD"/>
    <w:rsid w:val="00486683"/>
    <w:rsid w:val="004A34D5"/>
    <w:rsid w:val="004A7A49"/>
    <w:rsid w:val="004B035E"/>
    <w:rsid w:val="004D3EE6"/>
    <w:rsid w:val="004E0A13"/>
    <w:rsid w:val="004E3158"/>
    <w:rsid w:val="004E4602"/>
    <w:rsid w:val="004F05D5"/>
    <w:rsid w:val="005053A5"/>
    <w:rsid w:val="005157C7"/>
    <w:rsid w:val="00516367"/>
    <w:rsid w:val="00520F72"/>
    <w:rsid w:val="0052235C"/>
    <w:rsid w:val="00522A11"/>
    <w:rsid w:val="00530617"/>
    <w:rsid w:val="00540B09"/>
    <w:rsid w:val="00544841"/>
    <w:rsid w:val="00547590"/>
    <w:rsid w:val="00551A8C"/>
    <w:rsid w:val="00561220"/>
    <w:rsid w:val="005655E8"/>
    <w:rsid w:val="00572146"/>
    <w:rsid w:val="00573B38"/>
    <w:rsid w:val="00576918"/>
    <w:rsid w:val="0058575B"/>
    <w:rsid w:val="00585DE4"/>
    <w:rsid w:val="0059450A"/>
    <w:rsid w:val="00595680"/>
    <w:rsid w:val="005B6480"/>
    <w:rsid w:val="005C10B3"/>
    <w:rsid w:val="005C7AD5"/>
    <w:rsid w:val="005D4E34"/>
    <w:rsid w:val="005F1D5E"/>
    <w:rsid w:val="005F308B"/>
    <w:rsid w:val="005F3436"/>
    <w:rsid w:val="005F3C81"/>
    <w:rsid w:val="005F713C"/>
    <w:rsid w:val="00600E3A"/>
    <w:rsid w:val="00606A06"/>
    <w:rsid w:val="00620619"/>
    <w:rsid w:val="0062194E"/>
    <w:rsid w:val="0062416F"/>
    <w:rsid w:val="00624440"/>
    <w:rsid w:val="00633A09"/>
    <w:rsid w:val="00640AFD"/>
    <w:rsid w:val="006424A2"/>
    <w:rsid w:val="00644738"/>
    <w:rsid w:val="006459D4"/>
    <w:rsid w:val="00645DC6"/>
    <w:rsid w:val="00646F2B"/>
    <w:rsid w:val="00652DCF"/>
    <w:rsid w:val="00655A6D"/>
    <w:rsid w:val="006565DC"/>
    <w:rsid w:val="006642A0"/>
    <w:rsid w:val="00673C03"/>
    <w:rsid w:val="006751C3"/>
    <w:rsid w:val="0067624A"/>
    <w:rsid w:val="006762CA"/>
    <w:rsid w:val="00683B4A"/>
    <w:rsid w:val="006911F9"/>
    <w:rsid w:val="00692769"/>
    <w:rsid w:val="00692CEB"/>
    <w:rsid w:val="006955F9"/>
    <w:rsid w:val="00696402"/>
    <w:rsid w:val="006B0535"/>
    <w:rsid w:val="006B0716"/>
    <w:rsid w:val="006B0D35"/>
    <w:rsid w:val="006B2D9C"/>
    <w:rsid w:val="006B2F93"/>
    <w:rsid w:val="006B354B"/>
    <w:rsid w:val="006B482E"/>
    <w:rsid w:val="006C5829"/>
    <w:rsid w:val="006D0114"/>
    <w:rsid w:val="006D502D"/>
    <w:rsid w:val="006D60CF"/>
    <w:rsid w:val="006D644E"/>
    <w:rsid w:val="006E4C92"/>
    <w:rsid w:val="006F05FB"/>
    <w:rsid w:val="006F4682"/>
    <w:rsid w:val="006F5694"/>
    <w:rsid w:val="007060FB"/>
    <w:rsid w:val="007114AA"/>
    <w:rsid w:val="00711936"/>
    <w:rsid w:val="007144DE"/>
    <w:rsid w:val="00714B70"/>
    <w:rsid w:val="00716D15"/>
    <w:rsid w:val="00722ACB"/>
    <w:rsid w:val="00723AEE"/>
    <w:rsid w:val="00725B6C"/>
    <w:rsid w:val="00726AED"/>
    <w:rsid w:val="007348C7"/>
    <w:rsid w:val="00744753"/>
    <w:rsid w:val="0075206A"/>
    <w:rsid w:val="007544FD"/>
    <w:rsid w:val="00762319"/>
    <w:rsid w:val="007644E4"/>
    <w:rsid w:val="00765CB3"/>
    <w:rsid w:val="007662EB"/>
    <w:rsid w:val="00772435"/>
    <w:rsid w:val="00773A81"/>
    <w:rsid w:val="0077577F"/>
    <w:rsid w:val="007774F7"/>
    <w:rsid w:val="00783344"/>
    <w:rsid w:val="00783648"/>
    <w:rsid w:val="00785657"/>
    <w:rsid w:val="00786C2A"/>
    <w:rsid w:val="00790661"/>
    <w:rsid w:val="00790A12"/>
    <w:rsid w:val="00790DF3"/>
    <w:rsid w:val="007A417C"/>
    <w:rsid w:val="007A627F"/>
    <w:rsid w:val="007A67E2"/>
    <w:rsid w:val="007A70AC"/>
    <w:rsid w:val="007B24D0"/>
    <w:rsid w:val="007B51E1"/>
    <w:rsid w:val="007B558B"/>
    <w:rsid w:val="007B6452"/>
    <w:rsid w:val="007D146D"/>
    <w:rsid w:val="007D4BAB"/>
    <w:rsid w:val="007E1E1B"/>
    <w:rsid w:val="00802AA5"/>
    <w:rsid w:val="00805AFF"/>
    <w:rsid w:val="008068B8"/>
    <w:rsid w:val="0081114C"/>
    <w:rsid w:val="00811B58"/>
    <w:rsid w:val="008223E4"/>
    <w:rsid w:val="00824A90"/>
    <w:rsid w:val="008265B8"/>
    <w:rsid w:val="00827E5B"/>
    <w:rsid w:val="00834DE8"/>
    <w:rsid w:val="00841816"/>
    <w:rsid w:val="00842F2E"/>
    <w:rsid w:val="0084769F"/>
    <w:rsid w:val="00852575"/>
    <w:rsid w:val="00856D0D"/>
    <w:rsid w:val="00856E53"/>
    <w:rsid w:val="0086030A"/>
    <w:rsid w:val="008612DA"/>
    <w:rsid w:val="00867ECC"/>
    <w:rsid w:val="00871806"/>
    <w:rsid w:val="00874D61"/>
    <w:rsid w:val="00875136"/>
    <w:rsid w:val="00875FFB"/>
    <w:rsid w:val="00877394"/>
    <w:rsid w:val="0088042A"/>
    <w:rsid w:val="008836C6"/>
    <w:rsid w:val="00886785"/>
    <w:rsid w:val="0089001F"/>
    <w:rsid w:val="0089275F"/>
    <w:rsid w:val="00892D9A"/>
    <w:rsid w:val="00897B7E"/>
    <w:rsid w:val="008A3950"/>
    <w:rsid w:val="008A5E1B"/>
    <w:rsid w:val="008A699B"/>
    <w:rsid w:val="008A7F91"/>
    <w:rsid w:val="008B1F19"/>
    <w:rsid w:val="008B64C8"/>
    <w:rsid w:val="008B7F80"/>
    <w:rsid w:val="008C2CA3"/>
    <w:rsid w:val="008C45F6"/>
    <w:rsid w:val="008C4E5B"/>
    <w:rsid w:val="008C5671"/>
    <w:rsid w:val="008C6F2D"/>
    <w:rsid w:val="008D0051"/>
    <w:rsid w:val="008D01D6"/>
    <w:rsid w:val="008D0263"/>
    <w:rsid w:val="008D2B40"/>
    <w:rsid w:val="008D3DF5"/>
    <w:rsid w:val="008D4DD9"/>
    <w:rsid w:val="008E051D"/>
    <w:rsid w:val="008E3FBD"/>
    <w:rsid w:val="008E5C68"/>
    <w:rsid w:val="008F423A"/>
    <w:rsid w:val="008F427C"/>
    <w:rsid w:val="009052E5"/>
    <w:rsid w:val="009069D8"/>
    <w:rsid w:val="009112B0"/>
    <w:rsid w:val="00914458"/>
    <w:rsid w:val="00921A6B"/>
    <w:rsid w:val="009243A6"/>
    <w:rsid w:val="0094401B"/>
    <w:rsid w:val="00957589"/>
    <w:rsid w:val="00962849"/>
    <w:rsid w:val="009655E6"/>
    <w:rsid w:val="0096657F"/>
    <w:rsid w:val="009677A0"/>
    <w:rsid w:val="00973795"/>
    <w:rsid w:val="009751A8"/>
    <w:rsid w:val="00977A4A"/>
    <w:rsid w:val="00993A5E"/>
    <w:rsid w:val="009A2933"/>
    <w:rsid w:val="009A2B35"/>
    <w:rsid w:val="009A6F00"/>
    <w:rsid w:val="009B19C6"/>
    <w:rsid w:val="009B5E48"/>
    <w:rsid w:val="009C1795"/>
    <w:rsid w:val="009D6BF8"/>
    <w:rsid w:val="009E53EF"/>
    <w:rsid w:val="009F17AF"/>
    <w:rsid w:val="009F303E"/>
    <w:rsid w:val="009F489C"/>
    <w:rsid w:val="009F60BC"/>
    <w:rsid w:val="00A04C26"/>
    <w:rsid w:val="00A0598E"/>
    <w:rsid w:val="00A1072A"/>
    <w:rsid w:val="00A11904"/>
    <w:rsid w:val="00A20208"/>
    <w:rsid w:val="00A20736"/>
    <w:rsid w:val="00A27444"/>
    <w:rsid w:val="00A412BA"/>
    <w:rsid w:val="00A4589C"/>
    <w:rsid w:val="00A51276"/>
    <w:rsid w:val="00A63AAC"/>
    <w:rsid w:val="00A72CD5"/>
    <w:rsid w:val="00A7410E"/>
    <w:rsid w:val="00A76DDF"/>
    <w:rsid w:val="00A80E75"/>
    <w:rsid w:val="00AA3303"/>
    <w:rsid w:val="00AA3CEC"/>
    <w:rsid w:val="00AB0448"/>
    <w:rsid w:val="00AB453C"/>
    <w:rsid w:val="00AC380E"/>
    <w:rsid w:val="00AC4B7D"/>
    <w:rsid w:val="00AC4CB5"/>
    <w:rsid w:val="00AD20D1"/>
    <w:rsid w:val="00AD25BD"/>
    <w:rsid w:val="00AD78C9"/>
    <w:rsid w:val="00AE6A68"/>
    <w:rsid w:val="00AF59B4"/>
    <w:rsid w:val="00AF68ED"/>
    <w:rsid w:val="00B0265C"/>
    <w:rsid w:val="00B03B76"/>
    <w:rsid w:val="00B06E46"/>
    <w:rsid w:val="00B13A74"/>
    <w:rsid w:val="00B1694A"/>
    <w:rsid w:val="00B21DCC"/>
    <w:rsid w:val="00B231F7"/>
    <w:rsid w:val="00B23638"/>
    <w:rsid w:val="00B30B78"/>
    <w:rsid w:val="00B31831"/>
    <w:rsid w:val="00B40A0D"/>
    <w:rsid w:val="00B426B3"/>
    <w:rsid w:val="00B5063F"/>
    <w:rsid w:val="00B50F3E"/>
    <w:rsid w:val="00B54B2C"/>
    <w:rsid w:val="00B71302"/>
    <w:rsid w:val="00B71FCD"/>
    <w:rsid w:val="00B7376B"/>
    <w:rsid w:val="00B81673"/>
    <w:rsid w:val="00B878D8"/>
    <w:rsid w:val="00B87E27"/>
    <w:rsid w:val="00B901CA"/>
    <w:rsid w:val="00B91A94"/>
    <w:rsid w:val="00B923C1"/>
    <w:rsid w:val="00B924DA"/>
    <w:rsid w:val="00B92926"/>
    <w:rsid w:val="00B96EA5"/>
    <w:rsid w:val="00BA0739"/>
    <w:rsid w:val="00BA3D5F"/>
    <w:rsid w:val="00BA457E"/>
    <w:rsid w:val="00BA6481"/>
    <w:rsid w:val="00BB0058"/>
    <w:rsid w:val="00BB306D"/>
    <w:rsid w:val="00BB61E0"/>
    <w:rsid w:val="00BC027A"/>
    <w:rsid w:val="00BC553A"/>
    <w:rsid w:val="00BC63E9"/>
    <w:rsid w:val="00BD6F52"/>
    <w:rsid w:val="00BD710E"/>
    <w:rsid w:val="00BE4021"/>
    <w:rsid w:val="00BE739F"/>
    <w:rsid w:val="00BF4325"/>
    <w:rsid w:val="00BF4543"/>
    <w:rsid w:val="00BF52BD"/>
    <w:rsid w:val="00BF6FD7"/>
    <w:rsid w:val="00BF702F"/>
    <w:rsid w:val="00BF73DB"/>
    <w:rsid w:val="00C009C0"/>
    <w:rsid w:val="00C03015"/>
    <w:rsid w:val="00C053A0"/>
    <w:rsid w:val="00C11101"/>
    <w:rsid w:val="00C13AC4"/>
    <w:rsid w:val="00C1495F"/>
    <w:rsid w:val="00C1773E"/>
    <w:rsid w:val="00C24213"/>
    <w:rsid w:val="00C270EF"/>
    <w:rsid w:val="00C27609"/>
    <w:rsid w:val="00C31B28"/>
    <w:rsid w:val="00C36E5D"/>
    <w:rsid w:val="00C40864"/>
    <w:rsid w:val="00C40DB4"/>
    <w:rsid w:val="00C42444"/>
    <w:rsid w:val="00C46705"/>
    <w:rsid w:val="00C5180A"/>
    <w:rsid w:val="00C520C8"/>
    <w:rsid w:val="00C549B5"/>
    <w:rsid w:val="00C561EE"/>
    <w:rsid w:val="00C57BF6"/>
    <w:rsid w:val="00C60023"/>
    <w:rsid w:val="00C609B4"/>
    <w:rsid w:val="00C6679D"/>
    <w:rsid w:val="00C73458"/>
    <w:rsid w:val="00C73AA0"/>
    <w:rsid w:val="00C75B9F"/>
    <w:rsid w:val="00C81CE2"/>
    <w:rsid w:val="00C908C4"/>
    <w:rsid w:val="00C93573"/>
    <w:rsid w:val="00C93A39"/>
    <w:rsid w:val="00C96CB5"/>
    <w:rsid w:val="00CA0D65"/>
    <w:rsid w:val="00CA2581"/>
    <w:rsid w:val="00CB0987"/>
    <w:rsid w:val="00CB42A9"/>
    <w:rsid w:val="00CB5350"/>
    <w:rsid w:val="00CC2096"/>
    <w:rsid w:val="00CE412A"/>
    <w:rsid w:val="00CF2B49"/>
    <w:rsid w:val="00CF3844"/>
    <w:rsid w:val="00CF441E"/>
    <w:rsid w:val="00D06D0F"/>
    <w:rsid w:val="00D11438"/>
    <w:rsid w:val="00D11DC7"/>
    <w:rsid w:val="00D15546"/>
    <w:rsid w:val="00D24755"/>
    <w:rsid w:val="00D254A5"/>
    <w:rsid w:val="00D30D1B"/>
    <w:rsid w:val="00D323B5"/>
    <w:rsid w:val="00D3508A"/>
    <w:rsid w:val="00D3539C"/>
    <w:rsid w:val="00D36DE6"/>
    <w:rsid w:val="00D54340"/>
    <w:rsid w:val="00D569C9"/>
    <w:rsid w:val="00D60608"/>
    <w:rsid w:val="00D62999"/>
    <w:rsid w:val="00D70A38"/>
    <w:rsid w:val="00D7336D"/>
    <w:rsid w:val="00D747A8"/>
    <w:rsid w:val="00D75083"/>
    <w:rsid w:val="00D826F9"/>
    <w:rsid w:val="00D90934"/>
    <w:rsid w:val="00D94CF7"/>
    <w:rsid w:val="00D94EED"/>
    <w:rsid w:val="00DA0F5C"/>
    <w:rsid w:val="00DA405D"/>
    <w:rsid w:val="00DB33AB"/>
    <w:rsid w:val="00DB3C98"/>
    <w:rsid w:val="00DB519F"/>
    <w:rsid w:val="00DB5743"/>
    <w:rsid w:val="00DC00F8"/>
    <w:rsid w:val="00DC10A7"/>
    <w:rsid w:val="00DC2012"/>
    <w:rsid w:val="00DC5AE5"/>
    <w:rsid w:val="00DC5B8B"/>
    <w:rsid w:val="00DC62E9"/>
    <w:rsid w:val="00DD41B2"/>
    <w:rsid w:val="00DE5365"/>
    <w:rsid w:val="00DE743B"/>
    <w:rsid w:val="00DF3084"/>
    <w:rsid w:val="00E00660"/>
    <w:rsid w:val="00E03624"/>
    <w:rsid w:val="00E05D1C"/>
    <w:rsid w:val="00E1074A"/>
    <w:rsid w:val="00E13897"/>
    <w:rsid w:val="00E176DE"/>
    <w:rsid w:val="00E17CC2"/>
    <w:rsid w:val="00E21B97"/>
    <w:rsid w:val="00E2516A"/>
    <w:rsid w:val="00E26005"/>
    <w:rsid w:val="00E30046"/>
    <w:rsid w:val="00E3462B"/>
    <w:rsid w:val="00E36DAC"/>
    <w:rsid w:val="00E37F67"/>
    <w:rsid w:val="00E41DA7"/>
    <w:rsid w:val="00E439BC"/>
    <w:rsid w:val="00E45E61"/>
    <w:rsid w:val="00E462BD"/>
    <w:rsid w:val="00E46996"/>
    <w:rsid w:val="00E51EAB"/>
    <w:rsid w:val="00E53FAF"/>
    <w:rsid w:val="00E558EC"/>
    <w:rsid w:val="00E56889"/>
    <w:rsid w:val="00E65A21"/>
    <w:rsid w:val="00E71FDC"/>
    <w:rsid w:val="00E81227"/>
    <w:rsid w:val="00E8251A"/>
    <w:rsid w:val="00E837B2"/>
    <w:rsid w:val="00E93ABB"/>
    <w:rsid w:val="00E953B6"/>
    <w:rsid w:val="00E962B0"/>
    <w:rsid w:val="00EB67E2"/>
    <w:rsid w:val="00EC22E4"/>
    <w:rsid w:val="00EC5542"/>
    <w:rsid w:val="00EC60BD"/>
    <w:rsid w:val="00ED0208"/>
    <w:rsid w:val="00ED6B53"/>
    <w:rsid w:val="00ED6B63"/>
    <w:rsid w:val="00ED7919"/>
    <w:rsid w:val="00EE1B81"/>
    <w:rsid w:val="00EE7079"/>
    <w:rsid w:val="00EF0C58"/>
    <w:rsid w:val="00EF1179"/>
    <w:rsid w:val="00EF4F9C"/>
    <w:rsid w:val="00EF57E0"/>
    <w:rsid w:val="00EF7977"/>
    <w:rsid w:val="00F02667"/>
    <w:rsid w:val="00F03199"/>
    <w:rsid w:val="00F0512A"/>
    <w:rsid w:val="00F14C71"/>
    <w:rsid w:val="00F22F2E"/>
    <w:rsid w:val="00F232DB"/>
    <w:rsid w:val="00F24FA4"/>
    <w:rsid w:val="00F26839"/>
    <w:rsid w:val="00F36A1A"/>
    <w:rsid w:val="00F426A9"/>
    <w:rsid w:val="00F44835"/>
    <w:rsid w:val="00F5139E"/>
    <w:rsid w:val="00F52002"/>
    <w:rsid w:val="00F6114E"/>
    <w:rsid w:val="00F63754"/>
    <w:rsid w:val="00F70973"/>
    <w:rsid w:val="00F76DC7"/>
    <w:rsid w:val="00F80FA3"/>
    <w:rsid w:val="00F83EC2"/>
    <w:rsid w:val="00F94A58"/>
    <w:rsid w:val="00F95B65"/>
    <w:rsid w:val="00FA5791"/>
    <w:rsid w:val="00FA6F99"/>
    <w:rsid w:val="00FA738D"/>
    <w:rsid w:val="00FB16D3"/>
    <w:rsid w:val="00FB2123"/>
    <w:rsid w:val="00FB35AA"/>
    <w:rsid w:val="00FB4F58"/>
    <w:rsid w:val="00FB68FA"/>
    <w:rsid w:val="00FC0957"/>
    <w:rsid w:val="00FC0BC0"/>
    <w:rsid w:val="00FC1B96"/>
    <w:rsid w:val="00FC258F"/>
    <w:rsid w:val="00FC48D3"/>
    <w:rsid w:val="00FD2D2E"/>
    <w:rsid w:val="00FD7E18"/>
    <w:rsid w:val="00FE01EC"/>
    <w:rsid w:val="00FE182A"/>
    <w:rsid w:val="00FF1C21"/>
    <w:rsid w:val="00FF2D56"/>
    <w:rsid w:val="00FF480F"/>
    <w:rsid w:val="00FF5A8E"/>
    <w:rsid w:val="00FF660A"/>
    <w:rsid w:val="010F3B4F"/>
    <w:rsid w:val="01565C22"/>
    <w:rsid w:val="0192652E"/>
    <w:rsid w:val="021C29C7"/>
    <w:rsid w:val="02225B04"/>
    <w:rsid w:val="02344013"/>
    <w:rsid w:val="02405F8A"/>
    <w:rsid w:val="02493090"/>
    <w:rsid w:val="027A5940"/>
    <w:rsid w:val="02936A01"/>
    <w:rsid w:val="02C40969"/>
    <w:rsid w:val="02DA63DE"/>
    <w:rsid w:val="03214544"/>
    <w:rsid w:val="034C1775"/>
    <w:rsid w:val="034D095E"/>
    <w:rsid w:val="049C1B9D"/>
    <w:rsid w:val="049F51EA"/>
    <w:rsid w:val="04C80BE4"/>
    <w:rsid w:val="04DA26C6"/>
    <w:rsid w:val="05290F57"/>
    <w:rsid w:val="05410997"/>
    <w:rsid w:val="054B711F"/>
    <w:rsid w:val="056149BE"/>
    <w:rsid w:val="05997E8B"/>
    <w:rsid w:val="05F72E03"/>
    <w:rsid w:val="05F81055"/>
    <w:rsid w:val="062F6A41"/>
    <w:rsid w:val="068B5349"/>
    <w:rsid w:val="06915931"/>
    <w:rsid w:val="06930D7E"/>
    <w:rsid w:val="071C0D73"/>
    <w:rsid w:val="07362613"/>
    <w:rsid w:val="0764271A"/>
    <w:rsid w:val="078A6CF9"/>
    <w:rsid w:val="07A07BF6"/>
    <w:rsid w:val="07CB4548"/>
    <w:rsid w:val="07E850FA"/>
    <w:rsid w:val="07FC0BA5"/>
    <w:rsid w:val="087370B9"/>
    <w:rsid w:val="08C43471"/>
    <w:rsid w:val="08D51B22"/>
    <w:rsid w:val="08D94E38"/>
    <w:rsid w:val="090441B5"/>
    <w:rsid w:val="09114527"/>
    <w:rsid w:val="091C14FF"/>
    <w:rsid w:val="092D370C"/>
    <w:rsid w:val="09502444"/>
    <w:rsid w:val="098613B1"/>
    <w:rsid w:val="09EF6C13"/>
    <w:rsid w:val="0A371F08"/>
    <w:rsid w:val="0A486323"/>
    <w:rsid w:val="0A5D3B7D"/>
    <w:rsid w:val="0A7E7CF6"/>
    <w:rsid w:val="0A89350C"/>
    <w:rsid w:val="0A9F23E7"/>
    <w:rsid w:val="0ADE56B6"/>
    <w:rsid w:val="0B0C7351"/>
    <w:rsid w:val="0B2F17D2"/>
    <w:rsid w:val="0B65388C"/>
    <w:rsid w:val="0B7D1FFD"/>
    <w:rsid w:val="0B93537C"/>
    <w:rsid w:val="0BE8391A"/>
    <w:rsid w:val="0BEB340A"/>
    <w:rsid w:val="0C3721AC"/>
    <w:rsid w:val="0D054058"/>
    <w:rsid w:val="0D166265"/>
    <w:rsid w:val="0D240982"/>
    <w:rsid w:val="0D244E26"/>
    <w:rsid w:val="0D8458C4"/>
    <w:rsid w:val="0D847672"/>
    <w:rsid w:val="0DED5218"/>
    <w:rsid w:val="0E1C5AFD"/>
    <w:rsid w:val="0E7B0A75"/>
    <w:rsid w:val="0E932BB5"/>
    <w:rsid w:val="0EAF6971"/>
    <w:rsid w:val="0ECC307F"/>
    <w:rsid w:val="0EE13E99"/>
    <w:rsid w:val="0EEC1973"/>
    <w:rsid w:val="0EEE56EB"/>
    <w:rsid w:val="0F815762"/>
    <w:rsid w:val="0FD04DF1"/>
    <w:rsid w:val="10AF2C58"/>
    <w:rsid w:val="10C83D1A"/>
    <w:rsid w:val="10D17073"/>
    <w:rsid w:val="10EC5C5A"/>
    <w:rsid w:val="10FE598E"/>
    <w:rsid w:val="11036B00"/>
    <w:rsid w:val="116220BD"/>
    <w:rsid w:val="117874EE"/>
    <w:rsid w:val="11A622AD"/>
    <w:rsid w:val="11FE3E97"/>
    <w:rsid w:val="12745F08"/>
    <w:rsid w:val="12A06CFD"/>
    <w:rsid w:val="12AB744F"/>
    <w:rsid w:val="12B5207C"/>
    <w:rsid w:val="12B91B6C"/>
    <w:rsid w:val="12DB3791"/>
    <w:rsid w:val="130059ED"/>
    <w:rsid w:val="13182D37"/>
    <w:rsid w:val="134358DA"/>
    <w:rsid w:val="1347361C"/>
    <w:rsid w:val="134A4EBA"/>
    <w:rsid w:val="13510472"/>
    <w:rsid w:val="138E2FF9"/>
    <w:rsid w:val="13A24CF6"/>
    <w:rsid w:val="13CE5AEB"/>
    <w:rsid w:val="13E64BE3"/>
    <w:rsid w:val="13F70440"/>
    <w:rsid w:val="14055F2A"/>
    <w:rsid w:val="141B2636"/>
    <w:rsid w:val="144B2C98"/>
    <w:rsid w:val="149C34F4"/>
    <w:rsid w:val="14CF4595"/>
    <w:rsid w:val="1534372C"/>
    <w:rsid w:val="155D7127"/>
    <w:rsid w:val="15610EE2"/>
    <w:rsid w:val="15747FCD"/>
    <w:rsid w:val="15B8610B"/>
    <w:rsid w:val="15C70A44"/>
    <w:rsid w:val="15CC7E09"/>
    <w:rsid w:val="15F5735F"/>
    <w:rsid w:val="161E0A1B"/>
    <w:rsid w:val="16490A3E"/>
    <w:rsid w:val="164B3423"/>
    <w:rsid w:val="16A3500D"/>
    <w:rsid w:val="16B17A67"/>
    <w:rsid w:val="16F615E1"/>
    <w:rsid w:val="16FE0496"/>
    <w:rsid w:val="17141A67"/>
    <w:rsid w:val="17253C74"/>
    <w:rsid w:val="17614581"/>
    <w:rsid w:val="17732C32"/>
    <w:rsid w:val="17780248"/>
    <w:rsid w:val="18055854"/>
    <w:rsid w:val="181066D2"/>
    <w:rsid w:val="182F105B"/>
    <w:rsid w:val="18616F2E"/>
    <w:rsid w:val="18784278"/>
    <w:rsid w:val="18C82B09"/>
    <w:rsid w:val="192B4E46"/>
    <w:rsid w:val="192C753C"/>
    <w:rsid w:val="193F08F1"/>
    <w:rsid w:val="19406B43"/>
    <w:rsid w:val="19434886"/>
    <w:rsid w:val="19781B17"/>
    <w:rsid w:val="19E46292"/>
    <w:rsid w:val="1A277D03"/>
    <w:rsid w:val="1A55661F"/>
    <w:rsid w:val="1A6A7BF0"/>
    <w:rsid w:val="1A9F789A"/>
    <w:rsid w:val="1AAC24AA"/>
    <w:rsid w:val="1B245FF1"/>
    <w:rsid w:val="1BA3160C"/>
    <w:rsid w:val="1C580648"/>
    <w:rsid w:val="1C84080D"/>
    <w:rsid w:val="1C8B457A"/>
    <w:rsid w:val="1D2A05D5"/>
    <w:rsid w:val="1DAB29F9"/>
    <w:rsid w:val="1DCE22F6"/>
    <w:rsid w:val="1DD67A76"/>
    <w:rsid w:val="1DFC3255"/>
    <w:rsid w:val="1E234C86"/>
    <w:rsid w:val="1E803E86"/>
    <w:rsid w:val="1E870D71"/>
    <w:rsid w:val="1EC57AEB"/>
    <w:rsid w:val="1EEF687A"/>
    <w:rsid w:val="1F15637C"/>
    <w:rsid w:val="1F227FC8"/>
    <w:rsid w:val="1F95570F"/>
    <w:rsid w:val="20846AAF"/>
    <w:rsid w:val="208C6B12"/>
    <w:rsid w:val="209C7AB4"/>
    <w:rsid w:val="20DD2ECA"/>
    <w:rsid w:val="211663DC"/>
    <w:rsid w:val="214B42D7"/>
    <w:rsid w:val="21621621"/>
    <w:rsid w:val="218B1E7E"/>
    <w:rsid w:val="21A47E8B"/>
    <w:rsid w:val="21C127EB"/>
    <w:rsid w:val="223E3E3C"/>
    <w:rsid w:val="228C104B"/>
    <w:rsid w:val="22B3482A"/>
    <w:rsid w:val="22BB36DF"/>
    <w:rsid w:val="22C2681B"/>
    <w:rsid w:val="22D30A28"/>
    <w:rsid w:val="22DE117B"/>
    <w:rsid w:val="22E36792"/>
    <w:rsid w:val="22F0758F"/>
    <w:rsid w:val="22F8223D"/>
    <w:rsid w:val="23B5012E"/>
    <w:rsid w:val="23DC1B5F"/>
    <w:rsid w:val="23ED3D6C"/>
    <w:rsid w:val="23F24EDE"/>
    <w:rsid w:val="24084702"/>
    <w:rsid w:val="244E2C4F"/>
    <w:rsid w:val="245711E5"/>
    <w:rsid w:val="247B3126"/>
    <w:rsid w:val="24AB32DF"/>
    <w:rsid w:val="250644AC"/>
    <w:rsid w:val="257858B7"/>
    <w:rsid w:val="25A43F22"/>
    <w:rsid w:val="25E35426"/>
    <w:rsid w:val="25ED0053"/>
    <w:rsid w:val="25F474FE"/>
    <w:rsid w:val="266F0A68"/>
    <w:rsid w:val="26AF5308"/>
    <w:rsid w:val="26B141F8"/>
    <w:rsid w:val="26B50445"/>
    <w:rsid w:val="26B506EE"/>
    <w:rsid w:val="26F96584"/>
    <w:rsid w:val="2714160F"/>
    <w:rsid w:val="27A52717"/>
    <w:rsid w:val="27A6495D"/>
    <w:rsid w:val="27D019DA"/>
    <w:rsid w:val="27EB6814"/>
    <w:rsid w:val="285C6DCA"/>
    <w:rsid w:val="289C7B0E"/>
    <w:rsid w:val="28B430AA"/>
    <w:rsid w:val="28EA2628"/>
    <w:rsid w:val="28F11C08"/>
    <w:rsid w:val="291E49C7"/>
    <w:rsid w:val="29324AA6"/>
    <w:rsid w:val="294837F2"/>
    <w:rsid w:val="29546EC8"/>
    <w:rsid w:val="29D532D8"/>
    <w:rsid w:val="2A293624"/>
    <w:rsid w:val="2A2B114A"/>
    <w:rsid w:val="2A623483"/>
    <w:rsid w:val="2A950CB9"/>
    <w:rsid w:val="2A9E34CC"/>
    <w:rsid w:val="2AF21C68"/>
    <w:rsid w:val="2B0379D1"/>
    <w:rsid w:val="2B430715"/>
    <w:rsid w:val="2B481888"/>
    <w:rsid w:val="2B966A97"/>
    <w:rsid w:val="2BAC62BA"/>
    <w:rsid w:val="2BD31324"/>
    <w:rsid w:val="2C300910"/>
    <w:rsid w:val="2CAD5E46"/>
    <w:rsid w:val="2CDC2BCF"/>
    <w:rsid w:val="2D510EC7"/>
    <w:rsid w:val="2DB41456"/>
    <w:rsid w:val="2DB56DA0"/>
    <w:rsid w:val="2DC21DC5"/>
    <w:rsid w:val="2DEA30CA"/>
    <w:rsid w:val="2E1A575D"/>
    <w:rsid w:val="2E4E5407"/>
    <w:rsid w:val="2E813A2E"/>
    <w:rsid w:val="2E8452CD"/>
    <w:rsid w:val="2EE95130"/>
    <w:rsid w:val="2F1403FE"/>
    <w:rsid w:val="2F314E95"/>
    <w:rsid w:val="2F511653"/>
    <w:rsid w:val="2F907713"/>
    <w:rsid w:val="2FA554FB"/>
    <w:rsid w:val="2FF95846"/>
    <w:rsid w:val="303B5E5F"/>
    <w:rsid w:val="3045283A"/>
    <w:rsid w:val="304940D8"/>
    <w:rsid w:val="30BF4FE5"/>
    <w:rsid w:val="30CE2AF3"/>
    <w:rsid w:val="31462D0D"/>
    <w:rsid w:val="31AB491E"/>
    <w:rsid w:val="32132BEF"/>
    <w:rsid w:val="3257675E"/>
    <w:rsid w:val="328A08CF"/>
    <w:rsid w:val="32935ADE"/>
    <w:rsid w:val="32D54349"/>
    <w:rsid w:val="32D61E6F"/>
    <w:rsid w:val="32D903DA"/>
    <w:rsid w:val="330C5891"/>
    <w:rsid w:val="3344502A"/>
    <w:rsid w:val="33631954"/>
    <w:rsid w:val="33784CD4"/>
    <w:rsid w:val="33FE78CF"/>
    <w:rsid w:val="34207846"/>
    <w:rsid w:val="34360E17"/>
    <w:rsid w:val="343E6181"/>
    <w:rsid w:val="346516FC"/>
    <w:rsid w:val="346A6D13"/>
    <w:rsid w:val="34F30AB6"/>
    <w:rsid w:val="35150A2C"/>
    <w:rsid w:val="351C6CA1"/>
    <w:rsid w:val="35616AE7"/>
    <w:rsid w:val="3589578A"/>
    <w:rsid w:val="35A06C85"/>
    <w:rsid w:val="35D42696"/>
    <w:rsid w:val="3600792F"/>
    <w:rsid w:val="36113D91"/>
    <w:rsid w:val="36D2388E"/>
    <w:rsid w:val="370C65DF"/>
    <w:rsid w:val="37353608"/>
    <w:rsid w:val="379512A7"/>
    <w:rsid w:val="37B02C8E"/>
    <w:rsid w:val="37DC1CD5"/>
    <w:rsid w:val="37E64902"/>
    <w:rsid w:val="380A4A95"/>
    <w:rsid w:val="38134226"/>
    <w:rsid w:val="38BA76F8"/>
    <w:rsid w:val="39284E12"/>
    <w:rsid w:val="392F4087"/>
    <w:rsid w:val="39677CC5"/>
    <w:rsid w:val="39F74BA5"/>
    <w:rsid w:val="3A7C32FC"/>
    <w:rsid w:val="3A8C79E3"/>
    <w:rsid w:val="3B1D688D"/>
    <w:rsid w:val="3B2D45F6"/>
    <w:rsid w:val="3B675D5A"/>
    <w:rsid w:val="3BB014AF"/>
    <w:rsid w:val="3C101F4E"/>
    <w:rsid w:val="3C123F18"/>
    <w:rsid w:val="3C2E6878"/>
    <w:rsid w:val="3C340332"/>
    <w:rsid w:val="3C8F5568"/>
    <w:rsid w:val="3CD26389"/>
    <w:rsid w:val="3CD825B8"/>
    <w:rsid w:val="3D001BF6"/>
    <w:rsid w:val="3D2739F3"/>
    <w:rsid w:val="3D7F55DD"/>
    <w:rsid w:val="3DA6700D"/>
    <w:rsid w:val="3DF064DB"/>
    <w:rsid w:val="3E646581"/>
    <w:rsid w:val="3E6F5651"/>
    <w:rsid w:val="3ED61844"/>
    <w:rsid w:val="3F765294"/>
    <w:rsid w:val="3F9B2476"/>
    <w:rsid w:val="3FEB6F5A"/>
    <w:rsid w:val="40384169"/>
    <w:rsid w:val="406C796F"/>
    <w:rsid w:val="40E51BFB"/>
    <w:rsid w:val="413E130B"/>
    <w:rsid w:val="41764F49"/>
    <w:rsid w:val="41874A60"/>
    <w:rsid w:val="41886A2A"/>
    <w:rsid w:val="41A53138"/>
    <w:rsid w:val="41BE244C"/>
    <w:rsid w:val="41C55588"/>
    <w:rsid w:val="423A5F76"/>
    <w:rsid w:val="4251506E"/>
    <w:rsid w:val="4258464E"/>
    <w:rsid w:val="427F1BDB"/>
    <w:rsid w:val="42A054DF"/>
    <w:rsid w:val="42EB101F"/>
    <w:rsid w:val="43106CD7"/>
    <w:rsid w:val="432D1637"/>
    <w:rsid w:val="437454B8"/>
    <w:rsid w:val="438356FB"/>
    <w:rsid w:val="43A15B81"/>
    <w:rsid w:val="43B363C9"/>
    <w:rsid w:val="43D45F57"/>
    <w:rsid w:val="43EC14F2"/>
    <w:rsid w:val="43FA3C0F"/>
    <w:rsid w:val="44507CD3"/>
    <w:rsid w:val="449A0F4E"/>
    <w:rsid w:val="44BA6EFA"/>
    <w:rsid w:val="45246A6A"/>
    <w:rsid w:val="45684BA8"/>
    <w:rsid w:val="45A517D0"/>
    <w:rsid w:val="45B46BAC"/>
    <w:rsid w:val="45C543A0"/>
    <w:rsid w:val="45D73ADC"/>
    <w:rsid w:val="45DB537A"/>
    <w:rsid w:val="45E36925"/>
    <w:rsid w:val="462E61DA"/>
    <w:rsid w:val="46492C2C"/>
    <w:rsid w:val="46565349"/>
    <w:rsid w:val="465675C4"/>
    <w:rsid w:val="468477C0"/>
    <w:rsid w:val="474D4056"/>
    <w:rsid w:val="47785BF2"/>
    <w:rsid w:val="47D209FF"/>
    <w:rsid w:val="480678A1"/>
    <w:rsid w:val="481E6D74"/>
    <w:rsid w:val="48653621"/>
    <w:rsid w:val="488C32A4"/>
    <w:rsid w:val="489932CB"/>
    <w:rsid w:val="48A91760"/>
    <w:rsid w:val="48CD6222"/>
    <w:rsid w:val="493C4382"/>
    <w:rsid w:val="49427EF5"/>
    <w:rsid w:val="49695393"/>
    <w:rsid w:val="49A308A5"/>
    <w:rsid w:val="4A712751"/>
    <w:rsid w:val="4AB34B18"/>
    <w:rsid w:val="4AD8632C"/>
    <w:rsid w:val="4AF62C56"/>
    <w:rsid w:val="4B661B8A"/>
    <w:rsid w:val="4BBA3C84"/>
    <w:rsid w:val="4BF52F0E"/>
    <w:rsid w:val="4C392DFB"/>
    <w:rsid w:val="4C5C2F8D"/>
    <w:rsid w:val="4C6562E6"/>
    <w:rsid w:val="4C7C5524"/>
    <w:rsid w:val="4C982217"/>
    <w:rsid w:val="4CAA1F4A"/>
    <w:rsid w:val="4CDF1BF4"/>
    <w:rsid w:val="4CF47705"/>
    <w:rsid w:val="4D041435"/>
    <w:rsid w:val="4D1F46E6"/>
    <w:rsid w:val="4D73233C"/>
    <w:rsid w:val="4DE1199C"/>
    <w:rsid w:val="4E235B10"/>
    <w:rsid w:val="4E2F6BAB"/>
    <w:rsid w:val="4E5B79A0"/>
    <w:rsid w:val="4E600B13"/>
    <w:rsid w:val="4E797E26"/>
    <w:rsid w:val="4E9E163B"/>
    <w:rsid w:val="4F3D6B35"/>
    <w:rsid w:val="4F710AFD"/>
    <w:rsid w:val="4FC84338"/>
    <w:rsid w:val="4FDC68BF"/>
    <w:rsid w:val="4FF57980"/>
    <w:rsid w:val="50776DF5"/>
    <w:rsid w:val="50C23D07"/>
    <w:rsid w:val="50DD4F19"/>
    <w:rsid w:val="50EE53D4"/>
    <w:rsid w:val="50EE6549"/>
    <w:rsid w:val="514F30C0"/>
    <w:rsid w:val="515C58D1"/>
    <w:rsid w:val="5184720E"/>
    <w:rsid w:val="51EB79F7"/>
    <w:rsid w:val="521C002A"/>
    <w:rsid w:val="521C11F4"/>
    <w:rsid w:val="523A5B1F"/>
    <w:rsid w:val="5248023B"/>
    <w:rsid w:val="52A35472"/>
    <w:rsid w:val="52B21B59"/>
    <w:rsid w:val="535D3873"/>
    <w:rsid w:val="537E1A3B"/>
    <w:rsid w:val="539969CD"/>
    <w:rsid w:val="53B042EA"/>
    <w:rsid w:val="53B4545D"/>
    <w:rsid w:val="53BB67EB"/>
    <w:rsid w:val="53C47D96"/>
    <w:rsid w:val="54CD67D6"/>
    <w:rsid w:val="54FE4BE1"/>
    <w:rsid w:val="55324C86"/>
    <w:rsid w:val="557650C0"/>
    <w:rsid w:val="557856C0"/>
    <w:rsid w:val="5587107B"/>
    <w:rsid w:val="55911EF9"/>
    <w:rsid w:val="55CB540B"/>
    <w:rsid w:val="55D1679A"/>
    <w:rsid w:val="55F23CEB"/>
    <w:rsid w:val="55F869F5"/>
    <w:rsid w:val="564442DB"/>
    <w:rsid w:val="56755377"/>
    <w:rsid w:val="567D422C"/>
    <w:rsid w:val="56847368"/>
    <w:rsid w:val="56D007FF"/>
    <w:rsid w:val="56EA18C1"/>
    <w:rsid w:val="570D1A54"/>
    <w:rsid w:val="572648C3"/>
    <w:rsid w:val="572F3778"/>
    <w:rsid w:val="577D2735"/>
    <w:rsid w:val="57CC7219"/>
    <w:rsid w:val="57DC2A49"/>
    <w:rsid w:val="580A5CA9"/>
    <w:rsid w:val="584A6390"/>
    <w:rsid w:val="585C1FC3"/>
    <w:rsid w:val="58A12453"/>
    <w:rsid w:val="58A41F44"/>
    <w:rsid w:val="58A91308"/>
    <w:rsid w:val="58D72319"/>
    <w:rsid w:val="58FA1B64"/>
    <w:rsid w:val="590E560F"/>
    <w:rsid w:val="59396B30"/>
    <w:rsid w:val="5954396A"/>
    <w:rsid w:val="596D0588"/>
    <w:rsid w:val="598A2EE8"/>
    <w:rsid w:val="59EC76FE"/>
    <w:rsid w:val="5A0802B0"/>
    <w:rsid w:val="5A3D43FE"/>
    <w:rsid w:val="5A902780"/>
    <w:rsid w:val="5AA955EF"/>
    <w:rsid w:val="5AC7087D"/>
    <w:rsid w:val="5ADD34EB"/>
    <w:rsid w:val="5B8027F4"/>
    <w:rsid w:val="5BA04C44"/>
    <w:rsid w:val="5BB24978"/>
    <w:rsid w:val="5BCF1086"/>
    <w:rsid w:val="5C20470A"/>
    <w:rsid w:val="5C41241A"/>
    <w:rsid w:val="5C82259C"/>
    <w:rsid w:val="5C8F4C17"/>
    <w:rsid w:val="5CAD7D38"/>
    <w:rsid w:val="5CCB7A9F"/>
    <w:rsid w:val="5CE46DB3"/>
    <w:rsid w:val="5CFF1E3E"/>
    <w:rsid w:val="5E2E29DB"/>
    <w:rsid w:val="5E316D13"/>
    <w:rsid w:val="5E563CE0"/>
    <w:rsid w:val="5EC552E8"/>
    <w:rsid w:val="5EE25574"/>
    <w:rsid w:val="5EFC6636"/>
    <w:rsid w:val="5F1A4D0E"/>
    <w:rsid w:val="5F30008D"/>
    <w:rsid w:val="5F750196"/>
    <w:rsid w:val="5FC403E3"/>
    <w:rsid w:val="5FE35DB1"/>
    <w:rsid w:val="60714E01"/>
    <w:rsid w:val="609F196E"/>
    <w:rsid w:val="60DD2497"/>
    <w:rsid w:val="60E750C3"/>
    <w:rsid w:val="60FD6695"/>
    <w:rsid w:val="615C33BC"/>
    <w:rsid w:val="615E35D8"/>
    <w:rsid w:val="615F4C5A"/>
    <w:rsid w:val="61A3723C"/>
    <w:rsid w:val="61A94127"/>
    <w:rsid w:val="61DE022A"/>
    <w:rsid w:val="62B64D4D"/>
    <w:rsid w:val="62C71B5D"/>
    <w:rsid w:val="62E278F0"/>
    <w:rsid w:val="63400728"/>
    <w:rsid w:val="635B58F5"/>
    <w:rsid w:val="638141B0"/>
    <w:rsid w:val="63936E3D"/>
    <w:rsid w:val="63950E07"/>
    <w:rsid w:val="63A34842"/>
    <w:rsid w:val="64055F8C"/>
    <w:rsid w:val="64095351"/>
    <w:rsid w:val="644F5459"/>
    <w:rsid w:val="64684FBF"/>
    <w:rsid w:val="64BB664B"/>
    <w:rsid w:val="65343FB0"/>
    <w:rsid w:val="65A36856"/>
    <w:rsid w:val="65A73AE4"/>
    <w:rsid w:val="65C37EAD"/>
    <w:rsid w:val="65D976D1"/>
    <w:rsid w:val="65EE2A50"/>
    <w:rsid w:val="66546D57"/>
    <w:rsid w:val="66E142AB"/>
    <w:rsid w:val="67185FD7"/>
    <w:rsid w:val="672D0E56"/>
    <w:rsid w:val="676905E0"/>
    <w:rsid w:val="678C2521"/>
    <w:rsid w:val="679D7DAB"/>
    <w:rsid w:val="67F51E74"/>
    <w:rsid w:val="68183DB4"/>
    <w:rsid w:val="6835615A"/>
    <w:rsid w:val="68923B67"/>
    <w:rsid w:val="68DE6DAC"/>
    <w:rsid w:val="691722BE"/>
    <w:rsid w:val="694E3F32"/>
    <w:rsid w:val="69A717FF"/>
    <w:rsid w:val="69A75E71"/>
    <w:rsid w:val="69A94AF3"/>
    <w:rsid w:val="69BA15C7"/>
    <w:rsid w:val="69E06B54"/>
    <w:rsid w:val="6A2611D7"/>
    <w:rsid w:val="6A883473"/>
    <w:rsid w:val="6A9A00F6"/>
    <w:rsid w:val="6AB853DB"/>
    <w:rsid w:val="6B3B6738"/>
    <w:rsid w:val="6B607F4C"/>
    <w:rsid w:val="6B767770"/>
    <w:rsid w:val="6B7C465A"/>
    <w:rsid w:val="6BDC307A"/>
    <w:rsid w:val="6BDE6F83"/>
    <w:rsid w:val="6C474C68"/>
    <w:rsid w:val="6C4B29AA"/>
    <w:rsid w:val="6C613F7C"/>
    <w:rsid w:val="6C7D78FE"/>
    <w:rsid w:val="6C855B90"/>
    <w:rsid w:val="6CDF0FCC"/>
    <w:rsid w:val="6D2356D5"/>
    <w:rsid w:val="6D851EEC"/>
    <w:rsid w:val="6D9143ED"/>
    <w:rsid w:val="6DD662A4"/>
    <w:rsid w:val="6DDD5884"/>
    <w:rsid w:val="6E510020"/>
    <w:rsid w:val="6E6B5CFD"/>
    <w:rsid w:val="6E775CD9"/>
    <w:rsid w:val="6E970129"/>
    <w:rsid w:val="6EBF31DC"/>
    <w:rsid w:val="6EEE586F"/>
    <w:rsid w:val="6F481423"/>
    <w:rsid w:val="6F524050"/>
    <w:rsid w:val="6F6D43E1"/>
    <w:rsid w:val="6F6D70DC"/>
    <w:rsid w:val="6F80296B"/>
    <w:rsid w:val="6FE0340A"/>
    <w:rsid w:val="70451ADA"/>
    <w:rsid w:val="707029DF"/>
    <w:rsid w:val="70826CD4"/>
    <w:rsid w:val="70B34FC2"/>
    <w:rsid w:val="70C525FF"/>
    <w:rsid w:val="70CC1BE0"/>
    <w:rsid w:val="71267542"/>
    <w:rsid w:val="71357785"/>
    <w:rsid w:val="713F0604"/>
    <w:rsid w:val="717B788E"/>
    <w:rsid w:val="71CF7BDA"/>
    <w:rsid w:val="71DE340F"/>
    <w:rsid w:val="71F118FE"/>
    <w:rsid w:val="72020FBC"/>
    <w:rsid w:val="72253FA6"/>
    <w:rsid w:val="72E43211"/>
    <w:rsid w:val="72E476B5"/>
    <w:rsid w:val="73310FF5"/>
    <w:rsid w:val="739764D5"/>
    <w:rsid w:val="73E334C8"/>
    <w:rsid w:val="73F93254"/>
    <w:rsid w:val="744F0B5E"/>
    <w:rsid w:val="744F6DB0"/>
    <w:rsid w:val="74987F0D"/>
    <w:rsid w:val="750951B1"/>
    <w:rsid w:val="75104791"/>
    <w:rsid w:val="751A73BE"/>
    <w:rsid w:val="75287D2D"/>
    <w:rsid w:val="75614FED"/>
    <w:rsid w:val="75722D56"/>
    <w:rsid w:val="75897603"/>
    <w:rsid w:val="75A82C1C"/>
    <w:rsid w:val="75FD7278"/>
    <w:rsid w:val="76285B0A"/>
    <w:rsid w:val="76500BBD"/>
    <w:rsid w:val="76530DD9"/>
    <w:rsid w:val="76607052"/>
    <w:rsid w:val="770025E3"/>
    <w:rsid w:val="774009E0"/>
    <w:rsid w:val="775748F9"/>
    <w:rsid w:val="77876861"/>
    <w:rsid w:val="77903967"/>
    <w:rsid w:val="78972AD3"/>
    <w:rsid w:val="78A771BA"/>
    <w:rsid w:val="78B476F9"/>
    <w:rsid w:val="79615DEF"/>
    <w:rsid w:val="79752E15"/>
    <w:rsid w:val="797A667D"/>
    <w:rsid w:val="7A0E5017"/>
    <w:rsid w:val="7A715CD2"/>
    <w:rsid w:val="7AAF05A8"/>
    <w:rsid w:val="7AD149C3"/>
    <w:rsid w:val="7AD61FD9"/>
    <w:rsid w:val="7ADD3367"/>
    <w:rsid w:val="7B160627"/>
    <w:rsid w:val="7B6C0247"/>
    <w:rsid w:val="7BE97AEA"/>
    <w:rsid w:val="7BF85F7F"/>
    <w:rsid w:val="7C0E7550"/>
    <w:rsid w:val="7C507B69"/>
    <w:rsid w:val="7D142945"/>
    <w:rsid w:val="7D26685C"/>
    <w:rsid w:val="7D62010B"/>
    <w:rsid w:val="7D657644"/>
    <w:rsid w:val="7DA939D5"/>
    <w:rsid w:val="7DAC7021"/>
    <w:rsid w:val="7E024E93"/>
    <w:rsid w:val="7E2766A8"/>
    <w:rsid w:val="7E3C03A5"/>
    <w:rsid w:val="7EB268B9"/>
    <w:rsid w:val="7EFE20FD"/>
    <w:rsid w:val="7F052E8D"/>
    <w:rsid w:val="7F5434CC"/>
    <w:rsid w:val="7F6776A3"/>
    <w:rsid w:val="7FC655C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Calibr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iPriority="99" w:name="index 2"/>
    <w:lsdException w:uiPriority="99" w:name="index 3"/>
    <w:lsdException w:uiPriority="99" w:name="index 4"/>
    <w:lsdException w:uiPriority="99" w:name="index 5"/>
    <w:lsdException w:qFormat="1" w:unhideWhenUsed="0" w:uiPriority="0" w:semiHidden="0" w:name="index 6"/>
    <w:lsdException w:uiPriority="99" w:name="index 7"/>
    <w:lsdException w:uiPriority="99" w:name="index 8"/>
    <w:lsdException w:uiPriority="99" w:name="index 9"/>
    <w:lsdException w:qFormat="1"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iPriority="0" w:name="Normal Indent"/>
    <w:lsdException w:qFormat="1" w:unhideWhenUsed="0" w:uiPriority="0" w:semiHidden="0" w:name="footnote text"/>
    <w:lsdException w:uiPriority="99" w:name="annotation text"/>
    <w:lsdException w:qFormat="1" w:uiPriority="0" w:name="header"/>
    <w:lsdException w:qFormat="1" w:uiPriority="0" w:name="footer"/>
    <w:lsdException w:uiPriority="99" w:name="index heading"/>
    <w:lsdException w:qFormat="1" w:unhideWhenUsed="0" w:uiPriority="0" w:semiHidden="0" w:name="caption"/>
    <w:lsdException w:uiPriority="99" w:name="table of figures"/>
    <w:lsdException w:uiPriority="99" w:name="envelope address"/>
    <w:lsdException w:qFormat="1" w:uiPriority="99" w:semiHidden="0" w:name="envelope return"/>
    <w:lsdException w:qFormat="1" w:unhideWhenUsed="0" w:uiPriority="0" w:semiHidden="0" w:name="footnote reference"/>
    <w:lsdException w:uiPriority="99" w:name="annotation reference"/>
    <w:lsdException w:uiPriority="99" w:name="line number"/>
    <w:lsdException w:qFormat="1" w:uiPriority="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qFormat="1" w:unhideWhenUsed="0" w:uiPriority="0" w:semiHidden="0" w:name="Closing"/>
    <w:lsdException w:uiPriority="99" w:name="Signature"/>
    <w:lsdException w:uiPriority="1" w:name="Default Paragraph Font"/>
    <w:lsdException w:qFormat="1" w:uiPriority="0" w:name="Body Text"/>
    <w:lsdException w:qFormat="1" w:uiPriority="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iPriority="99" w:name="Body Text First Indent 2"/>
    <w:lsdException w:uiPriority="99" w:name="Note Heading"/>
    <w:lsdException w:qFormat="1" w:uiPriority="0" w:name="Body Text 2"/>
    <w:lsdException w:qFormat="1" w:unhideWhenUsed="0" w:uiPriority="0" w:semiHidden="0" w:name="Body Text 3"/>
    <w:lsdException w:qFormat="1" w:uiPriority="0" w:name="Body Text Indent 2"/>
    <w:lsdException w:qFormat="1" w:unhideWhenUsed="0" w:uiPriority="0" w:semiHidden="0" w:name="Body Text Indent 3"/>
    <w:lsdException w:uiPriority="99" w:name="Block Text"/>
    <w:lsdException w:qFormat="1" w:uiPriority="0" w:name="Hyperlink"/>
    <w:lsdException w:qFormat="1" w:uiPriority="0" w:name="FollowedHyperlink"/>
    <w:lsdException w:qFormat="1" w:unhideWhenUsed="0" w:uiPriority="0"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4">
    <w:name w:val="heading 1"/>
    <w:basedOn w:val="1"/>
    <w:next w:val="1"/>
    <w:link w:val="192"/>
    <w:qFormat/>
    <w:uiPriority w:val="0"/>
    <w:pPr>
      <w:keepNext/>
      <w:keepLines/>
      <w:spacing w:line="360" w:lineRule="auto"/>
      <w:outlineLvl w:val="0"/>
    </w:pPr>
    <w:rPr>
      <w:b/>
      <w:bCs/>
      <w:kern w:val="44"/>
      <w:sz w:val="44"/>
      <w:szCs w:val="44"/>
    </w:rPr>
  </w:style>
  <w:style w:type="paragraph" w:styleId="5">
    <w:name w:val="heading 2"/>
    <w:basedOn w:val="1"/>
    <w:next w:val="1"/>
    <w:link w:val="193"/>
    <w:semiHidden/>
    <w:unhideWhenUsed/>
    <w:qFormat/>
    <w:uiPriority w:val="0"/>
    <w:pPr>
      <w:keepNext/>
      <w:keepLines/>
      <w:spacing w:before="260" w:after="260" w:line="412" w:lineRule="auto"/>
      <w:outlineLvl w:val="1"/>
    </w:pPr>
    <w:rPr>
      <w:rFonts w:ascii="Arial" w:hAnsi="Arial" w:eastAsia="黑体" w:cs="Arial"/>
      <w:b/>
      <w:bCs/>
      <w:kern w:val="0"/>
      <w:sz w:val="32"/>
      <w:szCs w:val="32"/>
    </w:rPr>
  </w:style>
  <w:style w:type="paragraph" w:styleId="6">
    <w:name w:val="heading 3"/>
    <w:basedOn w:val="1"/>
    <w:next w:val="1"/>
    <w:link w:val="194"/>
    <w:unhideWhenUsed/>
    <w:qFormat/>
    <w:uiPriority w:val="0"/>
    <w:pPr>
      <w:keepNext/>
      <w:keepLines/>
      <w:spacing w:line="360" w:lineRule="auto"/>
      <w:outlineLvl w:val="2"/>
    </w:pPr>
    <w:rPr>
      <w:b/>
      <w:bCs/>
      <w:kern w:val="0"/>
      <w:sz w:val="32"/>
      <w:szCs w:val="32"/>
    </w:rPr>
  </w:style>
  <w:style w:type="paragraph" w:styleId="7">
    <w:name w:val="heading 4"/>
    <w:basedOn w:val="1"/>
    <w:next w:val="1"/>
    <w:link w:val="182"/>
    <w:semiHidden/>
    <w:unhideWhenUsed/>
    <w:qFormat/>
    <w:uiPriority w:val="0"/>
    <w:pPr>
      <w:keepNext/>
      <w:keepLines/>
      <w:spacing w:line="360" w:lineRule="auto"/>
      <w:outlineLvl w:val="3"/>
    </w:pPr>
    <w:rPr>
      <w:rFonts w:ascii="Arial" w:hAnsi="Arial" w:cs="Arial"/>
      <w:b/>
      <w:bCs/>
      <w:kern w:val="0"/>
      <w:sz w:val="28"/>
      <w:szCs w:val="28"/>
    </w:rPr>
  </w:style>
  <w:style w:type="paragraph" w:styleId="8">
    <w:name w:val="heading 5"/>
    <w:basedOn w:val="1"/>
    <w:next w:val="9"/>
    <w:link w:val="183"/>
    <w:semiHidden/>
    <w:unhideWhenUsed/>
    <w:qFormat/>
    <w:uiPriority w:val="0"/>
    <w:pPr>
      <w:keepNext/>
      <w:keepLines/>
      <w:spacing w:before="280" w:after="290" w:line="376" w:lineRule="auto"/>
      <w:outlineLvl w:val="4"/>
    </w:pPr>
    <w:rPr>
      <w:b/>
      <w:bCs/>
      <w:sz w:val="28"/>
      <w:szCs w:val="28"/>
    </w:rPr>
  </w:style>
  <w:style w:type="paragraph" w:styleId="11">
    <w:name w:val="heading 6"/>
    <w:basedOn w:val="1"/>
    <w:next w:val="9"/>
    <w:link w:val="289"/>
    <w:semiHidden/>
    <w:unhideWhenUsed/>
    <w:qFormat/>
    <w:uiPriority w:val="0"/>
    <w:pPr>
      <w:keepNext/>
      <w:keepLines/>
      <w:numPr>
        <w:ilvl w:val="5"/>
        <w:numId w:val="1"/>
      </w:numPr>
      <w:spacing w:before="240" w:after="64" w:line="319" w:lineRule="auto"/>
      <w:outlineLvl w:val="5"/>
    </w:pPr>
    <w:rPr>
      <w:rFonts w:ascii="Arial" w:hAnsi="Arial" w:eastAsia="黑体"/>
      <w:b/>
      <w:sz w:val="24"/>
      <w:szCs w:val="20"/>
    </w:rPr>
  </w:style>
  <w:style w:type="paragraph" w:styleId="12">
    <w:name w:val="heading 7"/>
    <w:basedOn w:val="1"/>
    <w:next w:val="9"/>
    <w:link w:val="290"/>
    <w:semiHidden/>
    <w:unhideWhenUsed/>
    <w:qFormat/>
    <w:uiPriority w:val="0"/>
    <w:pPr>
      <w:keepNext/>
      <w:keepLines/>
      <w:numPr>
        <w:ilvl w:val="6"/>
        <w:numId w:val="1"/>
      </w:numPr>
      <w:spacing w:before="240" w:after="64" w:line="319" w:lineRule="auto"/>
      <w:outlineLvl w:val="6"/>
    </w:pPr>
    <w:rPr>
      <w:b/>
      <w:sz w:val="24"/>
      <w:szCs w:val="20"/>
    </w:rPr>
  </w:style>
  <w:style w:type="paragraph" w:styleId="13">
    <w:name w:val="heading 8"/>
    <w:basedOn w:val="1"/>
    <w:next w:val="9"/>
    <w:link w:val="287"/>
    <w:semiHidden/>
    <w:unhideWhenUsed/>
    <w:qFormat/>
    <w:uiPriority w:val="0"/>
    <w:pPr>
      <w:keepNext/>
      <w:keepLines/>
      <w:numPr>
        <w:ilvl w:val="7"/>
        <w:numId w:val="1"/>
      </w:numPr>
      <w:spacing w:before="240" w:after="64" w:line="319" w:lineRule="auto"/>
      <w:outlineLvl w:val="7"/>
    </w:pPr>
    <w:rPr>
      <w:rFonts w:ascii="Arial" w:hAnsi="Arial" w:eastAsia="黑体"/>
      <w:sz w:val="24"/>
      <w:szCs w:val="20"/>
    </w:rPr>
  </w:style>
  <w:style w:type="paragraph" w:styleId="14">
    <w:name w:val="heading 9"/>
    <w:basedOn w:val="1"/>
    <w:next w:val="9"/>
    <w:link w:val="284"/>
    <w:semiHidden/>
    <w:unhideWhenUsed/>
    <w:qFormat/>
    <w:uiPriority w:val="0"/>
    <w:pPr>
      <w:keepNext/>
      <w:keepLines/>
      <w:numPr>
        <w:ilvl w:val="8"/>
        <w:numId w:val="1"/>
      </w:numPr>
      <w:spacing w:before="240" w:after="64" w:line="319" w:lineRule="auto"/>
      <w:outlineLvl w:val="8"/>
    </w:pPr>
    <w:rPr>
      <w:rFonts w:ascii="Arial" w:hAnsi="Arial" w:eastAsia="黑体"/>
      <w:szCs w:val="20"/>
    </w:rPr>
  </w:style>
  <w:style w:type="character" w:default="1" w:styleId="48">
    <w:name w:val="Default Paragraph Font"/>
    <w:semiHidden/>
    <w:unhideWhenUsed/>
    <w:uiPriority w:val="1"/>
  </w:style>
  <w:style w:type="table" w:default="1" w:styleId="46">
    <w:name w:val="Normal Table"/>
    <w:semiHidden/>
    <w:unhideWhenUsed/>
    <w:qFormat/>
    <w:uiPriority w:val="99"/>
    <w:tblPr>
      <w:tblCellMar>
        <w:top w:w="0" w:type="dxa"/>
        <w:left w:w="108" w:type="dxa"/>
        <w:bottom w:w="0" w:type="dxa"/>
        <w:right w:w="108" w:type="dxa"/>
      </w:tblCellMar>
    </w:tblPr>
  </w:style>
  <w:style w:type="paragraph" w:styleId="2">
    <w:name w:val="Message Header"/>
    <w:basedOn w:val="1"/>
    <w:next w:val="3"/>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cs="Cambria"/>
    </w:rPr>
  </w:style>
  <w:style w:type="paragraph" w:styleId="3">
    <w:name w:val="Plain Text"/>
    <w:basedOn w:val="1"/>
    <w:link w:val="294"/>
    <w:qFormat/>
    <w:uiPriority w:val="0"/>
    <w:rPr>
      <w:rFonts w:ascii="宋体" w:hAnsi="Courier New"/>
      <w:szCs w:val="20"/>
    </w:rPr>
  </w:style>
  <w:style w:type="paragraph" w:styleId="9">
    <w:name w:val="Normal Indent"/>
    <w:basedOn w:val="1"/>
    <w:next w:val="10"/>
    <w:link w:val="291"/>
    <w:semiHidden/>
    <w:unhideWhenUsed/>
    <w:qFormat/>
    <w:uiPriority w:val="0"/>
    <w:pPr>
      <w:ind w:firstLine="420" w:firstLineChars="200"/>
    </w:pPr>
    <w:rPr>
      <w:kern w:val="0"/>
      <w:sz w:val="20"/>
      <w:szCs w:val="20"/>
    </w:rPr>
  </w:style>
  <w:style w:type="paragraph" w:styleId="10">
    <w:name w:val="Body Text 2"/>
    <w:basedOn w:val="1"/>
    <w:next w:val="1"/>
    <w:link w:val="298"/>
    <w:semiHidden/>
    <w:unhideWhenUsed/>
    <w:qFormat/>
    <w:uiPriority w:val="0"/>
    <w:rPr>
      <w:rFonts w:ascii="ˎ̥" w:hAnsi="ˎ̥" w:cs="宋体"/>
      <w:b/>
      <w:sz w:val="32"/>
    </w:rPr>
  </w:style>
  <w:style w:type="paragraph" w:styleId="15">
    <w:name w:val="toc 7"/>
    <w:basedOn w:val="1"/>
    <w:next w:val="1"/>
    <w:semiHidden/>
    <w:qFormat/>
    <w:uiPriority w:val="0"/>
    <w:pPr>
      <w:ind w:left="2520"/>
    </w:pPr>
    <w:rPr>
      <w:szCs w:val="20"/>
    </w:rPr>
  </w:style>
  <w:style w:type="paragraph" w:styleId="16">
    <w:name w:val="caption"/>
    <w:basedOn w:val="1"/>
    <w:next w:val="1"/>
    <w:qFormat/>
    <w:uiPriority w:val="0"/>
    <w:pPr>
      <w:widowControl/>
      <w:spacing w:before="152" w:after="160"/>
      <w:jc w:val="left"/>
    </w:pPr>
    <w:rPr>
      <w:rFonts w:ascii="Arial" w:hAnsi="Arial" w:eastAsia="黑体"/>
      <w:kern w:val="0"/>
      <w:sz w:val="20"/>
      <w:szCs w:val="20"/>
    </w:rPr>
  </w:style>
  <w:style w:type="paragraph" w:styleId="17">
    <w:name w:val="index 6"/>
    <w:basedOn w:val="1"/>
    <w:next w:val="1"/>
    <w:qFormat/>
    <w:uiPriority w:val="0"/>
    <w:pPr>
      <w:ind w:left="1260" w:hanging="210"/>
      <w:jc w:val="left"/>
    </w:pPr>
    <w:rPr>
      <w:szCs w:val="24"/>
    </w:rPr>
  </w:style>
  <w:style w:type="paragraph" w:styleId="18">
    <w:name w:val="Salutation"/>
    <w:basedOn w:val="1"/>
    <w:next w:val="1"/>
    <w:link w:val="292"/>
    <w:qFormat/>
    <w:uiPriority w:val="0"/>
    <w:rPr>
      <w:rFonts w:ascii="Calibri" w:hAnsi="Calibri"/>
      <w:kern w:val="0"/>
      <w:szCs w:val="22"/>
    </w:rPr>
  </w:style>
  <w:style w:type="paragraph" w:styleId="19">
    <w:name w:val="Body Text 3"/>
    <w:basedOn w:val="1"/>
    <w:link w:val="286"/>
    <w:qFormat/>
    <w:uiPriority w:val="0"/>
    <w:pPr>
      <w:spacing w:after="120"/>
    </w:pPr>
    <w:rPr>
      <w:sz w:val="16"/>
      <w:szCs w:val="16"/>
    </w:rPr>
  </w:style>
  <w:style w:type="paragraph" w:styleId="20">
    <w:name w:val="Closing"/>
    <w:basedOn w:val="1"/>
    <w:next w:val="1"/>
    <w:link w:val="293"/>
    <w:qFormat/>
    <w:uiPriority w:val="0"/>
    <w:pPr>
      <w:ind w:left="4320"/>
    </w:pPr>
    <w:rPr>
      <w:sz w:val="30"/>
      <w:szCs w:val="20"/>
    </w:rPr>
  </w:style>
  <w:style w:type="paragraph" w:styleId="21">
    <w:name w:val="Body Text"/>
    <w:basedOn w:val="1"/>
    <w:next w:val="10"/>
    <w:link w:val="209"/>
    <w:semiHidden/>
    <w:unhideWhenUsed/>
    <w:qFormat/>
    <w:uiPriority w:val="0"/>
    <w:pPr>
      <w:spacing w:before="100" w:beforeAutospacing="1" w:after="120"/>
    </w:pPr>
    <w:rPr>
      <w:kern w:val="0"/>
      <w:sz w:val="24"/>
      <w:szCs w:val="24"/>
    </w:rPr>
  </w:style>
  <w:style w:type="paragraph" w:styleId="22">
    <w:name w:val="Body Text Indent"/>
    <w:basedOn w:val="1"/>
    <w:next w:val="1"/>
    <w:link w:val="190"/>
    <w:semiHidden/>
    <w:unhideWhenUsed/>
    <w:qFormat/>
    <w:uiPriority w:val="0"/>
    <w:pPr>
      <w:spacing w:before="100" w:beforeAutospacing="1" w:after="120"/>
      <w:ind w:left="420" w:leftChars="200"/>
    </w:pPr>
  </w:style>
  <w:style w:type="paragraph" w:styleId="23">
    <w:name w:val="toc 5"/>
    <w:basedOn w:val="1"/>
    <w:next w:val="1"/>
    <w:semiHidden/>
    <w:qFormat/>
    <w:uiPriority w:val="0"/>
    <w:pPr>
      <w:ind w:left="1680"/>
    </w:pPr>
    <w:rPr>
      <w:szCs w:val="20"/>
    </w:rPr>
  </w:style>
  <w:style w:type="paragraph" w:styleId="24">
    <w:name w:val="toc 3"/>
    <w:basedOn w:val="1"/>
    <w:next w:val="1"/>
    <w:semiHidden/>
    <w:qFormat/>
    <w:uiPriority w:val="0"/>
    <w:pPr>
      <w:ind w:left="840"/>
    </w:pPr>
    <w:rPr>
      <w:szCs w:val="20"/>
    </w:rPr>
  </w:style>
  <w:style w:type="paragraph" w:styleId="25">
    <w:name w:val="toc 8"/>
    <w:basedOn w:val="1"/>
    <w:next w:val="1"/>
    <w:semiHidden/>
    <w:qFormat/>
    <w:uiPriority w:val="0"/>
    <w:pPr>
      <w:ind w:left="2940"/>
    </w:pPr>
    <w:rPr>
      <w:szCs w:val="20"/>
    </w:rPr>
  </w:style>
  <w:style w:type="paragraph" w:styleId="26">
    <w:name w:val="Date"/>
    <w:basedOn w:val="1"/>
    <w:next w:val="1"/>
    <w:link w:val="285"/>
    <w:qFormat/>
    <w:uiPriority w:val="0"/>
    <w:pPr>
      <w:widowControl/>
      <w:ind w:left="100"/>
      <w:jc w:val="left"/>
    </w:pPr>
    <w:rPr>
      <w:rFonts w:ascii="宋体" w:hAnsi="宋体"/>
      <w:kern w:val="0"/>
      <w:sz w:val="28"/>
      <w:szCs w:val="20"/>
    </w:rPr>
  </w:style>
  <w:style w:type="paragraph" w:styleId="27">
    <w:name w:val="Body Text Indent 2"/>
    <w:basedOn w:val="1"/>
    <w:link w:val="199"/>
    <w:semiHidden/>
    <w:unhideWhenUsed/>
    <w:qFormat/>
    <w:uiPriority w:val="0"/>
    <w:pPr>
      <w:spacing w:after="120" w:line="480" w:lineRule="auto"/>
      <w:ind w:left="420" w:leftChars="200"/>
    </w:pPr>
    <w:rPr>
      <w:rFonts w:ascii="Calibri" w:hAnsi="Calibri"/>
      <w:szCs w:val="24"/>
    </w:rPr>
  </w:style>
  <w:style w:type="paragraph" w:styleId="28">
    <w:name w:val="Balloon Text"/>
    <w:basedOn w:val="1"/>
    <w:link w:val="191"/>
    <w:semiHidden/>
    <w:unhideWhenUsed/>
    <w:qFormat/>
    <w:uiPriority w:val="0"/>
    <w:rPr>
      <w:sz w:val="18"/>
      <w:szCs w:val="18"/>
    </w:rPr>
  </w:style>
  <w:style w:type="paragraph" w:styleId="29">
    <w:name w:val="footer"/>
    <w:basedOn w:val="1"/>
    <w:link w:val="189"/>
    <w:semiHidden/>
    <w:unhideWhenUsed/>
    <w:qFormat/>
    <w:uiPriority w:val="0"/>
    <w:pPr>
      <w:snapToGrid w:val="0"/>
      <w:jc w:val="left"/>
    </w:pPr>
    <w:rPr>
      <w:rFonts w:ascii="Calibri" w:hAnsi="Calibri"/>
      <w:sz w:val="18"/>
      <w:szCs w:val="18"/>
    </w:rPr>
  </w:style>
  <w:style w:type="paragraph" w:styleId="30">
    <w:name w:val="envelope return"/>
    <w:basedOn w:val="1"/>
    <w:unhideWhenUsed/>
    <w:qFormat/>
    <w:uiPriority w:val="99"/>
    <w:pPr>
      <w:adjustRightInd w:val="0"/>
      <w:snapToGrid w:val="0"/>
      <w:spacing w:line="360" w:lineRule="auto"/>
      <w:ind w:firstLine="200" w:firstLineChars="200"/>
    </w:pPr>
    <w:rPr>
      <w:rFonts w:ascii="Arial" w:hAnsi="Arial" w:eastAsia="仿宋_GB2312" w:cs="Arial"/>
      <w:sz w:val="24"/>
    </w:rPr>
  </w:style>
  <w:style w:type="paragraph" w:styleId="31">
    <w:name w:val="header"/>
    <w:basedOn w:val="1"/>
    <w:link w:val="188"/>
    <w:semiHidden/>
    <w:unhideWhenUsed/>
    <w:qFormat/>
    <w:uiPriority w:val="0"/>
    <w:pPr>
      <w:pBdr>
        <w:bottom w:val="single" w:color="auto" w:sz="6" w:space="1"/>
      </w:pBdr>
      <w:snapToGrid w:val="0"/>
      <w:jc w:val="center"/>
    </w:pPr>
    <w:rPr>
      <w:rFonts w:ascii="Calibri" w:hAnsi="Calibri"/>
      <w:sz w:val="18"/>
      <w:szCs w:val="18"/>
    </w:rPr>
  </w:style>
  <w:style w:type="paragraph" w:styleId="32">
    <w:name w:val="toc 1"/>
    <w:basedOn w:val="1"/>
    <w:next w:val="1"/>
    <w:semiHidden/>
    <w:unhideWhenUsed/>
    <w:qFormat/>
    <w:uiPriority w:val="0"/>
    <w:pPr>
      <w:tabs>
        <w:tab w:val="right" w:leader="dot" w:pos="9214"/>
      </w:tabs>
      <w:spacing w:line="600" w:lineRule="auto"/>
    </w:pPr>
  </w:style>
  <w:style w:type="paragraph" w:styleId="33">
    <w:name w:val="toc 4"/>
    <w:basedOn w:val="1"/>
    <w:next w:val="1"/>
    <w:semiHidden/>
    <w:qFormat/>
    <w:uiPriority w:val="0"/>
    <w:pPr>
      <w:ind w:left="1260"/>
    </w:pPr>
    <w:rPr>
      <w:szCs w:val="20"/>
    </w:rPr>
  </w:style>
  <w:style w:type="paragraph" w:styleId="34">
    <w:name w:val="Subtitle"/>
    <w:basedOn w:val="1"/>
    <w:link w:val="295"/>
    <w:qFormat/>
    <w:uiPriority w:val="0"/>
    <w:pPr>
      <w:adjustRightInd w:val="0"/>
      <w:spacing w:after="60" w:line="360" w:lineRule="atLeast"/>
      <w:jc w:val="center"/>
      <w:textAlignment w:val="baseline"/>
    </w:pPr>
    <w:rPr>
      <w:rFonts w:ascii="Arial" w:hAnsi="Arial" w:eastAsia="黑体"/>
      <w:i/>
      <w:kern w:val="0"/>
      <w:sz w:val="24"/>
      <w:szCs w:val="20"/>
    </w:rPr>
  </w:style>
  <w:style w:type="paragraph" w:styleId="35">
    <w:name w:val="footnote text"/>
    <w:basedOn w:val="1"/>
    <w:link w:val="296"/>
    <w:qFormat/>
    <w:uiPriority w:val="0"/>
    <w:pPr>
      <w:snapToGrid w:val="0"/>
      <w:jc w:val="left"/>
    </w:pPr>
    <w:rPr>
      <w:sz w:val="18"/>
      <w:szCs w:val="20"/>
    </w:rPr>
  </w:style>
  <w:style w:type="paragraph" w:styleId="36">
    <w:name w:val="toc 6"/>
    <w:basedOn w:val="1"/>
    <w:next w:val="1"/>
    <w:semiHidden/>
    <w:qFormat/>
    <w:uiPriority w:val="0"/>
    <w:pPr>
      <w:tabs>
        <w:tab w:val="right" w:leader="dot" w:pos="8302"/>
      </w:tabs>
      <w:spacing w:line="360" w:lineRule="auto"/>
      <w:ind w:left="480"/>
    </w:pPr>
    <w:rPr>
      <w:sz w:val="24"/>
      <w:szCs w:val="20"/>
    </w:rPr>
  </w:style>
  <w:style w:type="paragraph" w:styleId="37">
    <w:name w:val="Body Text Indent 3"/>
    <w:basedOn w:val="1"/>
    <w:link w:val="297"/>
    <w:qFormat/>
    <w:uiPriority w:val="0"/>
    <w:pPr>
      <w:adjustRightInd w:val="0"/>
      <w:spacing w:line="360" w:lineRule="auto"/>
      <w:ind w:left="960"/>
      <w:jc w:val="left"/>
      <w:textAlignment w:val="baseline"/>
    </w:pPr>
    <w:rPr>
      <w:rFonts w:eastAsia="楷体"/>
      <w:kern w:val="0"/>
      <w:sz w:val="24"/>
      <w:szCs w:val="20"/>
    </w:rPr>
  </w:style>
  <w:style w:type="paragraph" w:styleId="38">
    <w:name w:val="toc 2"/>
    <w:basedOn w:val="1"/>
    <w:next w:val="1"/>
    <w:semiHidden/>
    <w:qFormat/>
    <w:uiPriority w:val="0"/>
    <w:pPr>
      <w:ind w:left="420"/>
    </w:pPr>
    <w:rPr>
      <w:szCs w:val="20"/>
    </w:rPr>
  </w:style>
  <w:style w:type="paragraph" w:styleId="39">
    <w:name w:val="toc 9"/>
    <w:basedOn w:val="1"/>
    <w:next w:val="1"/>
    <w:semiHidden/>
    <w:qFormat/>
    <w:uiPriority w:val="0"/>
    <w:pPr>
      <w:ind w:left="3360"/>
    </w:pPr>
    <w:rPr>
      <w:szCs w:val="20"/>
    </w:rPr>
  </w:style>
  <w:style w:type="paragraph" w:styleId="40">
    <w:name w:val="HTML Preformatted"/>
    <w:basedOn w:val="1"/>
    <w:link w:val="299"/>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olor w:val="000000"/>
      <w:kern w:val="0"/>
      <w:szCs w:val="20"/>
    </w:rPr>
  </w:style>
  <w:style w:type="paragraph" w:styleId="41">
    <w:name w:val="Normal (Web)"/>
    <w:basedOn w:val="1"/>
    <w:semiHidden/>
    <w:unhideWhenUsed/>
    <w:qFormat/>
    <w:uiPriority w:val="0"/>
    <w:pPr>
      <w:widowControl/>
      <w:spacing w:before="100" w:beforeAutospacing="1" w:after="100" w:afterAutospacing="1"/>
      <w:jc w:val="left"/>
    </w:pPr>
    <w:rPr>
      <w:rFonts w:ascii="宋体" w:hAnsi="宋体" w:cs="宋体"/>
      <w:kern w:val="0"/>
      <w:sz w:val="24"/>
      <w:szCs w:val="24"/>
    </w:rPr>
  </w:style>
  <w:style w:type="paragraph" w:styleId="42">
    <w:name w:val="index 1"/>
    <w:basedOn w:val="1"/>
    <w:next w:val="1"/>
    <w:qFormat/>
    <w:uiPriority w:val="0"/>
    <w:pPr>
      <w:adjustRightInd w:val="0"/>
      <w:spacing w:line="312" w:lineRule="atLeast"/>
      <w:textAlignment w:val="baseline"/>
    </w:pPr>
    <w:rPr>
      <w:kern w:val="0"/>
      <w:szCs w:val="20"/>
    </w:rPr>
  </w:style>
  <w:style w:type="paragraph" w:styleId="43">
    <w:name w:val="Title"/>
    <w:basedOn w:val="1"/>
    <w:link w:val="211"/>
    <w:qFormat/>
    <w:uiPriority w:val="0"/>
    <w:pPr>
      <w:spacing w:before="240" w:after="60"/>
      <w:jc w:val="center"/>
      <w:outlineLvl w:val="0"/>
    </w:pPr>
    <w:rPr>
      <w:rFonts w:ascii="等线 Light" w:hAnsi="等线 Light" w:cs="宋体"/>
      <w:b/>
      <w:bCs/>
      <w:kern w:val="0"/>
      <w:sz w:val="32"/>
      <w:szCs w:val="32"/>
    </w:rPr>
  </w:style>
  <w:style w:type="paragraph" w:styleId="44">
    <w:name w:val="Body Text First Indent"/>
    <w:basedOn w:val="21"/>
    <w:next w:val="1"/>
    <w:link w:val="288"/>
    <w:qFormat/>
    <w:uiPriority w:val="0"/>
    <w:pPr>
      <w:widowControl/>
      <w:spacing w:before="0" w:beforeAutospacing="0"/>
      <w:ind w:firstLine="420" w:firstLineChars="100"/>
      <w:jc w:val="left"/>
    </w:pPr>
  </w:style>
  <w:style w:type="paragraph" w:styleId="45">
    <w:name w:val="Body Text First Indent 2"/>
    <w:basedOn w:val="22"/>
    <w:next w:val="1"/>
    <w:link w:val="62"/>
    <w:semiHidden/>
    <w:unhideWhenUsed/>
    <w:qFormat/>
    <w:uiPriority w:val="99"/>
    <w:pPr>
      <w:spacing w:after="0" w:line="660" w:lineRule="exact"/>
      <w:ind w:left="0" w:leftChars="0" w:firstLine="420" w:firstLineChars="200"/>
    </w:pPr>
    <w:rPr>
      <w:spacing w:val="10"/>
      <w:kern w:val="0"/>
      <w:sz w:val="30"/>
      <w:szCs w:val="30"/>
    </w:rPr>
  </w:style>
  <w:style w:type="table" w:styleId="47">
    <w:name w:val="Table Grid"/>
    <w:basedOn w:val="46"/>
    <w:qFormat/>
    <w:uiPriority w:val="0"/>
    <w:pPr>
      <w:widowControl w:val="0"/>
      <w:jc w:val="both"/>
    </w:pPr>
    <w:rPr>
      <w:rFonts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9">
    <w:name w:val="Strong"/>
    <w:qFormat/>
    <w:uiPriority w:val="0"/>
    <w:rPr>
      <w:rFonts w:ascii="Calibri" w:hAnsi="Calibri" w:eastAsia="宋体" w:cs="Times New Roman"/>
      <w:b/>
      <w:bCs/>
    </w:rPr>
  </w:style>
  <w:style w:type="character" w:styleId="50">
    <w:name w:val="page number"/>
    <w:basedOn w:val="48"/>
    <w:semiHidden/>
    <w:unhideWhenUsed/>
    <w:qFormat/>
    <w:uiPriority w:val="0"/>
    <w:rPr>
      <w:rFonts w:cs="Times New Roman"/>
      <w:sz w:val="20"/>
      <w:szCs w:val="20"/>
    </w:rPr>
  </w:style>
  <w:style w:type="character" w:styleId="51">
    <w:name w:val="FollowedHyperlink"/>
    <w:basedOn w:val="48"/>
    <w:semiHidden/>
    <w:unhideWhenUsed/>
    <w:qFormat/>
    <w:uiPriority w:val="0"/>
    <w:rPr>
      <w:color w:val="800080"/>
      <w:u w:val="single"/>
    </w:rPr>
  </w:style>
  <w:style w:type="character" w:styleId="52">
    <w:name w:val="Hyperlink"/>
    <w:semiHidden/>
    <w:unhideWhenUsed/>
    <w:qFormat/>
    <w:uiPriority w:val="0"/>
    <w:rPr>
      <w:color w:val="0000FF"/>
      <w:u w:val="single"/>
    </w:rPr>
  </w:style>
  <w:style w:type="character" w:styleId="53">
    <w:name w:val="footnote reference"/>
    <w:qFormat/>
    <w:uiPriority w:val="0"/>
    <w:rPr>
      <w:rFonts w:ascii="Calibri" w:hAnsi="Calibri" w:eastAsia="宋体" w:cs="Times New Roman"/>
      <w:vertAlign w:val="superscript"/>
    </w:rPr>
  </w:style>
  <w:style w:type="paragraph" w:customStyle="1" w:styleId="54">
    <w:name w:val="style4"/>
    <w:basedOn w:val="1"/>
    <w:next w:val="55"/>
    <w:qFormat/>
    <w:uiPriority w:val="0"/>
    <w:pPr>
      <w:widowControl/>
      <w:spacing w:before="280" w:after="280"/>
    </w:pPr>
    <w:rPr>
      <w:rFonts w:ascii="宋体"/>
      <w:sz w:val="18"/>
    </w:rPr>
  </w:style>
  <w:style w:type="paragraph" w:customStyle="1" w:styleId="55">
    <w:name w:val="2"/>
    <w:next w:val="1"/>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56">
    <w:name w:val="目录 51"/>
    <w:next w:val="1"/>
    <w:qFormat/>
    <w:uiPriority w:val="0"/>
    <w:pPr>
      <w:wordWrap w:val="0"/>
      <w:ind w:left="1700"/>
      <w:jc w:val="both"/>
    </w:pPr>
    <w:rPr>
      <w:rFonts w:ascii="Times New Roman" w:hAnsi="Times New Roman" w:eastAsia="Calibri" w:cs="Times New Roman"/>
      <w:sz w:val="21"/>
      <w:lang w:val="en-US" w:eastAsia="zh-CN" w:bidi="ar-SA"/>
    </w:rPr>
  </w:style>
  <w:style w:type="character" w:customStyle="1" w:styleId="57">
    <w:name w:val="标题 1 Char"/>
    <w:qFormat/>
    <w:uiPriority w:val="99"/>
    <w:rPr>
      <w:rFonts w:ascii="Times New Roman" w:hAnsi="Times New Roman" w:eastAsia="宋体" w:cs="Times New Roman"/>
      <w:b/>
      <w:bCs/>
      <w:kern w:val="44"/>
      <w:sz w:val="44"/>
      <w:szCs w:val="44"/>
    </w:rPr>
  </w:style>
  <w:style w:type="character" w:customStyle="1" w:styleId="58">
    <w:name w:val="标题 2 Char"/>
    <w:qFormat/>
    <w:uiPriority w:val="99"/>
    <w:rPr>
      <w:rFonts w:ascii="Arial" w:hAnsi="Arial" w:eastAsia="黑体" w:cs="Arial"/>
      <w:b/>
      <w:bCs/>
      <w:kern w:val="0"/>
      <w:sz w:val="32"/>
      <w:szCs w:val="32"/>
    </w:rPr>
  </w:style>
  <w:style w:type="character" w:customStyle="1" w:styleId="59">
    <w:name w:val="标题 3 Char"/>
    <w:qFormat/>
    <w:uiPriority w:val="99"/>
    <w:rPr>
      <w:rFonts w:ascii="Times New Roman" w:hAnsi="Times New Roman" w:eastAsia="宋体" w:cs="Times New Roman"/>
      <w:b/>
      <w:bCs/>
      <w:kern w:val="0"/>
      <w:sz w:val="32"/>
      <w:szCs w:val="32"/>
    </w:rPr>
  </w:style>
  <w:style w:type="character" w:customStyle="1" w:styleId="60">
    <w:name w:val="标题 4 Char"/>
    <w:qFormat/>
    <w:uiPriority w:val="99"/>
    <w:rPr>
      <w:rFonts w:ascii="Arial" w:hAnsi="Arial" w:eastAsia="宋体" w:cs="Arial"/>
      <w:b/>
      <w:bCs/>
      <w:kern w:val="0"/>
      <w:sz w:val="28"/>
      <w:szCs w:val="28"/>
    </w:rPr>
  </w:style>
  <w:style w:type="character" w:customStyle="1" w:styleId="61">
    <w:name w:val="正文文本缩进 Char"/>
    <w:qFormat/>
    <w:uiPriority w:val="99"/>
    <w:rPr>
      <w:rFonts w:ascii="Times New Roman" w:hAnsi="Times New Roman" w:eastAsia="宋体" w:cs="Times New Roman"/>
      <w:szCs w:val="21"/>
    </w:rPr>
  </w:style>
  <w:style w:type="character" w:customStyle="1" w:styleId="62">
    <w:name w:val="正文文本首行缩进 2 字符"/>
    <w:link w:val="45"/>
    <w:qFormat/>
    <w:uiPriority w:val="99"/>
    <w:rPr>
      <w:rFonts w:ascii="Times New Roman" w:hAnsi="Times New Roman" w:eastAsia="宋体" w:cs="Times New Roman"/>
      <w:spacing w:val="10"/>
      <w:kern w:val="0"/>
      <w:sz w:val="30"/>
      <w:szCs w:val="30"/>
    </w:rPr>
  </w:style>
  <w:style w:type="paragraph" w:customStyle="1" w:styleId="63">
    <w:name w:val="标题3-1"/>
    <w:basedOn w:val="6"/>
    <w:qFormat/>
    <w:uiPriority w:val="0"/>
    <w:pPr>
      <w:spacing w:before="260" w:after="260" w:line="410" w:lineRule="auto"/>
      <w:ind w:left="425" w:hanging="425"/>
    </w:pPr>
    <w:rPr>
      <w:sz w:val="24"/>
      <w:szCs w:val="24"/>
    </w:rPr>
  </w:style>
  <w:style w:type="paragraph" w:customStyle="1" w:styleId="64">
    <w:name w:val="1"/>
    <w:basedOn w:val="1"/>
    <w:next w:val="27"/>
    <w:qFormat/>
    <w:uiPriority w:val="0"/>
    <w:pPr>
      <w:ind w:firstLine="420"/>
      <w:jc w:val="center"/>
    </w:pPr>
    <w:rPr>
      <w:b/>
      <w:sz w:val="36"/>
      <w:szCs w:val="36"/>
    </w:rPr>
  </w:style>
  <w:style w:type="paragraph" w:customStyle="1" w:styleId="65">
    <w:name w:val="p"/>
    <w:basedOn w:val="1"/>
    <w:qFormat/>
    <w:uiPriority w:val="0"/>
    <w:pPr>
      <w:widowControl/>
      <w:spacing w:line="432" w:lineRule="auto"/>
      <w:jc w:val="left"/>
    </w:pPr>
    <w:rPr>
      <w:rFonts w:ascii="宋体" w:hAnsi="宋体" w:cs="宋体"/>
      <w:kern w:val="0"/>
      <w:sz w:val="24"/>
      <w:szCs w:val="24"/>
    </w:rPr>
  </w:style>
  <w:style w:type="paragraph" w:customStyle="1" w:styleId="66">
    <w:name w:val="Table Paragraph"/>
    <w:basedOn w:val="1"/>
    <w:qFormat/>
    <w:uiPriority w:val="0"/>
    <w:pPr>
      <w:autoSpaceDE w:val="0"/>
      <w:autoSpaceDN w:val="0"/>
      <w:adjustRightInd w:val="0"/>
      <w:jc w:val="left"/>
    </w:pPr>
    <w:rPr>
      <w:rFonts w:ascii="宋体" w:cs="宋体"/>
      <w:kern w:val="0"/>
      <w:sz w:val="24"/>
      <w:szCs w:val="24"/>
    </w:rPr>
  </w:style>
  <w:style w:type="character" w:customStyle="1" w:styleId="67">
    <w:name w:val="标题 Char"/>
    <w:qFormat/>
    <w:uiPriority w:val="99"/>
    <w:rPr>
      <w:rFonts w:ascii="等线 Light" w:hAnsi="等线 Light" w:eastAsia="宋体" w:cs="宋体"/>
      <w:b/>
      <w:bCs/>
      <w:kern w:val="0"/>
      <w:sz w:val="32"/>
      <w:szCs w:val="32"/>
    </w:rPr>
  </w:style>
  <w:style w:type="character" w:customStyle="1" w:styleId="68">
    <w:name w:val="正文文本 Char"/>
    <w:qFormat/>
    <w:uiPriority w:val="99"/>
    <w:rPr>
      <w:rFonts w:ascii="Times New Roman" w:hAnsi="Times New Roman" w:eastAsia="宋体" w:cs="Times New Roman"/>
      <w:kern w:val="0"/>
      <w:sz w:val="24"/>
      <w:szCs w:val="24"/>
    </w:rPr>
  </w:style>
  <w:style w:type="paragraph" w:customStyle="1" w:styleId="69">
    <w:name w:val="样式 标题 2 + Times New Roman 四号 非加粗 段前: 5 磅 段后: 0 磅 行距: 固定值 20..."/>
    <w:basedOn w:val="5"/>
    <w:qFormat/>
    <w:uiPriority w:val="0"/>
    <w:pPr>
      <w:keepLines w:val="0"/>
      <w:widowControl/>
      <w:spacing w:before="100" w:after="60" w:line="400" w:lineRule="exact"/>
      <w:ind w:left="576" w:hanging="576"/>
      <w:jc w:val="left"/>
    </w:pPr>
    <w:rPr>
      <w:rFonts w:ascii="Times New Roman" w:hAnsi="Times New Roman" w:cs="宋体"/>
      <w:b w:val="0"/>
      <w:bCs w:val="0"/>
      <w:i/>
      <w:iCs/>
      <w:sz w:val="28"/>
      <w:szCs w:val="28"/>
    </w:rPr>
  </w:style>
  <w:style w:type="paragraph" w:styleId="70">
    <w:name w:val="List Paragraph"/>
    <w:basedOn w:val="1"/>
    <w:qFormat/>
    <w:uiPriority w:val="34"/>
    <w:pPr>
      <w:ind w:firstLine="420" w:firstLineChars="200"/>
    </w:pPr>
  </w:style>
  <w:style w:type="character" w:customStyle="1" w:styleId="71">
    <w:name w:val="页脚 Char"/>
    <w:qFormat/>
    <w:uiPriority w:val="99"/>
    <w:rPr>
      <w:rFonts w:ascii="Calibri" w:hAnsi="Calibri" w:eastAsia="宋体" w:cs="Times New Roman"/>
      <w:sz w:val="18"/>
      <w:szCs w:val="18"/>
    </w:rPr>
  </w:style>
  <w:style w:type="character" w:customStyle="1" w:styleId="72">
    <w:name w:val="页眉 Char"/>
    <w:semiHidden/>
    <w:qFormat/>
    <w:uiPriority w:val="99"/>
    <w:rPr>
      <w:rFonts w:ascii="Calibri" w:hAnsi="Calibri" w:eastAsia="宋体" w:cs="Times New Roman"/>
      <w:sz w:val="18"/>
      <w:szCs w:val="18"/>
    </w:rPr>
  </w:style>
  <w:style w:type="character" w:customStyle="1" w:styleId="73">
    <w:name w:val="15"/>
    <w:qFormat/>
    <w:uiPriority w:val="0"/>
    <w:rPr>
      <w:rFonts w:hint="default" w:ascii="Times New Roman" w:hAnsi="Times New Roman" w:cs="Times New Roman"/>
      <w:color w:val="0000FF"/>
      <w:sz w:val="20"/>
      <w:szCs w:val="20"/>
      <w:u w:val="single"/>
    </w:rPr>
  </w:style>
  <w:style w:type="character" w:customStyle="1" w:styleId="74">
    <w:name w:val="16"/>
    <w:qFormat/>
    <w:uiPriority w:val="0"/>
    <w:rPr>
      <w:rFonts w:hint="default" w:ascii="Times New Roman" w:hAnsi="Times New Roman" w:cs="Times New Roman"/>
      <w:sz w:val="20"/>
      <w:szCs w:val="20"/>
    </w:rPr>
  </w:style>
  <w:style w:type="character" w:customStyle="1" w:styleId="75">
    <w:name w:val="批注框文本 Char"/>
    <w:qFormat/>
    <w:uiPriority w:val="0"/>
    <w:rPr>
      <w:rFonts w:ascii="Times New Roman" w:hAnsi="Times New Roman" w:eastAsia="宋体" w:cs="Times New Roman"/>
      <w:sz w:val="18"/>
      <w:szCs w:val="18"/>
    </w:rPr>
  </w:style>
  <w:style w:type="character" w:customStyle="1" w:styleId="76">
    <w:name w:val="hover17"/>
    <w:basedOn w:val="48"/>
    <w:qFormat/>
    <w:uiPriority w:val="0"/>
  </w:style>
  <w:style w:type="paragraph" w:customStyle="1" w:styleId="77">
    <w:name w:val="xl14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78">
    <w:name w:val="xl12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79">
    <w:name w:val="xl12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80">
    <w:name w:val="xl1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808080"/>
      <w:kern w:val="0"/>
      <w:sz w:val="20"/>
      <w:szCs w:val="20"/>
    </w:rPr>
  </w:style>
  <w:style w:type="paragraph" w:customStyle="1" w:styleId="81">
    <w:name w:val="xl9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82">
    <w:name w:val="xl72"/>
    <w:basedOn w:val="1"/>
    <w:qFormat/>
    <w:uiPriority w:val="0"/>
    <w:pPr>
      <w:widowControl/>
      <w:spacing w:before="100" w:beforeAutospacing="1" w:after="100" w:afterAutospacing="1"/>
      <w:jc w:val="center"/>
    </w:pPr>
    <w:rPr>
      <w:rFonts w:ascii="宋体" w:hAnsi="宋体" w:cs="宋体"/>
      <w:kern w:val="0"/>
      <w:sz w:val="24"/>
      <w:szCs w:val="24"/>
    </w:rPr>
  </w:style>
  <w:style w:type="paragraph" w:customStyle="1" w:styleId="83">
    <w:name w:val="xl104"/>
    <w:basedOn w:val="1"/>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84">
    <w:name w:val="font8"/>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85">
    <w:name w:val="xl12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86">
    <w:name w:val="xl11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0"/>
      <w:szCs w:val="20"/>
    </w:rPr>
  </w:style>
  <w:style w:type="paragraph" w:customStyle="1" w:styleId="87">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0"/>
      <w:szCs w:val="20"/>
    </w:rPr>
  </w:style>
  <w:style w:type="paragraph" w:customStyle="1" w:styleId="88">
    <w:name w:val="正文 A"/>
    <w:next w:val="1"/>
    <w:qFormat/>
    <w:uiPriority w:val="0"/>
    <w:pPr>
      <w:framePr w:wrap="around" w:vAnchor="margin" w:hAnchor="text" w:yAlign="top"/>
      <w:widowControl w:val="0"/>
      <w:jc w:val="both"/>
    </w:pPr>
    <w:rPr>
      <w:rFonts w:ascii="Arial Unicode MS" w:hAnsi="Arial Unicode MS" w:eastAsia="Arial Unicode MS" w:cs="Arial Unicode MS"/>
      <w:color w:val="000000"/>
      <w:kern w:val="2"/>
      <w:sz w:val="21"/>
      <w:szCs w:val="21"/>
      <w:u w:color="000000"/>
      <w:lang w:val="en-US" w:eastAsia="zh-CN" w:bidi="ar-SA"/>
    </w:rPr>
  </w:style>
  <w:style w:type="paragraph" w:customStyle="1" w:styleId="89">
    <w:name w:val="xl8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90">
    <w:name w:val="font5"/>
    <w:basedOn w:val="1"/>
    <w:qFormat/>
    <w:uiPriority w:val="0"/>
    <w:pPr>
      <w:widowControl/>
      <w:spacing w:before="100" w:beforeAutospacing="1" w:after="100" w:afterAutospacing="1"/>
      <w:jc w:val="left"/>
    </w:pPr>
    <w:rPr>
      <w:rFonts w:ascii="宋体" w:hAnsi="宋体" w:cs="宋体"/>
      <w:b/>
      <w:bCs/>
      <w:kern w:val="0"/>
      <w:sz w:val="20"/>
      <w:szCs w:val="20"/>
    </w:rPr>
  </w:style>
  <w:style w:type="paragraph" w:customStyle="1" w:styleId="91">
    <w:name w:val="xl12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92">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93">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94">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95">
    <w:name w:val="xl12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96">
    <w:name w:val="xl77"/>
    <w:basedOn w:val="1"/>
    <w:qFormat/>
    <w:uiPriority w:val="0"/>
    <w:pPr>
      <w:widowControl/>
      <w:pBdr>
        <w:top w:val="single" w:color="auto" w:sz="4" w:space="0"/>
        <w:left w:val="single" w:color="auto" w:sz="4" w:space="0"/>
        <w:bottom w:val="single" w:color="auto" w:sz="4" w:space="0"/>
        <w:right w:val="single" w:color="auto" w:sz="4" w:space="0"/>
      </w:pBdr>
      <w:shd w:val="clear" w:color="000000" w:fill="00B0F0"/>
      <w:spacing w:before="100" w:beforeAutospacing="1" w:after="100" w:afterAutospacing="1"/>
      <w:jc w:val="left"/>
    </w:pPr>
    <w:rPr>
      <w:rFonts w:ascii="宋体" w:hAnsi="宋体" w:cs="宋体"/>
      <w:b/>
      <w:bCs/>
      <w:kern w:val="0"/>
      <w:sz w:val="20"/>
      <w:szCs w:val="20"/>
    </w:rPr>
  </w:style>
  <w:style w:type="paragraph" w:customStyle="1" w:styleId="97">
    <w:name w:val="xl11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宋体" w:hAnsi="宋体" w:cs="宋体"/>
      <w:kern w:val="0"/>
      <w:sz w:val="20"/>
      <w:szCs w:val="20"/>
    </w:rPr>
  </w:style>
  <w:style w:type="paragraph" w:customStyle="1" w:styleId="98">
    <w:name w:val="xl132"/>
    <w:basedOn w:val="1"/>
    <w:qFormat/>
    <w:uiPriority w:val="0"/>
    <w:pPr>
      <w:widowControl/>
      <w:spacing w:before="100" w:beforeAutospacing="1" w:after="100" w:afterAutospacing="1"/>
      <w:jc w:val="center"/>
    </w:pPr>
    <w:rPr>
      <w:rFonts w:ascii="黑体" w:hAnsi="黑体" w:eastAsia="黑体" w:cs="宋体"/>
      <w:b/>
      <w:bCs/>
      <w:kern w:val="0"/>
      <w:sz w:val="28"/>
      <w:szCs w:val="28"/>
    </w:rPr>
  </w:style>
  <w:style w:type="paragraph" w:customStyle="1" w:styleId="99">
    <w:name w:val="xl10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100">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101">
    <w:name w:val="xl1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02">
    <w:name w:val="xl105"/>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03">
    <w:name w:val="xl1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104">
    <w:name w:val="xl148"/>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05">
    <w:name w:val="xl139"/>
    <w:basedOn w:val="1"/>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06">
    <w:name w:val="xl10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107">
    <w:name w:val="xl15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108">
    <w:name w:val="font13"/>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109">
    <w:name w:val="xl11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110">
    <w:name w:val="xl11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111">
    <w:name w:val="xl14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112">
    <w:name w:val="样式2"/>
    <w:basedOn w:val="1"/>
    <w:qFormat/>
    <w:uiPriority w:val="0"/>
    <w:pPr>
      <w:widowControl/>
    </w:pPr>
    <w:rPr>
      <w:rFonts w:ascii="宋体" w:hAnsi="宋体" w:eastAsia="仿宋"/>
      <w:spacing w:val="8"/>
      <w:sz w:val="24"/>
      <w:szCs w:val="24"/>
    </w:rPr>
  </w:style>
  <w:style w:type="paragraph" w:customStyle="1" w:styleId="113">
    <w:name w:val="xl1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14">
    <w:name w:val="xl157"/>
    <w:basedOn w:val="1"/>
    <w:qFormat/>
    <w:uiPriority w:val="0"/>
    <w:pPr>
      <w:widowControl/>
      <w:pBdr>
        <w:left w:val="single" w:color="auto" w:sz="4" w:space="0"/>
        <w:bottom w:val="single" w:color="auto" w:sz="8"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15">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116">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117">
    <w:name w:val="xl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118">
    <w:name w:val="xl78"/>
    <w:basedOn w:val="1"/>
    <w:qFormat/>
    <w:uiPriority w:val="0"/>
    <w:pPr>
      <w:widowControl/>
      <w:pBdr>
        <w:top w:val="single" w:color="auto" w:sz="4" w:space="0"/>
        <w:left w:val="single" w:color="auto" w:sz="4" w:space="0"/>
        <w:bottom w:val="single" w:color="auto" w:sz="4" w:space="0"/>
        <w:right w:val="single" w:color="auto" w:sz="4" w:space="0"/>
      </w:pBdr>
      <w:shd w:val="clear" w:color="000000" w:fill="00B0F0"/>
      <w:spacing w:before="100" w:beforeAutospacing="1" w:after="100" w:afterAutospacing="1"/>
      <w:jc w:val="center"/>
    </w:pPr>
    <w:rPr>
      <w:rFonts w:ascii="宋体" w:hAnsi="宋体" w:cs="宋体"/>
      <w:b/>
      <w:bCs/>
      <w:kern w:val="0"/>
      <w:sz w:val="20"/>
      <w:szCs w:val="20"/>
    </w:rPr>
  </w:style>
  <w:style w:type="paragraph" w:customStyle="1" w:styleId="119">
    <w:name w:val="xl12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20">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21">
    <w:name w:val="xl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22">
    <w:name w:val="xl14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123">
    <w:name w:val="xl11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宋体" w:hAnsi="宋体" w:cs="宋体"/>
      <w:color w:val="000000"/>
      <w:kern w:val="0"/>
      <w:sz w:val="20"/>
      <w:szCs w:val="20"/>
    </w:rPr>
  </w:style>
  <w:style w:type="paragraph" w:customStyle="1" w:styleId="124">
    <w:name w:val="xl142"/>
    <w:basedOn w:val="1"/>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25">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126">
    <w:name w:val="xl136"/>
    <w:basedOn w:val="1"/>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27">
    <w:name w:val="xl11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0"/>
      <w:szCs w:val="20"/>
    </w:rPr>
  </w:style>
  <w:style w:type="paragraph" w:customStyle="1" w:styleId="128">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top"/>
    </w:pPr>
    <w:rPr>
      <w:rFonts w:ascii="宋体" w:hAnsi="宋体" w:cs="宋体"/>
      <w:kern w:val="0"/>
      <w:sz w:val="20"/>
      <w:szCs w:val="20"/>
    </w:rPr>
  </w:style>
  <w:style w:type="paragraph" w:customStyle="1" w:styleId="129">
    <w:name w:val="xl15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130">
    <w:name w:val="xl11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0"/>
      <w:szCs w:val="20"/>
    </w:rPr>
  </w:style>
  <w:style w:type="paragraph" w:customStyle="1" w:styleId="131">
    <w:name w:val="xl71"/>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32">
    <w:name w:val="font11"/>
    <w:basedOn w:val="1"/>
    <w:qFormat/>
    <w:uiPriority w:val="0"/>
    <w:pPr>
      <w:widowControl/>
      <w:spacing w:before="100" w:beforeAutospacing="1" w:after="100" w:afterAutospacing="1"/>
      <w:jc w:val="left"/>
    </w:pPr>
    <w:rPr>
      <w:rFonts w:ascii="PMingLiU" w:hAnsi="PMingLiU" w:eastAsia="PMingLiU" w:cs="宋体"/>
      <w:kern w:val="0"/>
      <w:sz w:val="20"/>
      <w:szCs w:val="20"/>
    </w:rPr>
  </w:style>
  <w:style w:type="paragraph" w:customStyle="1" w:styleId="133">
    <w:name w:val="xl1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34">
    <w:name w:val="font7"/>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135">
    <w:name w:val="xl14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36">
    <w:name w:val="xl10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137">
    <w:name w:val="xl12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PMingLiU" w:hAnsi="PMingLiU" w:eastAsia="PMingLiU" w:cs="宋体"/>
      <w:kern w:val="0"/>
      <w:sz w:val="20"/>
      <w:szCs w:val="20"/>
    </w:rPr>
  </w:style>
  <w:style w:type="paragraph" w:customStyle="1" w:styleId="138">
    <w:name w:val="xl10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139">
    <w:name w:val="xl134"/>
    <w:basedOn w:val="1"/>
    <w:qFormat/>
    <w:uiPriority w:val="0"/>
    <w:pPr>
      <w:widowControl/>
      <w:spacing w:before="100" w:beforeAutospacing="1" w:after="100" w:afterAutospacing="1"/>
      <w:jc w:val="center"/>
    </w:pPr>
    <w:rPr>
      <w:rFonts w:ascii="黑体" w:hAnsi="黑体" w:eastAsia="黑体" w:cs="宋体"/>
      <w:b/>
      <w:bCs/>
      <w:kern w:val="0"/>
      <w:sz w:val="28"/>
      <w:szCs w:val="28"/>
    </w:rPr>
  </w:style>
  <w:style w:type="paragraph" w:customStyle="1" w:styleId="140">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141">
    <w:name w:val="xl12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142">
    <w:name w:val="xl9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43">
    <w:name w:val="xl9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44">
    <w:name w:val="xl156"/>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45">
    <w:name w:val="xl1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146">
    <w:name w:val="xl11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147">
    <w:name w:val="xl133"/>
    <w:basedOn w:val="1"/>
    <w:qFormat/>
    <w:uiPriority w:val="0"/>
    <w:pPr>
      <w:widowControl/>
      <w:spacing w:before="100" w:beforeAutospacing="1" w:after="100" w:afterAutospacing="1"/>
      <w:jc w:val="center"/>
    </w:pPr>
    <w:rPr>
      <w:rFonts w:ascii="黑体" w:hAnsi="黑体" w:eastAsia="黑体" w:cs="宋体"/>
      <w:b/>
      <w:bCs/>
      <w:kern w:val="0"/>
      <w:sz w:val="28"/>
      <w:szCs w:val="28"/>
    </w:rPr>
  </w:style>
  <w:style w:type="paragraph" w:customStyle="1" w:styleId="148">
    <w:name w:val="xl106"/>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149">
    <w:name w:val="xl14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150">
    <w:name w:val="xl135"/>
    <w:basedOn w:val="1"/>
    <w:qFormat/>
    <w:uiPriority w:val="0"/>
    <w:pPr>
      <w:widowControl/>
      <w:pBdr>
        <w:top w:val="single" w:color="auto" w:sz="4" w:space="0"/>
        <w:left w:val="single" w:color="auto" w:sz="4" w:space="0"/>
        <w:bottom w:val="single" w:color="auto" w:sz="4" w:space="0"/>
        <w:right w:val="single" w:color="auto" w:sz="4" w:space="0"/>
      </w:pBdr>
      <w:shd w:val="clear" w:color="000000" w:fill="00B0F0"/>
      <w:spacing w:before="100" w:beforeAutospacing="1" w:after="100" w:afterAutospacing="1"/>
      <w:jc w:val="center"/>
    </w:pPr>
    <w:rPr>
      <w:rFonts w:ascii="宋体" w:hAnsi="宋体" w:cs="宋体"/>
      <w:b/>
      <w:bCs/>
      <w:kern w:val="0"/>
      <w:sz w:val="20"/>
      <w:szCs w:val="20"/>
    </w:rPr>
  </w:style>
  <w:style w:type="paragraph" w:customStyle="1" w:styleId="151">
    <w:name w:val="xl102"/>
    <w:basedOn w:val="1"/>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52">
    <w:name w:val="xl15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153">
    <w:name w:val="xl147"/>
    <w:basedOn w:val="1"/>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54">
    <w:name w:val="正文 B"/>
    <w:qFormat/>
    <w:uiPriority w:val="0"/>
    <w:pPr>
      <w:framePr w:wrap="around" w:vAnchor="margin" w:hAnchor="text" w:yAlign="top"/>
      <w:widowControl w:val="0"/>
      <w:jc w:val="both"/>
    </w:pPr>
    <w:rPr>
      <w:rFonts w:ascii="Times New Roman" w:hAnsi="Times New Roman" w:eastAsia="Arial Unicode MS" w:cs="Arial Unicode MS"/>
      <w:color w:val="000000"/>
      <w:kern w:val="2"/>
      <w:sz w:val="21"/>
      <w:szCs w:val="21"/>
      <w:u w:color="000000"/>
      <w:lang w:val="en-US" w:eastAsia="zh-CN" w:bidi="ar-SA"/>
    </w:rPr>
  </w:style>
  <w:style w:type="paragraph" w:customStyle="1" w:styleId="155">
    <w:name w:val="xl12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156">
    <w:name w:val="xl11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宋体" w:hAnsi="宋体" w:cs="宋体"/>
      <w:color w:val="000000"/>
      <w:kern w:val="0"/>
      <w:sz w:val="20"/>
      <w:szCs w:val="20"/>
    </w:rPr>
  </w:style>
  <w:style w:type="paragraph" w:customStyle="1" w:styleId="157">
    <w:name w:val="xl9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158">
    <w:name w:val="xl1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59">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60">
    <w:name w:val="xl10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161">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0"/>
      <w:szCs w:val="20"/>
    </w:rPr>
  </w:style>
  <w:style w:type="paragraph" w:customStyle="1" w:styleId="162">
    <w:name w:val="xl11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0"/>
      <w:szCs w:val="20"/>
    </w:rPr>
  </w:style>
  <w:style w:type="paragraph" w:customStyle="1" w:styleId="163">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164">
    <w:name w:val="xl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165">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166">
    <w:name w:val="xl103"/>
    <w:basedOn w:val="1"/>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67">
    <w:name w:val="font12"/>
    <w:basedOn w:val="1"/>
    <w:qFormat/>
    <w:uiPriority w:val="0"/>
    <w:pPr>
      <w:widowControl/>
      <w:spacing w:before="100" w:beforeAutospacing="1" w:after="100" w:afterAutospacing="1"/>
      <w:jc w:val="left"/>
    </w:pPr>
    <w:rPr>
      <w:rFonts w:ascii="宋体" w:hAnsi="宋体" w:cs="宋体"/>
      <w:color w:val="000000"/>
      <w:kern w:val="0"/>
      <w:sz w:val="20"/>
      <w:szCs w:val="20"/>
    </w:rPr>
  </w:style>
  <w:style w:type="paragraph" w:customStyle="1" w:styleId="168">
    <w:name w:val="xl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169">
    <w:name w:val="xl131"/>
    <w:basedOn w:val="1"/>
    <w:qFormat/>
    <w:uiPriority w:val="0"/>
    <w:pPr>
      <w:widowControl/>
      <w:pBdr>
        <w:left w:val="single" w:color="auto" w:sz="8" w:space="0"/>
      </w:pBdr>
      <w:spacing w:before="100" w:beforeAutospacing="1" w:after="100" w:afterAutospacing="1"/>
      <w:jc w:val="center"/>
    </w:pPr>
    <w:rPr>
      <w:rFonts w:ascii="黑体" w:hAnsi="黑体" w:eastAsia="黑体" w:cs="宋体"/>
      <w:b/>
      <w:bCs/>
      <w:kern w:val="0"/>
      <w:sz w:val="28"/>
      <w:szCs w:val="28"/>
    </w:rPr>
  </w:style>
  <w:style w:type="paragraph" w:customStyle="1" w:styleId="170">
    <w:name w:val="xl14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71">
    <w:name w:val="xl9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72">
    <w:name w:val="font9"/>
    <w:basedOn w:val="1"/>
    <w:qFormat/>
    <w:uiPriority w:val="0"/>
    <w:pPr>
      <w:widowControl/>
      <w:spacing w:before="100" w:beforeAutospacing="1" w:after="100" w:afterAutospacing="1"/>
      <w:jc w:val="left"/>
    </w:pPr>
    <w:rPr>
      <w:rFonts w:ascii="宋体" w:hAnsi="宋体" w:cs="宋体"/>
      <w:color w:val="000000"/>
      <w:kern w:val="0"/>
      <w:sz w:val="20"/>
      <w:szCs w:val="20"/>
    </w:rPr>
  </w:style>
  <w:style w:type="paragraph" w:customStyle="1" w:styleId="173">
    <w:name w:val="xl9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174">
    <w:name w:val="font10"/>
    <w:basedOn w:val="1"/>
    <w:qFormat/>
    <w:uiPriority w:val="0"/>
    <w:pPr>
      <w:widowControl/>
      <w:spacing w:before="100" w:beforeAutospacing="1" w:after="100" w:afterAutospacing="1"/>
      <w:jc w:val="left"/>
    </w:pPr>
    <w:rPr>
      <w:rFonts w:ascii="宋体" w:hAnsi="宋体" w:cs="宋体"/>
      <w:color w:val="000000"/>
      <w:kern w:val="0"/>
      <w:sz w:val="20"/>
      <w:szCs w:val="20"/>
    </w:rPr>
  </w:style>
  <w:style w:type="paragraph" w:customStyle="1" w:styleId="175">
    <w:name w:val="xl13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top"/>
    </w:pPr>
    <w:rPr>
      <w:rFonts w:ascii="宋体" w:hAnsi="宋体" w:cs="宋体"/>
      <w:kern w:val="0"/>
      <w:sz w:val="20"/>
      <w:szCs w:val="20"/>
    </w:rPr>
  </w:style>
  <w:style w:type="character" w:customStyle="1" w:styleId="176">
    <w:name w:val="正文文本缩进 2 Char"/>
    <w:qFormat/>
    <w:uiPriority w:val="0"/>
    <w:rPr>
      <w:kern w:val="2"/>
      <w:sz w:val="21"/>
      <w:szCs w:val="24"/>
    </w:rPr>
  </w:style>
  <w:style w:type="character" w:customStyle="1" w:styleId="177">
    <w:name w:val="标题 5 Char"/>
    <w:qFormat/>
    <w:uiPriority w:val="9"/>
    <w:rPr>
      <w:rFonts w:ascii="Times New Roman" w:hAnsi="Times New Roman"/>
      <w:b/>
      <w:bCs/>
      <w:kern w:val="2"/>
      <w:sz w:val="28"/>
      <w:szCs w:val="28"/>
    </w:rPr>
  </w:style>
  <w:style w:type="paragraph" w:customStyle="1" w:styleId="178">
    <w:name w:val="List Paragraph1"/>
    <w:basedOn w:val="1"/>
    <w:qFormat/>
    <w:uiPriority w:val="99"/>
    <w:pPr>
      <w:ind w:firstLine="420" w:firstLineChars="200"/>
    </w:pPr>
    <w:rPr>
      <w:rFonts w:ascii="Calibri" w:hAnsi="Calibri"/>
      <w:szCs w:val="24"/>
    </w:rPr>
  </w:style>
  <w:style w:type="character" w:customStyle="1" w:styleId="179">
    <w:name w:val="Heading 1 Char"/>
    <w:basedOn w:val="48"/>
    <w:qFormat/>
    <w:uiPriority w:val="0"/>
    <w:rPr>
      <w:rFonts w:ascii="Times New Roman" w:hAnsi="Times New Roman" w:eastAsia="宋体" w:cs="Times New Roman"/>
      <w:b/>
      <w:kern w:val="44"/>
      <w:sz w:val="44"/>
      <w:szCs w:val="20"/>
      <w:lang w:val="en-US" w:eastAsia="zh-CN" w:bidi="ar-SA"/>
    </w:rPr>
  </w:style>
  <w:style w:type="character" w:customStyle="1" w:styleId="180">
    <w:name w:val="Heading 2 Char"/>
    <w:basedOn w:val="48"/>
    <w:semiHidden/>
    <w:qFormat/>
    <w:uiPriority w:val="0"/>
    <w:rPr>
      <w:rFonts w:ascii="Arial" w:hAnsi="Arial" w:eastAsia="黑体" w:cs="Times New Roman"/>
      <w:b/>
      <w:sz w:val="32"/>
      <w:szCs w:val="20"/>
      <w:lang w:val="en-US" w:eastAsia="zh-CN" w:bidi="ar-SA"/>
    </w:rPr>
  </w:style>
  <w:style w:type="character" w:customStyle="1" w:styleId="181">
    <w:name w:val="Heading 3 Char"/>
    <w:basedOn w:val="48"/>
    <w:semiHidden/>
    <w:qFormat/>
    <w:uiPriority w:val="0"/>
    <w:rPr>
      <w:rFonts w:ascii="Times New Roman" w:hAnsi="Times New Roman" w:eastAsia="宋体" w:cs="Times New Roman"/>
      <w:b/>
      <w:sz w:val="32"/>
      <w:szCs w:val="20"/>
      <w:lang w:val="en-US" w:eastAsia="zh-CN" w:bidi="ar-SA"/>
    </w:rPr>
  </w:style>
  <w:style w:type="character" w:customStyle="1" w:styleId="182">
    <w:name w:val="标题 4 字符"/>
    <w:basedOn w:val="48"/>
    <w:link w:val="7"/>
    <w:semiHidden/>
    <w:qFormat/>
    <w:uiPriority w:val="0"/>
    <w:rPr>
      <w:rFonts w:ascii="Arial" w:hAnsi="Arial" w:eastAsia="黑体" w:cs="Times New Roman"/>
      <w:b/>
      <w:kern w:val="2"/>
      <w:sz w:val="28"/>
      <w:szCs w:val="20"/>
      <w:lang w:val="en-US" w:eastAsia="zh-CN" w:bidi="ar-SA"/>
    </w:rPr>
  </w:style>
  <w:style w:type="character" w:customStyle="1" w:styleId="183">
    <w:name w:val="标题 5 字符"/>
    <w:basedOn w:val="48"/>
    <w:link w:val="8"/>
    <w:semiHidden/>
    <w:qFormat/>
    <w:uiPriority w:val="0"/>
    <w:rPr>
      <w:rFonts w:ascii="Times New Roman" w:hAnsi="Times New Roman" w:eastAsia="宋体" w:cs="Times New Roman"/>
      <w:b/>
      <w:kern w:val="2"/>
      <w:sz w:val="28"/>
      <w:szCs w:val="20"/>
      <w:lang w:val="en-US" w:eastAsia="zh-CN" w:bidi="ar-SA"/>
    </w:rPr>
  </w:style>
  <w:style w:type="character" w:customStyle="1" w:styleId="184">
    <w:name w:val="Heading 6 Char"/>
    <w:basedOn w:val="48"/>
    <w:semiHidden/>
    <w:qFormat/>
    <w:uiPriority w:val="0"/>
    <w:rPr>
      <w:rFonts w:ascii="Arial" w:hAnsi="Arial" w:eastAsia="黑体" w:cs="Times New Roman"/>
      <w:b/>
      <w:kern w:val="2"/>
      <w:sz w:val="24"/>
      <w:szCs w:val="20"/>
      <w:lang w:val="en-US" w:eastAsia="zh-CN" w:bidi="ar-SA"/>
    </w:rPr>
  </w:style>
  <w:style w:type="character" w:customStyle="1" w:styleId="185">
    <w:name w:val="Heading 7 Char"/>
    <w:basedOn w:val="48"/>
    <w:semiHidden/>
    <w:qFormat/>
    <w:uiPriority w:val="99"/>
    <w:rPr>
      <w:rFonts w:ascii="Times New Roman" w:hAnsi="Times New Roman" w:eastAsia="宋体" w:cs="Times New Roman"/>
      <w:b/>
      <w:kern w:val="2"/>
      <w:sz w:val="24"/>
      <w:szCs w:val="20"/>
      <w:lang w:val="en-US" w:eastAsia="zh-CN" w:bidi="ar-SA"/>
    </w:rPr>
  </w:style>
  <w:style w:type="character" w:customStyle="1" w:styleId="186">
    <w:name w:val="Heading 8 Char"/>
    <w:basedOn w:val="48"/>
    <w:semiHidden/>
    <w:qFormat/>
    <w:uiPriority w:val="99"/>
    <w:rPr>
      <w:rFonts w:ascii="Arial" w:hAnsi="Arial" w:eastAsia="黑体" w:cs="Times New Roman"/>
      <w:kern w:val="2"/>
      <w:sz w:val="24"/>
      <w:szCs w:val="20"/>
      <w:lang w:val="en-US" w:eastAsia="zh-CN" w:bidi="ar-SA"/>
    </w:rPr>
  </w:style>
  <w:style w:type="character" w:customStyle="1" w:styleId="187">
    <w:name w:val="Heading 9 Char"/>
    <w:basedOn w:val="48"/>
    <w:semiHidden/>
    <w:qFormat/>
    <w:uiPriority w:val="99"/>
    <w:rPr>
      <w:rFonts w:ascii="Arial" w:hAnsi="Arial" w:eastAsia="黑体" w:cs="Times New Roman"/>
      <w:kern w:val="2"/>
      <w:sz w:val="21"/>
      <w:szCs w:val="20"/>
      <w:lang w:val="en-US" w:eastAsia="zh-CN" w:bidi="ar-SA"/>
    </w:rPr>
  </w:style>
  <w:style w:type="character" w:customStyle="1" w:styleId="188">
    <w:name w:val="页眉 字符"/>
    <w:basedOn w:val="48"/>
    <w:link w:val="31"/>
    <w:qFormat/>
    <w:uiPriority w:val="99"/>
    <w:rPr>
      <w:rFonts w:ascii="Times New Roman" w:hAnsi="Times New Roman" w:eastAsia="宋体" w:cs="Times New Roman"/>
      <w:sz w:val="24"/>
      <w:szCs w:val="24"/>
      <w:lang w:val="en-US" w:eastAsia="zh-CN" w:bidi="ar-SA"/>
    </w:rPr>
  </w:style>
  <w:style w:type="character" w:customStyle="1" w:styleId="189">
    <w:name w:val="页脚 字符"/>
    <w:basedOn w:val="48"/>
    <w:link w:val="29"/>
    <w:qFormat/>
    <w:uiPriority w:val="99"/>
    <w:rPr>
      <w:rFonts w:ascii="Times New Roman" w:hAnsi="Times New Roman" w:eastAsia="宋体" w:cs="Times New Roman"/>
      <w:sz w:val="24"/>
      <w:szCs w:val="24"/>
      <w:lang w:val="en-US" w:eastAsia="zh-CN" w:bidi="ar-SA"/>
    </w:rPr>
  </w:style>
  <w:style w:type="character" w:customStyle="1" w:styleId="190">
    <w:name w:val="正文文本缩进 字符"/>
    <w:basedOn w:val="48"/>
    <w:link w:val="22"/>
    <w:semiHidden/>
    <w:qFormat/>
    <w:uiPriority w:val="99"/>
    <w:rPr>
      <w:rFonts w:ascii="Times New Roman" w:hAnsi="Times New Roman" w:eastAsia="宋体" w:cs="Times New Roman"/>
      <w:b/>
      <w:kern w:val="2"/>
      <w:sz w:val="52"/>
      <w:szCs w:val="20"/>
      <w:lang w:val="en-US" w:eastAsia="zh-CN" w:bidi="ar-SA"/>
    </w:rPr>
  </w:style>
  <w:style w:type="character" w:customStyle="1" w:styleId="191">
    <w:name w:val="批注框文本 字符"/>
    <w:basedOn w:val="48"/>
    <w:link w:val="28"/>
    <w:semiHidden/>
    <w:qFormat/>
    <w:uiPriority w:val="99"/>
    <w:rPr>
      <w:rFonts w:ascii="Tahoma" w:hAnsi="Tahoma" w:eastAsia="宋体" w:cs="Tahoma"/>
      <w:sz w:val="16"/>
      <w:szCs w:val="16"/>
      <w:lang w:val="en-US" w:eastAsia="zh-CN" w:bidi="ar-SA"/>
    </w:rPr>
  </w:style>
  <w:style w:type="character" w:customStyle="1" w:styleId="192">
    <w:name w:val="标题 1 字符"/>
    <w:link w:val="4"/>
    <w:qFormat/>
    <w:uiPriority w:val="0"/>
    <w:rPr>
      <w:rFonts w:ascii="Times New Roman" w:hAnsi="Times New Roman" w:eastAsia="宋体" w:cs="Times New Roman"/>
      <w:b/>
      <w:kern w:val="44"/>
      <w:sz w:val="44"/>
      <w:szCs w:val="20"/>
    </w:rPr>
  </w:style>
  <w:style w:type="character" w:customStyle="1" w:styleId="193">
    <w:name w:val="标题 2 字符"/>
    <w:link w:val="5"/>
    <w:qFormat/>
    <w:uiPriority w:val="0"/>
    <w:rPr>
      <w:rFonts w:ascii="Arial" w:hAnsi="Arial" w:eastAsia="黑体" w:cs="Times New Roman"/>
      <w:b/>
      <w:kern w:val="2"/>
      <w:sz w:val="32"/>
      <w:szCs w:val="20"/>
    </w:rPr>
  </w:style>
  <w:style w:type="character" w:customStyle="1" w:styleId="194">
    <w:name w:val="标题 3 字符"/>
    <w:link w:val="6"/>
    <w:qFormat/>
    <w:uiPriority w:val="0"/>
    <w:rPr>
      <w:rFonts w:ascii="Times New Roman" w:hAnsi="Times New Roman" w:eastAsia="宋体" w:cs="Times New Roman"/>
      <w:b/>
      <w:sz w:val="32"/>
      <w:szCs w:val="20"/>
    </w:rPr>
  </w:style>
  <w:style w:type="character" w:customStyle="1" w:styleId="195">
    <w:name w:val="Normal Indent Char"/>
    <w:qFormat/>
    <w:uiPriority w:val="0"/>
    <w:rPr>
      <w:rFonts w:ascii="Calibri" w:hAnsi="Calibri" w:eastAsia="宋体" w:cs="Times New Roman"/>
      <w:kern w:val="0"/>
      <w:sz w:val="20"/>
      <w:szCs w:val="20"/>
    </w:rPr>
  </w:style>
  <w:style w:type="character" w:customStyle="1" w:styleId="196">
    <w:name w:val="Body Text Indent 3 Char"/>
    <w:qFormat/>
    <w:uiPriority w:val="0"/>
    <w:rPr>
      <w:rFonts w:ascii="Calibri" w:hAnsi="Calibri" w:eastAsia="楷体" w:cs="Times New Roman"/>
      <w:kern w:val="0"/>
      <w:sz w:val="24"/>
    </w:rPr>
  </w:style>
  <w:style w:type="character" w:customStyle="1" w:styleId="197">
    <w:name w:val="Date Char"/>
    <w:qFormat/>
    <w:uiPriority w:val="0"/>
    <w:rPr>
      <w:rFonts w:ascii="宋体" w:hAnsi="宋体" w:eastAsia="宋体" w:cs="Times New Roman"/>
      <w:kern w:val="0"/>
      <w:sz w:val="28"/>
    </w:rPr>
  </w:style>
  <w:style w:type="character" w:customStyle="1" w:styleId="198">
    <w:name w:val="Plain Text Char"/>
    <w:qFormat/>
    <w:uiPriority w:val="0"/>
    <w:rPr>
      <w:rFonts w:ascii="宋体" w:hAnsi="Courier New" w:eastAsia="宋体" w:cs="Times New Roman"/>
    </w:rPr>
  </w:style>
  <w:style w:type="character" w:customStyle="1" w:styleId="199">
    <w:name w:val="正文文本缩进 2 字符"/>
    <w:link w:val="27"/>
    <w:qFormat/>
    <w:uiPriority w:val="0"/>
    <w:rPr>
      <w:rFonts w:ascii="Times New Roman" w:hAnsi="Times New Roman" w:eastAsia="宋体" w:cs="Times New Roman"/>
      <w:kern w:val="2"/>
      <w:sz w:val="21"/>
      <w:szCs w:val="20"/>
    </w:rPr>
  </w:style>
  <w:style w:type="paragraph" w:customStyle="1" w:styleId="200">
    <w:name w:val="文档正文"/>
    <w:basedOn w:val="1"/>
    <w:qFormat/>
    <w:uiPriority w:val="0"/>
    <w:pPr>
      <w:adjustRightInd w:val="0"/>
      <w:spacing w:line="312" w:lineRule="atLeast"/>
      <w:ind w:firstLine="567"/>
      <w:textAlignment w:val="baseline"/>
    </w:pPr>
    <w:rPr>
      <w:kern w:val="0"/>
      <w:sz w:val="28"/>
      <w:szCs w:val="20"/>
    </w:rPr>
  </w:style>
  <w:style w:type="paragraph" w:customStyle="1" w:styleId="201">
    <w:name w:val="图文"/>
    <w:basedOn w:val="1"/>
    <w:qFormat/>
    <w:uiPriority w:val="0"/>
    <w:pPr>
      <w:adjustRightInd w:val="0"/>
      <w:snapToGrid w:val="0"/>
      <w:spacing w:after="50" w:line="360" w:lineRule="auto"/>
    </w:pPr>
    <w:rPr>
      <w:sz w:val="24"/>
      <w:szCs w:val="24"/>
    </w:rPr>
  </w:style>
  <w:style w:type="character" w:customStyle="1" w:styleId="202">
    <w:name w:val="Body Text 2 Char"/>
    <w:qFormat/>
    <w:uiPriority w:val="0"/>
    <w:rPr>
      <w:rFonts w:ascii="ˎ̥" w:hAnsi="ˎ̥" w:eastAsia="宋体" w:cs="宋体"/>
      <w:b/>
      <w:sz w:val="32"/>
    </w:rPr>
  </w:style>
  <w:style w:type="paragraph" w:customStyle="1" w:styleId="203">
    <w:name w:val="4"/>
    <w:basedOn w:val="1"/>
    <w:next w:val="3"/>
    <w:qFormat/>
    <w:uiPriority w:val="0"/>
    <w:rPr>
      <w:rFonts w:ascii="宋体" w:hAnsi="Courier New"/>
      <w:szCs w:val="20"/>
    </w:rPr>
  </w:style>
  <w:style w:type="paragraph" w:customStyle="1" w:styleId="204">
    <w:name w:val="Char"/>
    <w:basedOn w:val="1"/>
    <w:qFormat/>
    <w:uiPriority w:val="0"/>
    <w:pPr>
      <w:spacing w:line="360" w:lineRule="auto"/>
      <w:jc w:val="left"/>
    </w:pPr>
    <w:rPr>
      <w:rFonts w:ascii="Tahoma" w:hAnsi="Tahoma"/>
      <w:sz w:val="24"/>
      <w:szCs w:val="20"/>
    </w:rPr>
  </w:style>
  <w:style w:type="paragraph" w:customStyle="1" w:styleId="205">
    <w:name w:val="Char1 Char Char Char"/>
    <w:basedOn w:val="1"/>
    <w:qFormat/>
    <w:uiPriority w:val="0"/>
    <w:rPr>
      <w:rFonts w:ascii="Tahoma" w:hAnsi="Tahoma"/>
      <w:sz w:val="24"/>
      <w:szCs w:val="20"/>
    </w:rPr>
  </w:style>
  <w:style w:type="character" w:customStyle="1" w:styleId="206">
    <w:name w:val="Body Text 3 Char"/>
    <w:qFormat/>
    <w:uiPriority w:val="0"/>
    <w:rPr>
      <w:rFonts w:ascii="Calibri" w:hAnsi="Calibri" w:eastAsia="宋体" w:cs="Times New Roman"/>
      <w:sz w:val="16"/>
      <w:szCs w:val="16"/>
    </w:rPr>
  </w:style>
  <w:style w:type="paragraph" w:customStyle="1" w:styleId="207">
    <w:name w:val="样式3"/>
    <w:basedOn w:val="3"/>
    <w:qFormat/>
    <w:uiPriority w:val="0"/>
    <w:pPr>
      <w:spacing w:line="0" w:lineRule="atLeast"/>
      <w:outlineLvl w:val="0"/>
    </w:pPr>
    <w:rPr>
      <w:sz w:val="28"/>
    </w:rPr>
  </w:style>
  <w:style w:type="character" w:customStyle="1" w:styleId="208">
    <w:name w:val="Char Char Char"/>
    <w:qFormat/>
    <w:uiPriority w:val="0"/>
    <w:rPr>
      <w:rFonts w:ascii="Arial" w:hAnsi="Arial" w:eastAsia="宋体" w:cs="Arial"/>
      <w:bCs/>
      <w:sz w:val="24"/>
      <w:szCs w:val="26"/>
      <w:lang w:val="en-US" w:eastAsia="zh-CN" w:bidi="ar-SA"/>
    </w:rPr>
  </w:style>
  <w:style w:type="character" w:customStyle="1" w:styleId="209">
    <w:name w:val="正文文本 字符"/>
    <w:link w:val="21"/>
    <w:qFormat/>
    <w:uiPriority w:val="0"/>
    <w:rPr>
      <w:rFonts w:ascii="Times New Roman" w:hAnsi="Times New Roman" w:eastAsia="宋体" w:cs="Times New Roman"/>
      <w:kern w:val="2"/>
      <w:sz w:val="21"/>
      <w:szCs w:val="20"/>
    </w:rPr>
  </w:style>
  <w:style w:type="character" w:customStyle="1" w:styleId="210">
    <w:name w:val="Body Text First Indent Char"/>
    <w:qFormat/>
    <w:uiPriority w:val="0"/>
    <w:rPr>
      <w:rFonts w:ascii="Calibri" w:hAnsi="Calibri" w:eastAsia="宋体" w:cs="Times New Roman"/>
      <w:kern w:val="0"/>
      <w:sz w:val="24"/>
      <w:szCs w:val="24"/>
    </w:rPr>
  </w:style>
  <w:style w:type="character" w:customStyle="1" w:styleId="211">
    <w:name w:val="标题 字符"/>
    <w:link w:val="43"/>
    <w:qFormat/>
    <w:uiPriority w:val="0"/>
    <w:rPr>
      <w:rFonts w:ascii="Arial" w:hAnsi="Arial" w:eastAsia="宋体" w:cs="Arial"/>
      <w:b/>
      <w:bCs/>
      <w:sz w:val="32"/>
      <w:szCs w:val="32"/>
    </w:rPr>
  </w:style>
  <w:style w:type="paragraph" w:customStyle="1" w:styleId="212">
    <w:name w:val="Default"/>
    <w:qFormat/>
    <w:uiPriority w:val="0"/>
    <w:pPr>
      <w:widowControl w:val="0"/>
      <w:autoSpaceDE w:val="0"/>
      <w:autoSpaceDN w:val="0"/>
      <w:adjustRightInd w:val="0"/>
    </w:pPr>
    <w:rPr>
      <w:rFonts w:ascii="黑体" w:hAnsi="Times New Roman" w:eastAsia="黑体" w:cs="Times New Roman"/>
      <w:color w:val="000000"/>
      <w:sz w:val="24"/>
      <w:szCs w:val="24"/>
      <w:lang w:val="en-US" w:eastAsia="zh-CN" w:bidi="ar-SA"/>
    </w:rPr>
  </w:style>
  <w:style w:type="paragraph" w:customStyle="1" w:styleId="213">
    <w:name w:val="Char Char Char1"/>
    <w:basedOn w:val="1"/>
    <w:qFormat/>
    <w:uiPriority w:val="0"/>
    <w:rPr>
      <w:rFonts w:ascii="宋体" w:hAnsi="宋体" w:cs="宋体"/>
      <w:b/>
      <w:bCs/>
      <w:kern w:val="0"/>
      <w:sz w:val="24"/>
      <w:szCs w:val="24"/>
      <w:lang w:eastAsia="en-US"/>
    </w:rPr>
  </w:style>
  <w:style w:type="character" w:customStyle="1" w:styleId="214">
    <w:name w:val="Anrede1IhrZeichen"/>
    <w:qFormat/>
    <w:uiPriority w:val="0"/>
    <w:rPr>
      <w:rFonts w:ascii="Arial" w:hAnsi="Arial" w:eastAsia="宋体" w:cs="Times New Roman"/>
      <w:sz w:val="20"/>
    </w:rPr>
  </w:style>
  <w:style w:type="paragraph" w:customStyle="1" w:styleId="215">
    <w:name w:val="_Style 8"/>
    <w:basedOn w:val="1"/>
    <w:qFormat/>
    <w:uiPriority w:val="0"/>
    <w:pPr>
      <w:widowControl/>
      <w:spacing w:after="160" w:line="240" w:lineRule="exact"/>
      <w:jc w:val="left"/>
    </w:pPr>
    <w:rPr>
      <w:szCs w:val="20"/>
    </w:rPr>
  </w:style>
  <w:style w:type="character" w:customStyle="1" w:styleId="216">
    <w:name w:val="Footnote Text Char"/>
    <w:qFormat/>
    <w:uiPriority w:val="0"/>
    <w:rPr>
      <w:rFonts w:ascii="Calibri" w:hAnsi="Calibri" w:eastAsia="宋体" w:cs="Times New Roman"/>
      <w:sz w:val="18"/>
    </w:rPr>
  </w:style>
  <w:style w:type="paragraph" w:customStyle="1" w:styleId="217">
    <w:name w:val="ÕýÎÄ"/>
    <w:qFormat/>
    <w:uiPriority w:val="0"/>
    <w:pPr>
      <w:widowControl w:val="0"/>
      <w:overflowPunct w:val="0"/>
      <w:autoSpaceDE w:val="0"/>
      <w:autoSpaceDN w:val="0"/>
      <w:adjustRightInd w:val="0"/>
      <w:jc w:val="both"/>
      <w:textAlignment w:val="baseline"/>
    </w:pPr>
    <w:rPr>
      <w:rFonts w:ascii="Times New Roman" w:hAnsi="Times New Roman" w:eastAsia="宋体" w:cs="Times New Roman"/>
      <w:kern w:val="2"/>
      <w:sz w:val="21"/>
      <w:lang w:val="en-US" w:eastAsia="zh-CN" w:bidi="ar-SA"/>
    </w:rPr>
  </w:style>
  <w:style w:type="paragraph" w:customStyle="1" w:styleId="218">
    <w:name w:val="_Style 16"/>
    <w:basedOn w:val="1"/>
    <w:qFormat/>
    <w:uiPriority w:val="0"/>
    <w:pPr>
      <w:widowControl/>
      <w:spacing w:after="160" w:line="240" w:lineRule="exact"/>
      <w:jc w:val="left"/>
    </w:pPr>
    <w:rPr>
      <w:szCs w:val="20"/>
    </w:rPr>
  </w:style>
  <w:style w:type="paragraph" w:customStyle="1" w:styleId="219">
    <w:name w:val="列出段落1"/>
    <w:basedOn w:val="1"/>
    <w:qFormat/>
    <w:uiPriority w:val="0"/>
    <w:pPr>
      <w:widowControl/>
      <w:ind w:firstLine="420" w:firstLineChars="200"/>
      <w:jc w:val="left"/>
    </w:pPr>
    <w:rPr>
      <w:kern w:val="0"/>
      <w:sz w:val="24"/>
      <w:szCs w:val="20"/>
    </w:rPr>
  </w:style>
  <w:style w:type="character" w:customStyle="1" w:styleId="220">
    <w:name w:val="Char Char9"/>
    <w:qFormat/>
    <w:uiPriority w:val="0"/>
    <w:rPr>
      <w:rFonts w:ascii="Calibri" w:hAnsi="Calibri" w:eastAsia="宋体" w:cs="Times New Roman"/>
      <w:kern w:val="2"/>
      <w:sz w:val="18"/>
      <w:lang w:val="en-US" w:eastAsia="zh-CN"/>
    </w:rPr>
  </w:style>
  <w:style w:type="character" w:customStyle="1" w:styleId="221">
    <w:name w:val="Char Char12"/>
    <w:qFormat/>
    <w:uiPriority w:val="0"/>
    <w:rPr>
      <w:rFonts w:ascii="Calibri" w:hAnsi="Calibri" w:eastAsia="宋体" w:cs="Times New Roman"/>
      <w:b/>
      <w:kern w:val="2"/>
      <w:sz w:val="24"/>
      <w:lang w:val="en-US" w:eastAsia="zh-CN"/>
    </w:rPr>
  </w:style>
  <w:style w:type="character" w:customStyle="1" w:styleId="222">
    <w:name w:val="Char Char15"/>
    <w:qFormat/>
    <w:uiPriority w:val="0"/>
    <w:rPr>
      <w:rFonts w:ascii="Arial" w:hAnsi="Arial" w:eastAsia="黑体" w:cs="Times New Roman"/>
      <w:b/>
      <w:kern w:val="2"/>
      <w:sz w:val="28"/>
      <w:lang w:val="en-US" w:eastAsia="zh-CN"/>
    </w:rPr>
  </w:style>
  <w:style w:type="character" w:customStyle="1" w:styleId="223">
    <w:name w:val="Char Char18"/>
    <w:qFormat/>
    <w:uiPriority w:val="0"/>
    <w:rPr>
      <w:rFonts w:ascii="Calibri" w:hAnsi="Calibri" w:eastAsia="宋体" w:cs="Times New Roman"/>
      <w:b/>
      <w:kern w:val="44"/>
      <w:sz w:val="44"/>
      <w:lang w:val="en-US" w:eastAsia="zh-CN"/>
    </w:rPr>
  </w:style>
  <w:style w:type="character" w:customStyle="1" w:styleId="224">
    <w:name w:val="Salutation Char"/>
    <w:qFormat/>
    <w:uiPriority w:val="0"/>
    <w:rPr>
      <w:rFonts w:ascii="Calibri" w:hAnsi="Calibri" w:eastAsia="宋体" w:cs="Times New Roman"/>
      <w:kern w:val="0"/>
      <w:szCs w:val="22"/>
    </w:rPr>
  </w:style>
  <w:style w:type="character" w:customStyle="1" w:styleId="225">
    <w:name w:val="Salutation Char1"/>
    <w:semiHidden/>
    <w:qFormat/>
    <w:uiPriority w:val="99"/>
    <w:rPr>
      <w:rFonts w:ascii="Times New Roman" w:hAnsi="Times New Roman" w:eastAsia="宋体" w:cs="Times New Roman"/>
      <w:kern w:val="2"/>
      <w:sz w:val="21"/>
      <w:szCs w:val="20"/>
    </w:rPr>
  </w:style>
  <w:style w:type="character" w:customStyle="1" w:styleId="226">
    <w:name w:val="Char Char5"/>
    <w:qFormat/>
    <w:uiPriority w:val="0"/>
    <w:rPr>
      <w:rFonts w:ascii="宋体" w:hAnsi="Calibri" w:eastAsia="宋体" w:cs="Times New Roman"/>
      <w:sz w:val="32"/>
      <w:lang w:val="en-US" w:eastAsia="zh-CN"/>
    </w:rPr>
  </w:style>
  <w:style w:type="character" w:customStyle="1" w:styleId="227">
    <w:name w:val="Char Char8"/>
    <w:qFormat/>
    <w:uiPriority w:val="0"/>
    <w:rPr>
      <w:rFonts w:ascii="Calibri" w:hAnsi="Calibri" w:eastAsia="宋体" w:cs="Times New Roman"/>
      <w:kern w:val="2"/>
      <w:sz w:val="18"/>
      <w:lang w:val="en-US" w:eastAsia="zh-CN"/>
    </w:rPr>
  </w:style>
  <w:style w:type="character" w:customStyle="1" w:styleId="228">
    <w:name w:val="Char Char11"/>
    <w:qFormat/>
    <w:uiPriority w:val="0"/>
    <w:rPr>
      <w:rFonts w:ascii="Arial" w:hAnsi="Arial" w:eastAsia="黑体" w:cs="Times New Roman"/>
      <w:kern w:val="2"/>
      <w:sz w:val="24"/>
      <w:lang w:val="en-US" w:eastAsia="zh-CN"/>
    </w:rPr>
  </w:style>
  <w:style w:type="character" w:customStyle="1" w:styleId="229">
    <w:name w:val="Char Char14"/>
    <w:qFormat/>
    <w:uiPriority w:val="0"/>
    <w:rPr>
      <w:rFonts w:ascii="Calibri" w:hAnsi="Calibri" w:eastAsia="宋体" w:cs="Times New Roman"/>
      <w:b/>
      <w:kern w:val="2"/>
      <w:sz w:val="28"/>
      <w:lang w:val="en-US" w:eastAsia="zh-CN"/>
    </w:rPr>
  </w:style>
  <w:style w:type="character" w:customStyle="1" w:styleId="230">
    <w:name w:val="Char Char17"/>
    <w:qFormat/>
    <w:uiPriority w:val="0"/>
    <w:rPr>
      <w:rFonts w:ascii="Arial" w:hAnsi="Arial" w:eastAsia="黑体" w:cs="Times New Roman"/>
      <w:b/>
      <w:sz w:val="32"/>
      <w:lang w:val="en-US" w:eastAsia="zh-CN"/>
    </w:rPr>
  </w:style>
  <w:style w:type="character" w:customStyle="1" w:styleId="231">
    <w:name w:val="Char Char4"/>
    <w:qFormat/>
    <w:uiPriority w:val="0"/>
    <w:rPr>
      <w:rFonts w:ascii="Calibri" w:hAnsi="Calibri" w:eastAsia="宋体" w:cs="Times New Roman"/>
      <w:kern w:val="2"/>
      <w:sz w:val="24"/>
      <w:lang w:val="en-US" w:eastAsia="zh-CN"/>
    </w:rPr>
  </w:style>
  <w:style w:type="character" w:customStyle="1" w:styleId="232">
    <w:name w:val="Char Char6"/>
    <w:qFormat/>
    <w:uiPriority w:val="0"/>
    <w:rPr>
      <w:rFonts w:ascii="Arial" w:hAnsi="Arial" w:eastAsia="隶书" w:cs="Times New Roman"/>
      <w:b/>
      <w:sz w:val="52"/>
      <w:lang w:val="en-US" w:eastAsia="zh-CN"/>
    </w:rPr>
  </w:style>
  <w:style w:type="character" w:customStyle="1" w:styleId="233">
    <w:name w:val="Char Char10"/>
    <w:qFormat/>
    <w:uiPriority w:val="0"/>
    <w:rPr>
      <w:rFonts w:ascii="Arial" w:hAnsi="Arial" w:eastAsia="黑体" w:cs="Times New Roman"/>
      <w:kern w:val="2"/>
      <w:sz w:val="21"/>
      <w:lang w:val="en-US" w:eastAsia="zh-CN"/>
    </w:rPr>
  </w:style>
  <w:style w:type="character" w:customStyle="1" w:styleId="234">
    <w:name w:val="Char Char13"/>
    <w:qFormat/>
    <w:uiPriority w:val="0"/>
    <w:rPr>
      <w:rFonts w:ascii="Arial" w:hAnsi="Arial" w:eastAsia="黑体" w:cs="Times New Roman"/>
      <w:b/>
      <w:kern w:val="2"/>
      <w:sz w:val="24"/>
      <w:lang w:val="en-US" w:eastAsia="zh-CN"/>
    </w:rPr>
  </w:style>
  <w:style w:type="character" w:customStyle="1" w:styleId="235">
    <w:name w:val="Char Char16"/>
    <w:qFormat/>
    <w:uiPriority w:val="0"/>
    <w:rPr>
      <w:rFonts w:ascii="Calibri" w:hAnsi="Calibri" w:eastAsia="宋体" w:cs="Times New Roman"/>
      <w:b/>
      <w:sz w:val="32"/>
      <w:lang w:val="en-US" w:eastAsia="zh-CN"/>
    </w:rPr>
  </w:style>
  <w:style w:type="character" w:customStyle="1" w:styleId="236">
    <w:name w:val="Char Char3"/>
    <w:qFormat/>
    <w:uiPriority w:val="0"/>
    <w:rPr>
      <w:rFonts w:ascii="Calibri" w:hAnsi="Calibri" w:eastAsia="宋体" w:cs="Times New Roman"/>
      <w:sz w:val="24"/>
      <w:lang w:val="en-US" w:eastAsia="zh-CN"/>
    </w:rPr>
  </w:style>
  <w:style w:type="character" w:customStyle="1" w:styleId="237">
    <w:name w:val="Char Char7"/>
    <w:qFormat/>
    <w:uiPriority w:val="0"/>
    <w:rPr>
      <w:rFonts w:ascii="楷体_GB2312" w:hAnsi="Calibri" w:eastAsia="楷体_GB2312" w:cs="Times New Roman"/>
      <w:kern w:val="2"/>
      <w:sz w:val="32"/>
      <w:lang w:val="en-US" w:eastAsia="zh-CN"/>
    </w:rPr>
  </w:style>
  <w:style w:type="paragraph" w:customStyle="1" w:styleId="238">
    <w:name w:val="Char Char"/>
    <w:basedOn w:val="1"/>
    <w:qFormat/>
    <w:uiPriority w:val="0"/>
    <w:pPr>
      <w:widowControl/>
      <w:spacing w:after="160" w:line="240" w:lineRule="exact"/>
      <w:jc w:val="left"/>
    </w:pPr>
    <w:rPr>
      <w:rFonts w:ascii="Verdana" w:hAnsi="Verdana" w:eastAsia="仿宋_GB2312"/>
      <w:kern w:val="0"/>
      <w:sz w:val="24"/>
      <w:szCs w:val="20"/>
      <w:lang w:eastAsia="en-US"/>
    </w:rPr>
  </w:style>
  <w:style w:type="character" w:customStyle="1" w:styleId="239">
    <w:name w:val="HTML Preformatted Char"/>
    <w:qFormat/>
    <w:uiPriority w:val="0"/>
    <w:rPr>
      <w:rFonts w:ascii="宋体" w:hAnsi="宋体" w:eastAsia="宋体" w:cs="Times New Roman"/>
      <w:color w:val="000000"/>
      <w:kern w:val="0"/>
    </w:rPr>
  </w:style>
  <w:style w:type="paragraph" w:customStyle="1" w:styleId="240">
    <w:name w:val="图片"/>
    <w:basedOn w:val="1"/>
    <w:next w:val="16"/>
    <w:qFormat/>
    <w:uiPriority w:val="0"/>
    <w:pPr>
      <w:keepNext/>
      <w:widowControl/>
      <w:jc w:val="left"/>
    </w:pPr>
    <w:rPr>
      <w:rFonts w:ascii="Garamond" w:hAnsi="Garamond"/>
      <w:kern w:val="0"/>
      <w:szCs w:val="20"/>
    </w:rPr>
  </w:style>
  <w:style w:type="paragraph" w:customStyle="1" w:styleId="241">
    <w:name w:val="批注框文本 Char Char"/>
    <w:basedOn w:val="1"/>
    <w:qFormat/>
    <w:uiPriority w:val="0"/>
    <w:rPr>
      <w:sz w:val="18"/>
      <w:szCs w:val="20"/>
    </w:rPr>
  </w:style>
  <w:style w:type="paragraph" w:customStyle="1" w:styleId="242">
    <w:name w:val="Char Char Char Char Char Char Char Char Char"/>
    <w:basedOn w:val="1"/>
    <w:qFormat/>
    <w:uiPriority w:val="0"/>
    <w:pPr>
      <w:widowControl/>
      <w:spacing w:after="160" w:line="240" w:lineRule="exact"/>
      <w:jc w:val="left"/>
    </w:pPr>
    <w:rPr>
      <w:rFonts w:ascii="Verdana" w:hAnsi="Verdana" w:eastAsia="仿宋_GB2312"/>
      <w:b/>
      <w:i/>
      <w:kern w:val="0"/>
      <w:sz w:val="24"/>
      <w:szCs w:val="24"/>
      <w:lang w:eastAsia="en-US"/>
    </w:rPr>
  </w:style>
  <w:style w:type="paragraph" w:customStyle="1" w:styleId="243">
    <w:name w:val="standdate"/>
    <w:basedOn w:val="29"/>
    <w:link w:val="244"/>
    <w:qFormat/>
    <w:uiPriority w:val="0"/>
    <w:pPr>
      <w:adjustRightInd w:val="0"/>
      <w:snapToGrid/>
      <w:spacing w:line="340" w:lineRule="atLeast"/>
      <w:ind w:left="255" w:right="255"/>
      <w:jc w:val="center"/>
      <w:textAlignment w:val="center"/>
    </w:pPr>
    <w:rPr>
      <w:rFonts w:ascii="Times New Roman" w:hAnsi="Times New Roman" w:eastAsia="华文中宋"/>
      <w:b/>
      <w:spacing w:val="-4"/>
      <w:kern w:val="0"/>
      <w:sz w:val="32"/>
      <w:szCs w:val="20"/>
    </w:rPr>
  </w:style>
  <w:style w:type="character" w:customStyle="1" w:styleId="244">
    <w:name w:val="standdate Char"/>
    <w:link w:val="243"/>
    <w:qFormat/>
    <w:uiPriority w:val="0"/>
    <w:rPr>
      <w:rFonts w:ascii="Calibri" w:hAnsi="Calibri" w:eastAsia="华文中宋" w:cs="Times New Roman"/>
      <w:b/>
      <w:spacing w:val="-4"/>
      <w:kern w:val="0"/>
      <w:sz w:val="32"/>
    </w:rPr>
  </w:style>
  <w:style w:type="paragraph" w:customStyle="1" w:styleId="245">
    <w:name w:val="flNote"/>
    <w:basedOn w:val="1"/>
    <w:qFormat/>
    <w:uiPriority w:val="0"/>
    <w:pPr>
      <w:adjustRightInd w:val="0"/>
      <w:spacing w:before="320" w:after="160" w:line="360" w:lineRule="atLeast"/>
      <w:jc w:val="center"/>
      <w:textAlignment w:val="baseline"/>
    </w:pPr>
    <w:rPr>
      <w:rFonts w:ascii="Arial" w:eastAsia="黑体"/>
      <w:kern w:val="0"/>
      <w:sz w:val="30"/>
      <w:szCs w:val="20"/>
    </w:rPr>
  </w:style>
  <w:style w:type="paragraph" w:customStyle="1" w:styleId="246">
    <w:name w:val="flName"/>
    <w:basedOn w:val="245"/>
    <w:qFormat/>
    <w:uiPriority w:val="0"/>
    <w:rPr>
      <w:sz w:val="32"/>
    </w:rPr>
  </w:style>
  <w:style w:type="paragraph" w:customStyle="1" w:styleId="247">
    <w:name w:val="flType"/>
    <w:basedOn w:val="246"/>
    <w:qFormat/>
    <w:uiPriority w:val="0"/>
    <w:pPr>
      <w:spacing w:before="560" w:after="120"/>
    </w:pPr>
    <w:rPr>
      <w:sz w:val="28"/>
    </w:rPr>
  </w:style>
  <w:style w:type="character" w:customStyle="1" w:styleId="248">
    <w:name w:val="Subtitle Char"/>
    <w:qFormat/>
    <w:uiPriority w:val="0"/>
    <w:rPr>
      <w:rFonts w:ascii="Arial" w:hAnsi="Arial" w:eastAsia="黑体" w:cs="Times New Roman"/>
      <w:i/>
      <w:kern w:val="0"/>
      <w:sz w:val="24"/>
    </w:rPr>
  </w:style>
  <w:style w:type="paragraph" w:customStyle="1" w:styleId="249">
    <w:name w:val="正文文字3"/>
    <w:basedOn w:val="21"/>
    <w:qFormat/>
    <w:uiPriority w:val="0"/>
    <w:pPr>
      <w:adjustRightInd w:val="0"/>
      <w:spacing w:before="0" w:beforeAutospacing="0" w:after="0" w:line="360" w:lineRule="atLeast"/>
      <w:ind w:left="72" w:leftChars="30" w:right="72" w:rightChars="30"/>
      <w:textAlignment w:val="baseline"/>
    </w:pPr>
    <w:rPr>
      <w:sz w:val="21"/>
      <w:szCs w:val="20"/>
    </w:rPr>
  </w:style>
  <w:style w:type="paragraph" w:customStyle="1" w:styleId="250">
    <w:name w:val="注"/>
    <w:basedOn w:val="1"/>
    <w:qFormat/>
    <w:uiPriority w:val="0"/>
    <w:pPr>
      <w:adjustRightInd w:val="0"/>
      <w:spacing w:line="360" w:lineRule="atLeast"/>
      <w:ind w:left="840" w:hanging="420"/>
      <w:textAlignment w:val="baseline"/>
    </w:pPr>
    <w:rPr>
      <w:kern w:val="0"/>
      <w:szCs w:val="20"/>
    </w:rPr>
  </w:style>
  <w:style w:type="paragraph" w:customStyle="1" w:styleId="251">
    <w:name w:val="空半行"/>
    <w:basedOn w:val="1"/>
    <w:qFormat/>
    <w:uiPriority w:val="0"/>
    <w:pPr>
      <w:adjustRightInd w:val="0"/>
      <w:spacing w:line="120" w:lineRule="exact"/>
      <w:textAlignment w:val="baseline"/>
    </w:pPr>
    <w:rPr>
      <w:rFonts w:eastAsia="仿宋_GB2312"/>
      <w:color w:val="FFFFFF"/>
      <w:kern w:val="0"/>
      <w:sz w:val="30"/>
      <w:szCs w:val="20"/>
    </w:rPr>
  </w:style>
  <w:style w:type="paragraph" w:customStyle="1" w:styleId="252">
    <w:name w:val="正文文字1"/>
    <w:basedOn w:val="21"/>
    <w:qFormat/>
    <w:uiPriority w:val="0"/>
    <w:pPr>
      <w:adjustRightInd w:val="0"/>
      <w:spacing w:before="0" w:beforeAutospacing="0" w:after="0" w:line="360" w:lineRule="atLeast"/>
      <w:ind w:left="72" w:leftChars="30" w:right="72" w:rightChars="30"/>
      <w:textAlignment w:val="baseline"/>
    </w:pPr>
    <w:rPr>
      <w:sz w:val="21"/>
      <w:szCs w:val="20"/>
    </w:rPr>
  </w:style>
  <w:style w:type="paragraph" w:customStyle="1" w:styleId="253">
    <w:name w:val="正文文字2"/>
    <w:basedOn w:val="21"/>
    <w:link w:val="254"/>
    <w:qFormat/>
    <w:uiPriority w:val="0"/>
    <w:pPr>
      <w:adjustRightInd w:val="0"/>
      <w:spacing w:before="0" w:beforeAutospacing="0" w:after="60" w:line="360" w:lineRule="atLeast"/>
      <w:ind w:left="72" w:leftChars="30" w:right="72" w:rightChars="30"/>
      <w:jc w:val="center"/>
      <w:textAlignment w:val="baseline"/>
    </w:pPr>
    <w:rPr>
      <w:rFonts w:ascii="Arial" w:hAnsi="Arial" w:eastAsia="黑体"/>
      <w:b/>
      <w:sz w:val="52"/>
      <w:szCs w:val="20"/>
    </w:rPr>
  </w:style>
  <w:style w:type="character" w:customStyle="1" w:styleId="254">
    <w:name w:val="正文文字2 Char"/>
    <w:link w:val="253"/>
    <w:qFormat/>
    <w:uiPriority w:val="0"/>
    <w:rPr>
      <w:rFonts w:ascii="Arial" w:hAnsi="Arial" w:eastAsia="黑体" w:cs="Times New Roman"/>
      <w:b/>
      <w:kern w:val="0"/>
      <w:sz w:val="52"/>
    </w:rPr>
  </w:style>
  <w:style w:type="paragraph" w:customStyle="1" w:styleId="255">
    <w:name w:val="表格1"/>
    <w:basedOn w:val="1"/>
    <w:link w:val="256"/>
    <w:qFormat/>
    <w:uiPriority w:val="0"/>
    <w:pPr>
      <w:numPr>
        <w:ilvl w:val="0"/>
        <w:numId w:val="2"/>
      </w:numPr>
      <w:tabs>
        <w:tab w:val="clear" w:pos="624"/>
      </w:tabs>
      <w:adjustRightInd w:val="0"/>
      <w:spacing w:after="60" w:line="360" w:lineRule="atLeast"/>
      <w:ind w:left="72" w:leftChars="30" w:right="72" w:rightChars="30" w:firstLine="0"/>
      <w:jc w:val="center"/>
      <w:textAlignment w:val="baseline"/>
    </w:pPr>
    <w:rPr>
      <w:kern w:val="0"/>
      <w:szCs w:val="20"/>
    </w:rPr>
  </w:style>
  <w:style w:type="character" w:customStyle="1" w:styleId="256">
    <w:name w:val="表格1 Char"/>
    <w:link w:val="255"/>
    <w:qFormat/>
    <w:uiPriority w:val="0"/>
    <w:rPr>
      <w:rFonts w:ascii="Calibri" w:hAnsi="Calibri" w:eastAsia="宋体" w:cs="Times New Roman"/>
      <w:kern w:val="0"/>
    </w:rPr>
  </w:style>
  <w:style w:type="paragraph" w:customStyle="1" w:styleId="257">
    <w:name w:val="表格3"/>
    <w:basedOn w:val="1"/>
    <w:link w:val="258"/>
    <w:qFormat/>
    <w:uiPriority w:val="0"/>
    <w:pPr>
      <w:adjustRightInd w:val="0"/>
      <w:spacing w:line="360" w:lineRule="atLeast"/>
      <w:ind w:left="72" w:leftChars="30" w:right="72" w:rightChars="30"/>
      <w:textAlignment w:val="baseline"/>
    </w:pPr>
    <w:rPr>
      <w:kern w:val="0"/>
      <w:szCs w:val="20"/>
    </w:rPr>
  </w:style>
  <w:style w:type="character" w:customStyle="1" w:styleId="258">
    <w:name w:val="表格3 Char"/>
    <w:link w:val="257"/>
    <w:qFormat/>
    <w:uiPriority w:val="0"/>
    <w:rPr>
      <w:rFonts w:ascii="Calibri" w:hAnsi="Calibri" w:eastAsia="宋体" w:cs="Times New Roman"/>
      <w:kern w:val="0"/>
    </w:rPr>
  </w:style>
  <w:style w:type="paragraph" w:customStyle="1" w:styleId="259">
    <w:name w:val="表格2"/>
    <w:basedOn w:val="1"/>
    <w:link w:val="260"/>
    <w:qFormat/>
    <w:uiPriority w:val="0"/>
    <w:pPr>
      <w:adjustRightInd w:val="0"/>
      <w:spacing w:after="60" w:line="360" w:lineRule="atLeast"/>
      <w:ind w:left="72" w:leftChars="30" w:right="72" w:rightChars="30"/>
      <w:jc w:val="center"/>
      <w:textAlignment w:val="baseline"/>
    </w:pPr>
    <w:rPr>
      <w:rFonts w:ascii="Arial" w:eastAsia="黑体"/>
      <w:kern w:val="0"/>
      <w:szCs w:val="20"/>
    </w:rPr>
  </w:style>
  <w:style w:type="character" w:customStyle="1" w:styleId="260">
    <w:name w:val="表格2 Char"/>
    <w:link w:val="259"/>
    <w:qFormat/>
    <w:uiPriority w:val="0"/>
    <w:rPr>
      <w:rFonts w:ascii="Arial" w:hAnsi="Calibri" w:eastAsia="黑体" w:cs="Times New Roman"/>
      <w:kern w:val="0"/>
    </w:rPr>
  </w:style>
  <w:style w:type="paragraph" w:customStyle="1" w:styleId="261">
    <w:name w:val="表格编号"/>
    <w:basedOn w:val="1"/>
    <w:qFormat/>
    <w:uiPriority w:val="0"/>
    <w:pPr>
      <w:numPr>
        <w:ilvl w:val="0"/>
        <w:numId w:val="3"/>
      </w:numPr>
      <w:adjustRightInd w:val="0"/>
      <w:spacing w:before="50" w:beforeLines="50" w:line="360" w:lineRule="atLeast"/>
      <w:jc w:val="center"/>
      <w:textAlignment w:val="baseline"/>
    </w:pPr>
    <w:rPr>
      <w:kern w:val="0"/>
      <w:sz w:val="24"/>
      <w:szCs w:val="20"/>
    </w:rPr>
  </w:style>
  <w:style w:type="paragraph" w:customStyle="1" w:styleId="262">
    <w:name w:val="图样编号"/>
    <w:basedOn w:val="1"/>
    <w:qFormat/>
    <w:uiPriority w:val="0"/>
    <w:pPr>
      <w:numPr>
        <w:ilvl w:val="0"/>
        <w:numId w:val="4"/>
      </w:numPr>
      <w:adjustRightInd w:val="0"/>
      <w:spacing w:after="50" w:afterLines="50" w:line="360" w:lineRule="atLeast"/>
      <w:jc w:val="center"/>
      <w:textAlignment w:val="baseline"/>
    </w:pPr>
    <w:rPr>
      <w:kern w:val="0"/>
      <w:sz w:val="24"/>
      <w:szCs w:val="24"/>
    </w:rPr>
  </w:style>
  <w:style w:type="paragraph" w:customStyle="1" w:styleId="263">
    <w:name w:val="cft"/>
    <w:basedOn w:val="1"/>
    <w:qFormat/>
    <w:uiPriority w:val="0"/>
    <w:pPr>
      <w:spacing w:line="360" w:lineRule="auto"/>
    </w:pPr>
    <w:rPr>
      <w:rFonts w:eastAsia="楷体_GB2312"/>
      <w:sz w:val="24"/>
      <w:szCs w:val="20"/>
    </w:rPr>
  </w:style>
  <w:style w:type="character" w:customStyle="1" w:styleId="264">
    <w:name w:val="Closing Char"/>
    <w:qFormat/>
    <w:uiPriority w:val="0"/>
    <w:rPr>
      <w:rFonts w:ascii="Calibri" w:hAnsi="Calibri" w:eastAsia="宋体" w:cs="Times New Roman"/>
      <w:sz w:val="30"/>
    </w:rPr>
  </w:style>
  <w:style w:type="paragraph" w:customStyle="1" w:styleId="265">
    <w:name w:val="H-TextFormat"/>
    <w:qFormat/>
    <w:uiPriority w:val="0"/>
    <w:rPr>
      <w:rFonts w:ascii="Arial" w:hAnsi="Arial" w:eastAsia="宋体" w:cs="Times New Roman"/>
      <w:sz w:val="22"/>
      <w:lang w:val="en-US" w:eastAsia="zh-CN" w:bidi="ar-SA"/>
    </w:rPr>
  </w:style>
  <w:style w:type="paragraph" w:customStyle="1" w:styleId="266">
    <w:name w:val="Preistext 4"/>
    <w:basedOn w:val="1"/>
    <w:qFormat/>
    <w:uiPriority w:val="0"/>
    <w:pPr>
      <w:widowControl/>
      <w:tabs>
        <w:tab w:val="left" w:pos="5178"/>
      </w:tabs>
      <w:ind w:left="-2" w:leftChars="-1" w:right="-93" w:firstLine="2" w:firstLineChars="1"/>
      <w:jc w:val="left"/>
    </w:pPr>
    <w:rPr>
      <w:szCs w:val="20"/>
      <w:lang w:bidi="he-IL"/>
    </w:rPr>
  </w:style>
  <w:style w:type="paragraph" w:customStyle="1" w:styleId="267">
    <w:name w:val="Preistext2"/>
    <w:basedOn w:val="1"/>
    <w:qFormat/>
    <w:uiPriority w:val="0"/>
    <w:pPr>
      <w:widowControl/>
      <w:tabs>
        <w:tab w:val="left" w:pos="709"/>
        <w:tab w:val="left" w:pos="1701"/>
        <w:tab w:val="left" w:pos="3119"/>
      </w:tabs>
      <w:ind w:left="1843" w:right="1701"/>
      <w:jc w:val="left"/>
    </w:pPr>
    <w:rPr>
      <w:rFonts w:ascii="Arial" w:hAnsi="Arial"/>
      <w:kern w:val="0"/>
      <w:sz w:val="18"/>
      <w:szCs w:val="20"/>
      <w:lang w:val="en-GB" w:eastAsia="de-DE"/>
    </w:rPr>
  </w:style>
  <w:style w:type="paragraph" w:customStyle="1" w:styleId="268">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hint="eastAsia" w:ascii="楷体_GB2312" w:hAnsi="宋体" w:eastAsia="楷体_GB2312"/>
      <w:b/>
      <w:bCs/>
      <w:kern w:val="0"/>
      <w:sz w:val="22"/>
      <w:szCs w:val="22"/>
    </w:rPr>
  </w:style>
  <w:style w:type="paragraph" w:customStyle="1" w:styleId="269">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270">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hint="eastAsia" w:ascii="宋体" w:hAnsi="宋体"/>
      <w:kern w:val="0"/>
      <w:sz w:val="20"/>
      <w:szCs w:val="20"/>
    </w:rPr>
  </w:style>
  <w:style w:type="paragraph" w:customStyle="1" w:styleId="271">
    <w:name w:val="xl27"/>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textAlignment w:val="center"/>
    </w:pPr>
    <w:rPr>
      <w:rFonts w:hint="eastAsia" w:ascii="楷体_GB2312" w:hAnsi="宋体" w:eastAsia="楷体_GB2312"/>
      <w:b/>
      <w:bCs/>
      <w:kern w:val="0"/>
      <w:sz w:val="22"/>
      <w:szCs w:val="22"/>
    </w:rPr>
  </w:style>
  <w:style w:type="paragraph" w:customStyle="1" w:styleId="272">
    <w:name w:val="xl28"/>
    <w:basedOn w:val="1"/>
    <w:qFormat/>
    <w:uiPriority w:val="0"/>
    <w:pPr>
      <w:widowControl/>
      <w:pBdr>
        <w:top w:val="single" w:color="auto" w:sz="4" w:space="0"/>
        <w:bottom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273">
    <w:name w:val="xl29"/>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textAlignment w:val="center"/>
    </w:pPr>
    <w:rPr>
      <w:rFonts w:ascii="Arial" w:hAnsi="Arial" w:cs="Arial"/>
      <w:b/>
      <w:bCs/>
      <w:kern w:val="0"/>
      <w:sz w:val="22"/>
      <w:szCs w:val="22"/>
    </w:rPr>
  </w:style>
  <w:style w:type="paragraph" w:customStyle="1" w:styleId="274">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w:hAnsi="Arial" w:cs="Arial"/>
      <w:b/>
      <w:bCs/>
      <w:kern w:val="0"/>
      <w:sz w:val="22"/>
      <w:szCs w:val="22"/>
    </w:rPr>
  </w:style>
  <w:style w:type="paragraph" w:customStyle="1" w:styleId="275">
    <w:name w:val="xl31"/>
    <w:basedOn w:val="1"/>
    <w:qFormat/>
    <w:uiPriority w:val="0"/>
    <w:pPr>
      <w:widowControl/>
      <w:pBdr>
        <w:top w:val="single" w:color="auto" w:sz="4" w:space="0"/>
        <w:bottom w:val="single" w:color="auto" w:sz="4" w:space="0"/>
      </w:pBdr>
      <w:spacing w:before="100" w:beforeAutospacing="1" w:after="100" w:afterAutospacing="1"/>
      <w:jc w:val="center"/>
      <w:textAlignment w:val="center"/>
    </w:pPr>
    <w:rPr>
      <w:rFonts w:hint="eastAsia" w:ascii="宋体" w:hAnsi="宋体"/>
      <w:kern w:val="0"/>
      <w:sz w:val="20"/>
      <w:szCs w:val="20"/>
    </w:rPr>
  </w:style>
  <w:style w:type="paragraph" w:customStyle="1" w:styleId="276">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277">
    <w:name w:val="xl33"/>
    <w:basedOn w:val="1"/>
    <w:qFormat/>
    <w:uiPriority w:val="0"/>
    <w:pPr>
      <w:widowControl/>
      <w:pBdr>
        <w:left w:val="single" w:color="auto" w:sz="4" w:space="0"/>
        <w:bottom w:val="single" w:color="auto" w:sz="4" w:space="0"/>
      </w:pBdr>
      <w:spacing w:before="100" w:beforeAutospacing="1" w:after="100" w:afterAutospacing="1"/>
      <w:jc w:val="left"/>
      <w:textAlignment w:val="center"/>
    </w:pPr>
    <w:rPr>
      <w:rFonts w:ascii="Arial" w:hAnsi="Arial" w:cs="Arial"/>
      <w:b/>
      <w:bCs/>
      <w:kern w:val="0"/>
      <w:sz w:val="22"/>
      <w:szCs w:val="22"/>
    </w:rPr>
  </w:style>
  <w:style w:type="paragraph" w:customStyle="1" w:styleId="278">
    <w:name w:val="xl34"/>
    <w:basedOn w:val="1"/>
    <w:qFormat/>
    <w:uiPriority w:val="0"/>
    <w:pPr>
      <w:widowControl/>
      <w:pBdr>
        <w:bottom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279">
    <w:name w:val="xl35"/>
    <w:basedOn w:val="1"/>
    <w:qFormat/>
    <w:uiPriority w:val="0"/>
    <w:pPr>
      <w:widowControl/>
      <w:pBdr>
        <w:top w:val="double" w:color="auto" w:sz="6" w:space="0"/>
        <w:left w:val="double" w:color="auto" w:sz="6" w:space="0"/>
        <w:bottom w:val="double" w:color="auto" w:sz="6" w:space="0"/>
        <w:right w:val="single" w:color="auto" w:sz="4" w:space="0"/>
      </w:pBdr>
      <w:spacing w:before="100" w:beforeAutospacing="1" w:after="100" w:afterAutospacing="1"/>
      <w:jc w:val="left"/>
      <w:textAlignment w:val="center"/>
    </w:pPr>
    <w:rPr>
      <w:rFonts w:hint="eastAsia" w:ascii="楷体_GB2312" w:hAnsi="宋体" w:eastAsia="楷体_GB2312"/>
      <w:b/>
      <w:bCs/>
      <w:kern w:val="0"/>
      <w:sz w:val="22"/>
      <w:szCs w:val="22"/>
    </w:rPr>
  </w:style>
  <w:style w:type="paragraph" w:customStyle="1" w:styleId="280">
    <w:name w:val="xl36"/>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textAlignment w:val="center"/>
    </w:pPr>
    <w:rPr>
      <w:rFonts w:ascii="宋体" w:hAnsi="宋体"/>
      <w:b/>
      <w:bCs/>
      <w:kern w:val="0"/>
      <w:sz w:val="22"/>
      <w:szCs w:val="22"/>
    </w:rPr>
  </w:style>
  <w:style w:type="paragraph" w:customStyle="1" w:styleId="281">
    <w:name w:val="xl37"/>
    <w:basedOn w:val="1"/>
    <w:qFormat/>
    <w:uiPriority w:val="0"/>
    <w:pPr>
      <w:widowControl/>
      <w:pBdr>
        <w:top w:val="double" w:color="auto" w:sz="6" w:space="0"/>
        <w:left w:val="single" w:color="auto" w:sz="4" w:space="0"/>
        <w:bottom w:val="double" w:color="auto" w:sz="6" w:space="0"/>
        <w:right w:val="single" w:color="auto" w:sz="4" w:space="0"/>
      </w:pBdr>
      <w:spacing w:before="100" w:beforeAutospacing="1" w:after="100" w:afterAutospacing="1"/>
      <w:jc w:val="center"/>
      <w:textAlignment w:val="center"/>
    </w:pPr>
    <w:rPr>
      <w:rFonts w:ascii="宋体" w:hAnsi="宋体"/>
      <w:b/>
      <w:bCs/>
      <w:color w:val="FF0000"/>
      <w:kern w:val="0"/>
      <w:sz w:val="24"/>
      <w:szCs w:val="24"/>
    </w:rPr>
  </w:style>
  <w:style w:type="paragraph" w:customStyle="1" w:styleId="282">
    <w:name w:val="xl38"/>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textAlignment w:val="center"/>
    </w:pPr>
    <w:rPr>
      <w:rFonts w:ascii="宋体" w:hAnsi="宋体"/>
      <w:b/>
      <w:bCs/>
      <w:kern w:val="0"/>
      <w:sz w:val="22"/>
      <w:szCs w:val="22"/>
    </w:rPr>
  </w:style>
  <w:style w:type="paragraph" w:customStyle="1" w:styleId="283">
    <w:name w:val="xl39"/>
    <w:basedOn w:val="1"/>
    <w:qFormat/>
    <w:uiPriority w:val="0"/>
    <w:pPr>
      <w:widowControl/>
      <w:pBdr>
        <w:top w:val="double" w:color="auto" w:sz="6" w:space="0"/>
        <w:left w:val="single" w:color="auto" w:sz="4" w:space="0"/>
        <w:bottom w:val="double" w:color="auto" w:sz="6" w:space="0"/>
        <w:right w:val="single" w:color="auto" w:sz="4" w:space="0"/>
      </w:pBdr>
      <w:spacing w:before="100" w:beforeAutospacing="1" w:after="100" w:afterAutospacing="1"/>
      <w:jc w:val="center"/>
      <w:textAlignment w:val="center"/>
    </w:pPr>
    <w:rPr>
      <w:rFonts w:ascii="宋体" w:hAnsi="宋体"/>
      <w:b/>
      <w:bCs/>
      <w:color w:val="FF0000"/>
      <w:kern w:val="0"/>
      <w:sz w:val="24"/>
      <w:szCs w:val="24"/>
    </w:rPr>
  </w:style>
  <w:style w:type="character" w:customStyle="1" w:styleId="284">
    <w:name w:val="标题 9 字符"/>
    <w:basedOn w:val="48"/>
    <w:link w:val="14"/>
    <w:qFormat/>
    <w:uiPriority w:val="0"/>
    <w:rPr>
      <w:rFonts w:ascii="Arial" w:hAnsi="Arial" w:eastAsia="黑体" w:cs="Arial"/>
      <w:kern w:val="2"/>
      <w:sz w:val="21"/>
    </w:rPr>
  </w:style>
  <w:style w:type="character" w:customStyle="1" w:styleId="285">
    <w:name w:val="日期 字符"/>
    <w:basedOn w:val="48"/>
    <w:link w:val="26"/>
    <w:qFormat/>
    <w:uiPriority w:val="0"/>
    <w:rPr>
      <w:rFonts w:hint="eastAsia" w:ascii="宋体" w:hAnsi="宋体" w:eastAsia="宋体" w:cs="宋体"/>
      <w:sz w:val="28"/>
    </w:rPr>
  </w:style>
  <w:style w:type="character" w:customStyle="1" w:styleId="286">
    <w:name w:val="正文文本 3 字符"/>
    <w:basedOn w:val="48"/>
    <w:link w:val="19"/>
    <w:qFormat/>
    <w:uiPriority w:val="0"/>
    <w:rPr>
      <w:rFonts w:hint="default" w:ascii="Times New Roman" w:hAnsi="Times New Roman" w:cs="Times New Roman"/>
      <w:kern w:val="2"/>
      <w:sz w:val="16"/>
      <w:szCs w:val="16"/>
    </w:rPr>
  </w:style>
  <w:style w:type="character" w:customStyle="1" w:styleId="287">
    <w:name w:val="标题 8 字符"/>
    <w:basedOn w:val="48"/>
    <w:link w:val="13"/>
    <w:qFormat/>
    <w:uiPriority w:val="0"/>
    <w:rPr>
      <w:rFonts w:hint="default" w:ascii="Arial" w:hAnsi="Arial" w:eastAsia="黑体" w:cs="Arial"/>
      <w:kern w:val="2"/>
      <w:sz w:val="24"/>
    </w:rPr>
  </w:style>
  <w:style w:type="character" w:customStyle="1" w:styleId="288">
    <w:name w:val="正文文本首行缩进 字符"/>
    <w:link w:val="44"/>
    <w:qFormat/>
    <w:uiPriority w:val="0"/>
    <w:rPr>
      <w:rFonts w:hint="default" w:ascii="Times New Roman" w:hAnsi="Times New Roman" w:cs="Times New Roman"/>
      <w:kern w:val="2"/>
      <w:sz w:val="24"/>
      <w:szCs w:val="24"/>
    </w:rPr>
  </w:style>
  <w:style w:type="character" w:customStyle="1" w:styleId="289">
    <w:name w:val="标题 6 字符"/>
    <w:basedOn w:val="48"/>
    <w:link w:val="11"/>
    <w:qFormat/>
    <w:uiPriority w:val="0"/>
    <w:rPr>
      <w:rFonts w:hint="default" w:ascii="Arial" w:hAnsi="Arial" w:eastAsia="黑体" w:cs="Arial"/>
      <w:b/>
      <w:kern w:val="2"/>
      <w:sz w:val="24"/>
    </w:rPr>
  </w:style>
  <w:style w:type="character" w:customStyle="1" w:styleId="290">
    <w:name w:val="标题 7 字符"/>
    <w:basedOn w:val="48"/>
    <w:link w:val="12"/>
    <w:qFormat/>
    <w:uiPriority w:val="0"/>
    <w:rPr>
      <w:rFonts w:hint="default" w:ascii="Times New Roman" w:hAnsi="Times New Roman" w:cs="Times New Roman"/>
      <w:b/>
      <w:kern w:val="2"/>
      <w:sz w:val="24"/>
    </w:rPr>
  </w:style>
  <w:style w:type="character" w:customStyle="1" w:styleId="291">
    <w:name w:val="正文缩进 字符"/>
    <w:basedOn w:val="48"/>
    <w:link w:val="9"/>
    <w:qFormat/>
    <w:uiPriority w:val="0"/>
    <w:rPr>
      <w:rFonts w:hint="default" w:ascii="Times New Roman" w:hAnsi="Times New Roman" w:cs="Times New Roman"/>
      <w:kern w:val="2"/>
      <w:sz w:val="21"/>
    </w:rPr>
  </w:style>
  <w:style w:type="character" w:customStyle="1" w:styleId="292">
    <w:name w:val="称呼 字符"/>
    <w:basedOn w:val="48"/>
    <w:link w:val="18"/>
    <w:qFormat/>
    <w:uiPriority w:val="0"/>
    <w:rPr>
      <w:sz w:val="21"/>
      <w:szCs w:val="22"/>
    </w:rPr>
  </w:style>
  <w:style w:type="character" w:customStyle="1" w:styleId="293">
    <w:name w:val="结束语 字符"/>
    <w:basedOn w:val="48"/>
    <w:link w:val="20"/>
    <w:qFormat/>
    <w:uiPriority w:val="0"/>
    <w:rPr>
      <w:rFonts w:hint="default" w:ascii="Times New Roman" w:hAnsi="Times New Roman" w:cs="Times New Roman"/>
      <w:kern w:val="2"/>
      <w:sz w:val="30"/>
    </w:rPr>
  </w:style>
  <w:style w:type="character" w:customStyle="1" w:styleId="294">
    <w:name w:val="纯文本 字符"/>
    <w:basedOn w:val="48"/>
    <w:link w:val="3"/>
    <w:qFormat/>
    <w:uiPriority w:val="0"/>
    <w:rPr>
      <w:rFonts w:hint="eastAsia" w:ascii="宋体" w:hAnsi="Courier New" w:eastAsia="宋体" w:cs="宋体"/>
      <w:kern w:val="2"/>
      <w:sz w:val="21"/>
    </w:rPr>
  </w:style>
  <w:style w:type="character" w:customStyle="1" w:styleId="295">
    <w:name w:val="副标题 字符"/>
    <w:basedOn w:val="48"/>
    <w:link w:val="34"/>
    <w:qFormat/>
    <w:uiPriority w:val="0"/>
    <w:rPr>
      <w:rFonts w:hint="default" w:ascii="Arial" w:hAnsi="Arial" w:eastAsia="黑体" w:cs="Arial"/>
      <w:i/>
      <w:sz w:val="24"/>
    </w:rPr>
  </w:style>
  <w:style w:type="character" w:customStyle="1" w:styleId="296">
    <w:name w:val="脚注文本 字符"/>
    <w:basedOn w:val="48"/>
    <w:link w:val="35"/>
    <w:qFormat/>
    <w:uiPriority w:val="0"/>
    <w:rPr>
      <w:rFonts w:hint="default" w:ascii="Times New Roman" w:hAnsi="Times New Roman" w:cs="Times New Roman"/>
      <w:kern w:val="2"/>
      <w:sz w:val="18"/>
    </w:rPr>
  </w:style>
  <w:style w:type="character" w:customStyle="1" w:styleId="297">
    <w:name w:val="正文文本缩进 3 字符"/>
    <w:basedOn w:val="48"/>
    <w:link w:val="37"/>
    <w:qFormat/>
    <w:uiPriority w:val="0"/>
    <w:rPr>
      <w:rFonts w:hint="default" w:ascii="Times New Roman" w:hAnsi="Times New Roman" w:eastAsia="楷体" w:cs="Times New Roman"/>
      <w:sz w:val="24"/>
    </w:rPr>
  </w:style>
  <w:style w:type="character" w:customStyle="1" w:styleId="298">
    <w:name w:val="正文文本 2 字符"/>
    <w:basedOn w:val="48"/>
    <w:link w:val="10"/>
    <w:qFormat/>
    <w:uiPriority w:val="0"/>
    <w:rPr>
      <w:rFonts w:hint="eastAsia" w:ascii="楷体_GB2312" w:hAnsi="Garamond" w:eastAsia="楷体_GB2312" w:cs="楷体_GB2312"/>
      <w:color w:val="FF0000"/>
      <w:sz w:val="24"/>
      <w:szCs w:val="24"/>
    </w:rPr>
  </w:style>
  <w:style w:type="character" w:customStyle="1" w:styleId="299">
    <w:name w:val="HTML 预设格式 字符"/>
    <w:basedOn w:val="48"/>
    <w:link w:val="40"/>
    <w:qFormat/>
    <w:uiPriority w:val="0"/>
    <w:rPr>
      <w:rFonts w:hint="eastAsia" w:ascii="宋体" w:hAnsi="宋体" w:eastAsia="宋体" w:cs="宋体"/>
      <w:color w:val="000000"/>
      <w:sz w:val="21"/>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31C9996-9C39-4961-BD45-3BD335F75FFD}">
  <ds:schemaRefs/>
</ds:datastoreItem>
</file>

<file path=docProps/app.xml><?xml version="1.0" encoding="utf-8"?>
<Properties xmlns="http://schemas.openxmlformats.org/officeDocument/2006/extended-properties" xmlns:vt="http://schemas.openxmlformats.org/officeDocument/2006/docPropsVTypes">
  <Template>Normal.dotm</Template>
  <Company>Philips</Company>
  <Pages>62</Pages>
  <Words>25371</Words>
  <Characters>29305</Characters>
  <Lines>249</Lines>
  <Paragraphs>70</Paragraphs>
  <TotalTime>0</TotalTime>
  <ScaleCrop>false</ScaleCrop>
  <LinksUpToDate>false</LinksUpToDate>
  <CharactersWithSpaces>31262</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2023-05-09T09:24:00Z</dcterms:created>
  <dc:creator>Philips</dc:creator>
  <cp:lastModifiedBy>河南中普德项目管理有限公司:杨龙丹</cp:lastModifiedBy>
  <cp:lastPrinted>2023-04-20T08:37:00Z</cp:lastPrinted>
  <dcterms:modified xsi:type="dcterms:W3CDTF">2023-05-09T11:23:49Z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70710D0222D5412296491EBE910C9F42_13</vt:lpwstr>
  </property>
  <property fmtid="{D5CDD505-2E9C-101B-9397-08002B2CF9AE}" pid="4" name="ContentTypeId">
    <vt:lpwstr>0x010100FF0E72A084F79A4CB9C8166A29F1BCC4</vt:lpwstr>
  </property>
</Properties>
</file>