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cs="宋体"/>
          <w:b/>
          <w:sz w:val="52"/>
          <w:szCs w:val="40"/>
        </w:rPr>
      </w:pPr>
      <w:bookmarkStart w:id="97" w:name="_GoBack"/>
      <w:bookmarkEnd w:id="97"/>
    </w:p>
    <w:p>
      <w:pPr>
        <w:pStyle w:val="45"/>
        <w:ind w:firstLine="0" w:firstLineChars="0"/>
        <w:jc w:val="center"/>
        <w:rPr>
          <w:rFonts w:ascii="宋体" w:hAnsi="宋体" w:cs="宋体"/>
          <w:b/>
          <w:sz w:val="52"/>
          <w:szCs w:val="40"/>
        </w:rPr>
      </w:pPr>
      <w:r>
        <w:rPr>
          <w:rFonts w:hint="eastAsia" w:ascii="宋体" w:hAnsi="宋体" w:cs="宋体"/>
          <w:b/>
          <w:sz w:val="52"/>
          <w:szCs w:val="40"/>
        </w:rPr>
        <w:t>汝州市人民医院放射科影像设备</w:t>
      </w:r>
    </w:p>
    <w:p>
      <w:pPr>
        <w:pStyle w:val="45"/>
        <w:ind w:firstLine="0" w:firstLineChars="0"/>
        <w:jc w:val="center"/>
        <w:rPr>
          <w:rFonts w:ascii="宋体" w:hAnsi="宋体" w:cs="宋体"/>
        </w:rPr>
      </w:pPr>
      <w:r>
        <w:rPr>
          <w:rFonts w:hint="eastAsia" w:ascii="宋体" w:hAnsi="宋体" w:cs="宋体"/>
          <w:b/>
          <w:sz w:val="52"/>
          <w:szCs w:val="40"/>
        </w:rPr>
        <w:t>升级项目</w:t>
      </w:r>
    </w:p>
    <w:p>
      <w:pPr>
        <w:pStyle w:val="45"/>
        <w:ind w:firstLine="640"/>
        <w:rPr>
          <w:rFonts w:ascii="宋体" w:hAnsi="宋体" w:cs="宋体"/>
        </w:rPr>
      </w:pPr>
      <w:r>
        <w:rPr>
          <w:rFonts w:hint="eastAsia" w:ascii="宋体" w:hAnsi="宋体" w:cs="宋体"/>
        </w:rPr>
        <w:t xml:space="preserve">  </w:t>
      </w:r>
    </w:p>
    <w:p>
      <w:pPr>
        <w:pStyle w:val="45"/>
        <w:ind w:firstLine="0" w:firstLineChars="0"/>
        <w:jc w:val="center"/>
        <w:rPr>
          <w:rFonts w:ascii="宋体" w:hAnsi="宋体" w:cs="宋体"/>
          <w:b/>
          <w:sz w:val="84"/>
          <w:szCs w:val="84"/>
        </w:rPr>
      </w:pPr>
      <w:r>
        <w:rPr>
          <w:rFonts w:hint="eastAsia" w:ascii="宋体" w:hAnsi="宋体" w:cs="宋体"/>
          <w:b/>
          <w:bCs/>
          <w:sz w:val="40"/>
          <w:szCs w:val="40"/>
        </w:rPr>
        <w:drawing>
          <wp:anchor distT="0" distB="0" distL="114300" distR="114300" simplePos="0" relativeHeight="251659264" behindDoc="0" locked="0" layoutInCell="1" allowOverlap="1">
            <wp:simplePos x="0" y="0"/>
            <wp:positionH relativeFrom="column">
              <wp:posOffset>1052195</wp:posOffset>
            </wp:positionH>
            <wp:positionV relativeFrom="paragraph">
              <wp:posOffset>503555</wp:posOffset>
            </wp:positionV>
            <wp:extent cx="3333750" cy="2276475"/>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8"/>
                    <a:srcRect t="4016"/>
                    <a:stretch>
                      <a:fillRect/>
                    </a:stretch>
                  </pic:blipFill>
                  <pic:spPr>
                    <a:xfrm>
                      <a:off x="0" y="0"/>
                      <a:ext cx="3333750" cy="2276475"/>
                    </a:xfrm>
                    <a:prstGeom prst="rect">
                      <a:avLst/>
                    </a:prstGeom>
                    <a:noFill/>
                    <a:ln>
                      <a:noFill/>
                    </a:ln>
                  </pic:spPr>
                </pic:pic>
              </a:graphicData>
            </a:graphic>
          </wp:anchor>
        </w:drawing>
      </w:r>
      <w:r>
        <w:rPr>
          <w:rFonts w:hint="eastAsia" w:ascii="宋体" w:hAnsi="宋体" w:cs="宋体"/>
          <w:b/>
          <w:sz w:val="84"/>
          <w:szCs w:val="84"/>
        </w:rPr>
        <w:t>招标文件</w:t>
      </w:r>
    </w:p>
    <w:p>
      <w:pPr>
        <w:ind w:firstLine="3288" w:firstLineChars="1096"/>
        <w:rPr>
          <w:rFonts w:ascii="宋体" w:hAnsi="宋体" w:cs="宋体"/>
          <w:b/>
          <w:sz w:val="30"/>
          <w:szCs w:val="30"/>
        </w:rPr>
      </w:pPr>
      <w:r>
        <w:rPr>
          <w:rFonts w:hint="eastAsia" w:ascii="宋体" w:hAnsi="宋体" w:cs="宋体"/>
          <w:b/>
          <w:sz w:val="30"/>
          <w:szCs w:val="30"/>
        </w:rPr>
        <w:t xml:space="preserve"> </w:t>
      </w: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p>
    <w:p>
      <w:pPr>
        <w:ind w:firstLine="1800" w:firstLineChars="600"/>
        <w:rPr>
          <w:rFonts w:ascii="宋体" w:hAnsi="宋体" w:cs="宋体"/>
          <w:b/>
          <w:sz w:val="30"/>
          <w:szCs w:val="30"/>
        </w:rPr>
      </w:pPr>
      <w:r>
        <w:rPr>
          <w:rFonts w:hint="eastAsia" w:ascii="宋体" w:hAnsi="宋体" w:cs="宋体"/>
          <w:b/>
          <w:sz w:val="30"/>
          <w:szCs w:val="30"/>
        </w:rPr>
        <w:t>采购项目编号：汝财招标采购-2023-31</w:t>
      </w:r>
    </w:p>
    <w:p>
      <w:pPr>
        <w:rPr>
          <w:rFonts w:ascii="宋体" w:hAnsi="宋体" w:cs="宋体"/>
          <w:sz w:val="32"/>
          <w:szCs w:val="32"/>
        </w:rPr>
      </w:pPr>
      <w:r>
        <w:rPr>
          <w:rFonts w:hint="eastAsia" w:ascii="宋体" w:hAnsi="宋体" w:cs="宋体"/>
          <w:sz w:val="32"/>
          <w:szCs w:val="32"/>
        </w:rPr>
        <w:t xml:space="preserve"> </w:t>
      </w:r>
    </w:p>
    <w:p>
      <w:pPr>
        <w:rPr>
          <w:rFonts w:ascii="宋体" w:hAnsi="宋体" w:cs="宋体"/>
          <w:sz w:val="32"/>
          <w:szCs w:val="32"/>
        </w:rPr>
      </w:pPr>
      <w:r>
        <w:rPr>
          <w:rFonts w:hint="eastAsia" w:ascii="宋体" w:hAnsi="宋体" w:cs="宋体"/>
          <w:sz w:val="32"/>
          <w:szCs w:val="32"/>
        </w:rPr>
        <w:t xml:space="preserve"> </w:t>
      </w:r>
    </w:p>
    <w:p>
      <w:pPr>
        <w:spacing w:line="480" w:lineRule="auto"/>
        <w:ind w:firstLine="1225" w:firstLineChars="383"/>
        <w:rPr>
          <w:rFonts w:ascii="宋体" w:hAnsi="宋体" w:cs="宋体"/>
          <w:b/>
          <w:sz w:val="32"/>
          <w:szCs w:val="32"/>
        </w:rPr>
      </w:pPr>
    </w:p>
    <w:p>
      <w:pPr>
        <w:spacing w:line="480" w:lineRule="auto"/>
        <w:ind w:firstLine="1225" w:firstLineChars="383"/>
        <w:rPr>
          <w:rFonts w:ascii="宋体" w:hAnsi="宋体" w:cs="宋体"/>
          <w:b/>
          <w:sz w:val="32"/>
          <w:szCs w:val="32"/>
        </w:rPr>
      </w:pPr>
    </w:p>
    <w:p>
      <w:pPr>
        <w:spacing w:line="480" w:lineRule="auto"/>
        <w:ind w:firstLine="1225" w:firstLineChars="383"/>
        <w:rPr>
          <w:rFonts w:ascii="宋体" w:hAnsi="宋体" w:cs="宋体"/>
          <w:b/>
          <w:sz w:val="32"/>
          <w:szCs w:val="32"/>
        </w:rPr>
      </w:pPr>
      <w:r>
        <w:rPr>
          <w:rFonts w:hint="eastAsia" w:ascii="宋体" w:hAnsi="宋体" w:cs="宋体"/>
          <w:b/>
          <w:sz w:val="32"/>
          <w:szCs w:val="32"/>
        </w:rPr>
        <w:t>招   标   人：汝州市人民医院</w:t>
      </w:r>
    </w:p>
    <w:p>
      <w:pPr>
        <w:spacing w:line="480" w:lineRule="auto"/>
        <w:ind w:firstLine="1225" w:firstLineChars="383"/>
        <w:rPr>
          <w:rFonts w:ascii="宋体" w:hAnsi="宋体" w:cs="宋体"/>
          <w:b/>
          <w:sz w:val="32"/>
          <w:szCs w:val="32"/>
        </w:rPr>
      </w:pPr>
      <w:r>
        <w:rPr>
          <w:rFonts w:hint="eastAsia" w:ascii="宋体" w:hAnsi="宋体" w:cs="宋体"/>
          <w:b/>
          <w:sz w:val="32"/>
          <w:szCs w:val="32"/>
        </w:rPr>
        <w:t>招标代理机构：河南中普德项目管理有限公司</w:t>
      </w:r>
    </w:p>
    <w:p>
      <w:pPr>
        <w:spacing w:line="480" w:lineRule="auto"/>
        <w:ind w:firstLine="1280" w:firstLineChars="400"/>
        <w:rPr>
          <w:rFonts w:ascii="宋体" w:hAnsi="宋体" w:cs="宋体"/>
          <w:b/>
          <w:sz w:val="32"/>
          <w:szCs w:val="32"/>
        </w:rPr>
      </w:pPr>
      <w:r>
        <w:rPr>
          <w:rFonts w:hint="eastAsia" w:ascii="宋体" w:hAnsi="宋体" w:cs="宋体"/>
          <w:b/>
          <w:sz w:val="32"/>
          <w:szCs w:val="32"/>
        </w:rPr>
        <w:t>日        期：二〇二三年四月</w:t>
      </w:r>
    </w:p>
    <w:p>
      <w:pPr>
        <w:pStyle w:val="45"/>
        <w:spacing w:line="600" w:lineRule="auto"/>
        <w:ind w:firstLine="602"/>
        <w:jc w:val="center"/>
        <w:outlineLvl w:val="4"/>
        <w:rPr>
          <w:rFonts w:ascii="宋体" w:hAnsi="宋体" w:cs="宋体"/>
          <w:b/>
          <w:sz w:val="28"/>
          <w:szCs w:val="28"/>
        </w:rPr>
        <w:sectPr>
          <w:pgSz w:w="11907" w:h="16840"/>
          <w:pgMar w:top="1417" w:right="1417" w:bottom="1361" w:left="1417" w:header="737" w:footer="680" w:gutter="0"/>
          <w:cols w:space="720" w:num="1"/>
          <w:docGrid w:type="linesAndChars" w:linePitch="306" w:charSpace="-2"/>
        </w:sectPr>
      </w:pPr>
    </w:p>
    <w:p>
      <w:pPr>
        <w:pStyle w:val="45"/>
        <w:spacing w:line="600" w:lineRule="auto"/>
        <w:ind w:firstLine="602"/>
        <w:jc w:val="center"/>
        <w:outlineLvl w:val="4"/>
        <w:rPr>
          <w:rFonts w:ascii="宋体" w:hAnsi="宋体" w:cs="宋体"/>
          <w:b/>
          <w:sz w:val="28"/>
          <w:szCs w:val="28"/>
        </w:rPr>
      </w:pPr>
      <w:r>
        <w:rPr>
          <w:rFonts w:hint="eastAsia" w:ascii="宋体" w:hAnsi="宋体" w:cs="宋体"/>
          <w:b/>
          <w:sz w:val="28"/>
          <w:szCs w:val="28"/>
        </w:rPr>
        <w:t>目  录</w:t>
      </w:r>
    </w:p>
    <w:p>
      <w:pPr>
        <w:pStyle w:val="32"/>
        <w:tabs>
          <w:tab w:val="right" w:leader="dot" w:pos="9073"/>
          <w:tab w:val="clear" w:pos="9214"/>
        </w:tabs>
        <w:rPr>
          <w:rFonts w:ascii="宋体" w:hAnsi="宋体" w:cs="宋体"/>
        </w:rPr>
      </w:pPr>
      <w:r>
        <w:rPr>
          <w:rFonts w:hint="eastAsia" w:ascii="宋体" w:hAnsi="宋体" w:cs="宋体"/>
        </w:rPr>
        <w:fldChar w:fldCharType="begin"/>
      </w:r>
      <w:r>
        <w:rPr>
          <w:rFonts w:hint="eastAsia" w:ascii="宋体" w:hAnsi="宋体" w:cs="宋体"/>
        </w:rPr>
        <w:instrText xml:space="preserve"> TOC \o "1-1" \h \z \u </w:instrText>
      </w:r>
      <w:r>
        <w:rPr>
          <w:rFonts w:hint="eastAsia" w:ascii="宋体" w:hAnsi="宋体" w:cs="宋体"/>
        </w:rPr>
        <w:fldChar w:fldCharType="separate"/>
      </w:r>
      <w:r>
        <w:fldChar w:fldCharType="begin"/>
      </w:r>
      <w:r>
        <w:instrText xml:space="preserve"> HYPERLINK \l "_Toc21629" </w:instrText>
      </w:r>
      <w:r>
        <w:fldChar w:fldCharType="separate"/>
      </w:r>
      <w:r>
        <w:rPr>
          <w:rFonts w:hint="eastAsia" w:ascii="宋体" w:hAnsi="宋体" w:cs="宋体"/>
          <w:szCs w:val="32"/>
        </w:rPr>
        <w:t>第一章  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_Toc21629 \h </w:instrText>
      </w:r>
      <w:r>
        <w:rPr>
          <w:rFonts w:hint="eastAsia" w:ascii="宋体" w:hAnsi="宋体" w:cs="宋体"/>
        </w:rPr>
        <w:fldChar w:fldCharType="separate"/>
      </w:r>
      <w:r>
        <w:rPr>
          <w:rFonts w:hint="eastAsia" w:ascii="宋体" w:hAnsi="宋体" w:cs="宋体"/>
        </w:rPr>
        <w:t>2</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"_Toc18196" </w:instrText>
      </w:r>
      <w:r>
        <w:fldChar w:fldCharType="separate"/>
      </w:r>
      <w:r>
        <w:rPr>
          <w:rFonts w:hint="eastAsia" w:ascii="宋体" w:hAnsi="宋体" w:cs="宋体"/>
          <w:szCs w:val="32"/>
        </w:rPr>
        <w:t>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_Toc18196 \h </w:instrText>
      </w:r>
      <w:r>
        <w:rPr>
          <w:rFonts w:hint="eastAsia" w:ascii="宋体" w:hAnsi="宋体" w:cs="宋体"/>
        </w:rPr>
        <w:fldChar w:fldCharType="separate"/>
      </w:r>
      <w:r>
        <w:rPr>
          <w:rFonts w:hint="eastAsia" w:ascii="宋体" w:hAnsi="宋体" w:cs="宋体"/>
        </w:rPr>
        <w:t>6</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"_Toc13880" </w:instrText>
      </w:r>
      <w:r>
        <w:fldChar w:fldCharType="separate"/>
      </w:r>
      <w:r>
        <w:rPr>
          <w:rFonts w:hint="eastAsia" w:ascii="宋体" w:hAnsi="宋体" w:cs="宋体"/>
        </w:rPr>
        <w:t>第三章  采购清单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_Toc13880 \h </w:instrText>
      </w:r>
      <w:r>
        <w:rPr>
          <w:rFonts w:hint="eastAsia" w:ascii="宋体" w:hAnsi="宋体" w:cs="宋体"/>
        </w:rPr>
        <w:fldChar w:fldCharType="separate"/>
      </w:r>
      <w:r>
        <w:rPr>
          <w:rFonts w:hint="eastAsia" w:ascii="宋体" w:hAnsi="宋体" w:cs="宋体"/>
        </w:rPr>
        <w:t>24</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"_Toc22022" </w:instrText>
      </w:r>
      <w:r>
        <w:fldChar w:fldCharType="separate"/>
      </w:r>
      <w:r>
        <w:rPr>
          <w:rFonts w:hint="eastAsia" w:ascii="宋体" w:hAnsi="宋体" w:cs="宋体"/>
        </w:rPr>
        <w:t>第四章  合同条款及格式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_Toc22022 \h </w:instrText>
      </w:r>
      <w:r>
        <w:rPr>
          <w:rFonts w:hint="eastAsia" w:ascii="宋体" w:hAnsi="宋体" w:cs="宋体"/>
        </w:rPr>
        <w:fldChar w:fldCharType="separate"/>
      </w:r>
      <w:r>
        <w:rPr>
          <w:rFonts w:hint="eastAsia" w:ascii="宋体" w:hAnsi="宋体" w:cs="宋体"/>
        </w:rPr>
        <w:t>42</w:t>
      </w:r>
      <w:r>
        <w:rPr>
          <w:rFonts w:hint="eastAsia" w:ascii="宋体" w:hAnsi="宋体" w:cs="宋体"/>
        </w:rPr>
        <w:fldChar w:fldCharType="end"/>
      </w:r>
      <w:r>
        <w:rPr>
          <w:rFonts w:hint="eastAsia" w:ascii="宋体" w:hAnsi="宋体" w:cs="宋体"/>
        </w:rPr>
        <w:fldChar w:fldCharType="end"/>
      </w:r>
    </w:p>
    <w:p>
      <w:pPr>
        <w:pStyle w:val="32"/>
        <w:tabs>
          <w:tab w:val="right" w:leader="dot" w:pos="9073"/>
          <w:tab w:val="clear" w:pos="9214"/>
        </w:tabs>
        <w:rPr>
          <w:rFonts w:ascii="宋体" w:hAnsi="宋体" w:cs="宋体"/>
        </w:rPr>
      </w:pPr>
      <w:r>
        <w:fldChar w:fldCharType="begin"/>
      </w:r>
      <w:r>
        <w:instrText xml:space="preserve"> HYPERLINK \l "_Toc10529" </w:instrText>
      </w:r>
      <w:r>
        <w:fldChar w:fldCharType="separate"/>
      </w:r>
      <w:r>
        <w:rPr>
          <w:rFonts w:hint="eastAsia" w:ascii="宋体" w:hAnsi="宋体" w:cs="宋体"/>
        </w:rPr>
        <w:t>第五章  投标文件格式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_Toc10529 \h </w:instrText>
      </w:r>
      <w:r>
        <w:rPr>
          <w:rFonts w:hint="eastAsia" w:ascii="宋体" w:hAnsi="宋体" w:cs="宋体"/>
        </w:rPr>
        <w:fldChar w:fldCharType="separate"/>
      </w:r>
      <w:r>
        <w:rPr>
          <w:rFonts w:hint="eastAsia" w:ascii="宋体" w:hAnsi="宋体" w:cs="宋体"/>
        </w:rPr>
        <w:t>45</w:t>
      </w:r>
      <w:r>
        <w:rPr>
          <w:rFonts w:hint="eastAsia" w:ascii="宋体" w:hAnsi="宋体" w:cs="宋体"/>
        </w:rPr>
        <w:fldChar w:fldCharType="end"/>
      </w:r>
      <w:r>
        <w:rPr>
          <w:rFonts w:hint="eastAsia" w:ascii="宋体" w:hAnsi="宋体" w:cs="宋体"/>
        </w:rPr>
        <w:fldChar w:fldCharType="end"/>
      </w:r>
    </w:p>
    <w:p>
      <w:pPr>
        <w:pStyle w:val="32"/>
        <w:outlineLvl w:val="4"/>
        <w:rPr>
          <w:rFonts w:ascii="宋体" w:hAnsi="宋体" w:cs="宋体"/>
        </w:rPr>
      </w:pPr>
      <w:r>
        <w:rPr>
          <w:rFonts w:hint="eastAsia" w:ascii="宋体" w:hAnsi="宋体" w:cs="宋体"/>
        </w:rPr>
        <w:fldChar w:fldCharType="end"/>
      </w: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rPr>
          <w:rFonts w:ascii="宋体" w:hAnsi="宋体" w:cs="宋体"/>
        </w:rPr>
      </w:pPr>
    </w:p>
    <w:p>
      <w:pPr>
        <w:pStyle w:val="44"/>
        <w:ind w:firstLine="240"/>
        <w:rPr>
          <w:rFonts w:ascii="宋体" w:hAnsi="宋体" w:cs="宋体"/>
        </w:rPr>
      </w:pPr>
    </w:p>
    <w:p>
      <w:pPr>
        <w:pStyle w:val="32"/>
        <w:rPr>
          <w:rFonts w:ascii="宋体" w:hAnsi="宋体" w:cs="宋体"/>
        </w:rPr>
      </w:pPr>
    </w:p>
    <w:p>
      <w:pPr>
        <w:pStyle w:val="32"/>
        <w:rPr>
          <w:rFonts w:ascii="宋体" w:hAnsi="宋体" w:cs="宋体"/>
        </w:rPr>
      </w:pPr>
    </w:p>
    <w:p>
      <w:pPr>
        <w:pStyle w:val="32"/>
        <w:rPr>
          <w:rFonts w:ascii="宋体" w:hAnsi="宋体" w:cs="宋体"/>
        </w:rPr>
      </w:pPr>
    </w:p>
    <w:p>
      <w:pPr>
        <w:pStyle w:val="32"/>
        <w:rPr>
          <w:rFonts w:ascii="宋体" w:hAnsi="宋体" w:cs="宋体"/>
        </w:rPr>
      </w:pPr>
    </w:p>
    <w:p>
      <w:pPr>
        <w:pStyle w:val="4"/>
        <w:jc w:val="center"/>
        <w:rPr>
          <w:rFonts w:ascii="宋体" w:hAnsi="宋体" w:cs="宋体"/>
          <w:sz w:val="32"/>
          <w:szCs w:val="32"/>
        </w:rPr>
      </w:pPr>
      <w:bookmarkStart w:id="0" w:name="_Toc525062065"/>
      <w:bookmarkEnd w:id="0"/>
      <w:bookmarkStart w:id="1" w:name="_Toc21629"/>
      <w:r>
        <w:rPr>
          <w:rFonts w:hint="eastAsia" w:ascii="宋体" w:hAnsi="宋体" w:cs="宋体"/>
          <w:sz w:val="32"/>
          <w:szCs w:val="32"/>
        </w:rPr>
        <w:t>第一章  招标公告</w:t>
      </w:r>
      <w:bookmarkEnd w:id="1"/>
    </w:p>
    <w:p>
      <w:pPr>
        <w:widowControl/>
        <w:spacing w:line="500" w:lineRule="exact"/>
        <w:jc w:val="center"/>
        <w:rPr>
          <w:rFonts w:ascii="宋体" w:hAnsi="宋体" w:cs="宋体"/>
          <w:b/>
          <w:bCs/>
          <w:sz w:val="32"/>
          <w:szCs w:val="22"/>
        </w:rPr>
      </w:pPr>
      <w:bookmarkStart w:id="2" w:name="_Toc525062066"/>
      <w:bookmarkEnd w:id="2"/>
      <w:r>
        <w:rPr>
          <w:rFonts w:hint="eastAsia" w:ascii="宋体" w:hAnsi="宋体" w:cs="宋体"/>
          <w:b/>
          <w:bCs/>
          <w:sz w:val="32"/>
          <w:szCs w:val="22"/>
        </w:rPr>
        <w:t>汝州市人民医院放射科影像设备升级项目</w:t>
      </w:r>
    </w:p>
    <w:p>
      <w:pPr>
        <w:widowControl/>
        <w:spacing w:line="500" w:lineRule="exact"/>
        <w:jc w:val="center"/>
        <w:rPr>
          <w:rFonts w:ascii="宋体" w:hAnsi="宋体" w:cs="宋体"/>
          <w:b/>
          <w:bCs/>
          <w:kern w:val="0"/>
          <w:sz w:val="32"/>
          <w:szCs w:val="22"/>
        </w:rPr>
      </w:pPr>
      <w:r>
        <w:rPr>
          <w:rFonts w:hint="eastAsia" w:ascii="宋体" w:hAnsi="宋体" w:cs="宋体"/>
          <w:b/>
          <w:bCs/>
          <w:kern w:val="0"/>
          <w:sz w:val="32"/>
          <w:szCs w:val="22"/>
        </w:rPr>
        <w:t>招标公告</w:t>
      </w:r>
    </w:p>
    <w:p>
      <w:pPr>
        <w:shd w:val="clear" w:color="auto" w:fill="FFFFFF"/>
        <w:wordWrap w:val="0"/>
        <w:spacing w:line="360" w:lineRule="auto"/>
        <w:rPr>
          <w:rFonts w:ascii="宋体" w:hAnsi="宋体" w:cs="宋体"/>
          <w:b/>
          <w:bCs/>
          <w:color w:val="000000" w:themeColor="text1"/>
          <w:sz w:val="24"/>
          <w:szCs w:val="24"/>
          <w:shd w:val="clear" w:color="auto" w:fill="FFFFFF"/>
          <w14:textFill>
            <w14:solidFill>
              <w14:schemeClr w14:val="tx1"/>
            </w14:solidFill>
          </w14:textFill>
        </w:rPr>
      </w:pPr>
      <w:r>
        <w:rPr>
          <w:rFonts w:hint="eastAsia" w:ascii="宋体" w:hAnsi="宋体" w:cs="宋体"/>
          <w:b/>
          <w:bCs/>
          <w:color w:val="000000" w:themeColor="text1"/>
          <w:sz w:val="24"/>
          <w:szCs w:val="24"/>
          <w:shd w:val="clear" w:color="auto" w:fill="FFFFFF"/>
          <w14:textFill>
            <w14:solidFill>
              <w14:schemeClr w14:val="tx1"/>
            </w14:solidFill>
          </w14:textFill>
        </w:rPr>
        <w:t>项目概况</w:t>
      </w:r>
    </w:p>
    <w:p>
      <w:pPr>
        <w:shd w:val="clear" w:color="auto" w:fill="FFFFFF"/>
        <w:wordWrap w:val="0"/>
        <w:spacing w:line="360" w:lineRule="auto"/>
        <w:ind w:firstLine="480" w:firstLineChars="200"/>
        <w:rPr>
          <w:rFonts w:ascii="宋体" w:hAnsi="宋体" w:cs="宋体"/>
          <w:color w:val="000000" w:themeColor="text1"/>
          <w:sz w:val="24"/>
          <w:szCs w:val="24"/>
          <w:shd w:val="clear" w:color="auto" w:fill="FFFFFF"/>
          <w14:textFill>
            <w14:solidFill>
              <w14:schemeClr w14:val="tx1"/>
            </w14:solidFill>
          </w14:textFill>
        </w:rPr>
      </w:pPr>
      <w:r>
        <w:rPr>
          <w:rFonts w:hint="eastAsia" w:ascii="宋体" w:hAnsi="宋体" w:cs="宋体"/>
          <w:color w:val="000000" w:themeColor="text1"/>
          <w:sz w:val="24"/>
          <w:szCs w:val="24"/>
          <w:shd w:val="clear" w:color="auto" w:fill="FFFFFF"/>
          <w14:textFill>
            <w14:solidFill>
              <w14:schemeClr w14:val="tx1"/>
            </w14:solidFill>
          </w14:textFill>
        </w:rPr>
        <w:t>汝州市人民医院放射科影像设备升级项目的潜在供应商应在全国公共资源交易平台（河南省·汝州市）（网址：www.rzggzy.com）电子交易系统上传获取招标文件，并于2023年06月01日08时30分（北京时间）前递交投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一、项目基本情况</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1.采购项目编号：汝财招标采购-2023-31</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2.采购项目名称：汝州市人民医院放射科影像设备升级项目</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3.采购方式：公开招标</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4.预算金额：51000000.00元</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最高限价：51000000.00元</w:t>
      </w:r>
    </w:p>
    <w:tbl>
      <w:tblPr>
        <w:tblStyle w:val="46"/>
        <w:tblW w:w="100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099"/>
        <w:gridCol w:w="3634"/>
        <w:gridCol w:w="2068"/>
        <w:gridCol w:w="23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序号</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包号</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包名称</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包预算（元）</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jc w:val="center"/>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包最高限价（元）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5"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高端核磁共振（医用磁共振成像系统）设备采购</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28000000.00</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28000000.00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4" w:hRule="atLeast"/>
          <w:jc w:val="center"/>
        </w:trPr>
        <w:tc>
          <w:tcPr>
            <w:tcW w:w="917" w:type="dxa"/>
            <w:tcBorders>
              <w:top w:val="single" w:color="auto" w:sz="4" w:space="0"/>
              <w:left w:val="single" w:color="auto" w:sz="4" w:space="0"/>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p>
        </w:tc>
        <w:tc>
          <w:tcPr>
            <w:tcW w:w="1099"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p>
        </w:tc>
        <w:tc>
          <w:tcPr>
            <w:tcW w:w="3634"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高端CT（X射线计算机体层摄影设备）设备采购</w:t>
            </w:r>
          </w:p>
        </w:tc>
        <w:tc>
          <w:tcPr>
            <w:tcW w:w="206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23000000.00</w:t>
            </w:r>
          </w:p>
        </w:tc>
        <w:tc>
          <w:tcPr>
            <w:tcW w:w="2318" w:type="dxa"/>
            <w:tcBorders>
              <w:top w:val="single" w:color="auto" w:sz="4" w:space="0"/>
              <w:left w:val="nil"/>
              <w:bottom w:val="single" w:color="auto" w:sz="4" w:space="0"/>
              <w:right w:val="single" w:color="auto" w:sz="4" w:space="0"/>
            </w:tcBorders>
            <w:vAlign w:val="center"/>
          </w:tcPr>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23000000.00</w:t>
            </w:r>
          </w:p>
        </w:tc>
      </w:tr>
    </w:tbl>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5.采购需求（包括但不限于标的的名称、数量、简要技术需求或服务要求等）</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5.1采购内容：高端核磁共振、高端CT设备采购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5.2资金来源：自筹资金</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5.3供货期及安装：合同签订后，接到甲方通知后60日历天；</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5.4质量要求：符合国家和行业现行标准规定；</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5.5质保期：1年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5.6招标范围：采购清单所有内容（详见招标文件）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5.7标段划分：本次招标共分为2个标段</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第一标段：高端核磁共振（医用磁共振成像系统）设备采购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第二标段：高端CT（X射线计算机体层摄影设备）设备采购</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6.合同履行期限：合同签订后，接到甲方通知后60日历天</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7.本项目是否接受联合体投标：否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8.是否接受进口产品：否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9.是否专门面向中小企业：否</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二、申请人资格要求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1.满足《中华人民共和国政府采购法》第二十二条规定；</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2.落实政府采购政策满足的资格要求：/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3.本项目的特定资格要求</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3.1供应商具有独立承担民事责任的能力，具备有效的营业执照、组织机构代码证、税务登记证或三证合一的营业执照；</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3.2生产企业具有国家药品监督管理部门颁发的相对应的医疗器械生产许可证、医疗器械注册证；代理商（经销商）需提供第三类医疗器械经营许可证；</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3.3供应商具有良好的商业信誉和健全的财务制度（提供2022年度经审计合格的财务审计报告，若供应商为新成立企业，提供近三个月财务报表或其基本户开户银行出具的资信证明）；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3.4有依法缴纳税收和社会保障资金的良好记录(提供2023年1月以来任意一个月的公司纳税证明和社保缴纳证明)；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3.5供应商应出具参加政府采购活动近三年内在经营活动中没有重大违法记录的书面声明；</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3.6供应商具有履行合同所必需的设备和专业技术能力（提供承诺函,格式自拟）；</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3.7供应商需提供“中国执行信息公开网”网站的“失信被执行人”、“信用中国”网站的“重大税收违法失信主体”、“中国政府采购”网站的“政府采购严重违法失信行为记录名单”。（执行财库【2016】125 号文）查询网页截图，对列入失信被执行人、重大税收违法失信主体、政府采购严重违法失信行为记录名单的供应商，取消其投标申请。</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3.8本项目不接受联合体投标。</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三、获取招标文件</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1.时间：2023年05月10日至2023年 05月31日，每天上午00：00至11:59，下午12:00至23:59（北京时间，法定节假日除外。）</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2.地点：全国公共资源交易平台（河南省•汝州市）公共资源交易系统（www.rzggzy.com）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3.方式：</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3.1供应商须注册成为《全国公共资源交易平台（河南省·汝州市）网站》会员并取得CA密钥。详见：</w:t>
      </w:r>
      <w:r>
        <w:fldChar w:fldCharType="begin"/>
      </w:r>
      <w:r>
        <w:instrText xml:space="preserve"> HYPERLINK "http://www.rzggzy.com/tzgg/10490.jhtml"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http://www.rzggzy.com/tzgg/10490.jhtml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。供应商在会员诚信库中自行上传企业相关资质证明材料，并自行承担真伪责任。供应商会员诚信库信息作为资格审查和评标依据，在中心网站予以公示接受社会监督。 3.2供应商凭CA密钥登录会员系统按要求下载电子招标文件，获取招标文件后，在会员系统“组件下载”中下载最新投标文件制作工具客户端，并使用投标文件制作工具制作电子投标文件。具操作链接：</w:t>
      </w:r>
      <w:r>
        <w:fldChar w:fldCharType="begin"/>
      </w:r>
      <w:r>
        <w:instrText xml:space="preserve"> HYPERLINK "http://www.rzggzy.com/zwjxz/10248.jhtml"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http://www.rzggzy.com/zwjxz/10248.jhtml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4.售价：0元</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四、投标截止时间及地点</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1.时间：2023年06月01日8时30分（北京时间）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2.地点：全国公共资源交易平台（河南省•汝州市）公共资源交易系统（www.rzggzy.com）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五、开标时间及地点</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1.时间：2023年06月01日8时30分（北京时间）</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2.地点：汝州市公共资源交易中心301室</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六、发布公告的媒介及招标公告期限</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本次招标公告在《河南省政府采购网》、《汝州市政府采购网》、《全国公共资源交易平台（河南省•汝州市）公共资源交易系统（www.rzggzy.com）、《河南省电子招标投标公共服务平台》上发布。招标公告期限为五个工作日。</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七、其他补充事宜</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1. 受理投诉监督管理部门：汝州市财政局</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联系人：王梦阳   联系电话：0375-6862799</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邮箱地址：rzcgb406@163.com</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联系地址：汝州市望嵩中路116号</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本项目采用“不见面”开标方式，供应商只需要递交电子投标文件，无需到达现场提交原件资料、无需到现场参加开标会议。供应商应当在开标会议活动开始前,登录开标会议大厅,在线准时参加开标会议活动并进行电子版投标文件解密.（具体开标注意事项及操作指南详见</w:t>
      </w:r>
      <w:r>
        <w:fldChar w:fldCharType="begin"/>
      </w:r>
      <w:r>
        <w:instrText xml:space="preserve"> HYPERLINK "http://www.rzggzy.com/zwjxz/10492.jhtml" </w:instrText>
      </w:r>
      <w:r>
        <w:fldChar w:fldCharType="separate"/>
      </w:r>
      <w:r>
        <w:rPr>
          <w:rFonts w:hint="eastAsia" w:ascii="宋体" w:hAnsi="宋体" w:cs="宋体"/>
          <w:bCs/>
          <w:color w:val="000000" w:themeColor="text1"/>
          <w:sz w:val="24"/>
          <w:szCs w:val="24"/>
          <w14:textFill>
            <w14:solidFill>
              <w14:schemeClr w14:val="tx1"/>
            </w14:solidFill>
          </w14:textFill>
        </w:rPr>
        <w:t>http://www.rzggzy.com/zwjxz/10492.jhtml</w:t>
      </w:r>
      <w:r>
        <w:rPr>
          <w:rFonts w:hint="eastAsia" w:ascii="宋体" w:hAnsi="宋体" w:cs="宋体"/>
          <w:bCs/>
          <w:color w:val="000000" w:themeColor="text1"/>
          <w:sz w:val="24"/>
          <w:szCs w:val="24"/>
          <w14:textFill>
            <w14:solidFill>
              <w14:schemeClr w14:val="tx1"/>
            </w14:solidFill>
          </w14:textFill>
        </w:rPr>
        <w:fldChar w:fldCharType="end"/>
      </w:r>
      <w:r>
        <w:rPr>
          <w:rFonts w:hint="eastAsia" w:ascii="宋体" w:hAnsi="宋体" w:cs="宋体"/>
          <w:bCs/>
          <w:color w:val="000000" w:themeColor="text1"/>
          <w:sz w:val="24"/>
          <w:szCs w:val="24"/>
          <w14:textFill>
            <w14:solidFill>
              <w14:schemeClr w14:val="tx1"/>
            </w14:solidFill>
          </w14:textFill>
        </w:rPr>
        <w:t>）。</w:t>
      </w:r>
    </w:p>
    <w:p>
      <w:pPr>
        <w:shd w:val="clear" w:color="auto" w:fill="FFFFFF"/>
        <w:wordWrap w:val="0"/>
        <w:spacing w:line="360" w:lineRule="auto"/>
        <w:ind w:firstLine="480" w:firstLineChars="200"/>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八、凡对本次招标提出询问，请按照以下方式联系</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1.采购人信息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名称：汝州市人民医院</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地址：汝州市朝阳路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联系人：赵女士 </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联系方式：15637579928</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2.采购代理机构信息</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名称：河南中普德项目管理有限公司</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地址：河南省郑州市科学大道65号</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 xml:space="preserve">联系人：李先生         </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联系方式：18937190851</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3.项目联系方式</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项目联系人：李先生</w:t>
      </w:r>
    </w:p>
    <w:p>
      <w:pPr>
        <w:shd w:val="clear" w:color="auto" w:fill="FFFFFF"/>
        <w:wordWrap w:val="0"/>
        <w:spacing w:line="360" w:lineRule="auto"/>
        <w:ind w:firstLine="480" w:firstLineChars="20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联系方式：18937190851</w:t>
      </w:r>
    </w:p>
    <w:p>
      <w:pPr>
        <w:wordWrap w:val="0"/>
        <w:spacing w:line="480" w:lineRule="auto"/>
        <w:jc w:val="center"/>
        <w:rPr>
          <w:rFonts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520" w:lineRule="exact"/>
        <w:ind w:firstLine="480" w:firstLineChars="200"/>
        <w:rPr>
          <w:rFonts w:ascii="宋体" w:hAnsi="宋体" w:cs="宋体"/>
          <w:sz w:val="24"/>
          <w:szCs w:val="24"/>
        </w:rPr>
      </w:pP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r>
        <w:rPr>
          <w:rFonts w:hint="eastAsia" w:ascii="仿宋" w:hAnsi="仿宋" w:eastAsia="仿宋" w:cs="仿宋"/>
          <w:color w:val="000000" w:themeColor="text1"/>
          <w:sz w:val="24"/>
          <w:szCs w:val="24"/>
          <w14:textFill>
            <w14:solidFill>
              <w14:schemeClr w14:val="tx1"/>
            </w14:solidFill>
          </w14:textFill>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r>
        <w:rPr>
          <w:rFonts w:hint="eastAsia" w:ascii="宋体" w:hAnsi="宋体" w:cs="宋体"/>
          <w:sz w:val="24"/>
          <w:szCs w:val="24"/>
        </w:rPr>
        <w:t xml:space="preserve"> </w:t>
      </w: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sz w:val="24"/>
          <w:szCs w:val="24"/>
        </w:rPr>
      </w:pPr>
    </w:p>
    <w:p>
      <w:pPr>
        <w:shd w:val="clear" w:color="auto" w:fill="FFFFFF"/>
        <w:spacing w:line="360" w:lineRule="auto"/>
        <w:ind w:firstLine="420" w:firstLineChars="200"/>
        <w:rPr>
          <w:rFonts w:ascii="宋体" w:hAnsi="宋体" w:cs="宋体"/>
        </w:rPr>
      </w:pPr>
    </w:p>
    <w:p>
      <w:pPr>
        <w:shd w:val="clear" w:color="auto" w:fill="FFFFFF"/>
        <w:spacing w:line="520" w:lineRule="exact"/>
        <w:ind w:firstLine="480" w:firstLineChars="200"/>
        <w:rPr>
          <w:rFonts w:ascii="宋体" w:hAnsi="宋体" w:cs="宋体"/>
        </w:rPr>
      </w:pPr>
      <w:r>
        <w:rPr>
          <w:rFonts w:hint="eastAsia" w:ascii="宋体" w:hAnsi="宋体" w:cs="宋体"/>
          <w:sz w:val="24"/>
          <w:szCs w:val="24"/>
        </w:rPr>
        <w:t xml:space="preserve">                       </w:t>
      </w:r>
      <w:r>
        <w:rPr>
          <w:rFonts w:hint="eastAsia" w:ascii="宋体" w:hAnsi="宋体" w:cs="宋体"/>
        </w:rPr>
        <w:t xml:space="preserve"> </w:t>
      </w:r>
    </w:p>
    <w:p>
      <w:pPr>
        <w:pStyle w:val="4"/>
        <w:jc w:val="center"/>
        <w:rPr>
          <w:rFonts w:ascii="宋体" w:hAnsi="宋体" w:cs="宋体"/>
          <w:sz w:val="32"/>
          <w:szCs w:val="32"/>
        </w:rPr>
      </w:pPr>
      <w:bookmarkStart w:id="3" w:name="_Toc18196"/>
      <w:r>
        <w:rPr>
          <w:rFonts w:hint="eastAsia" w:ascii="宋体" w:hAnsi="宋体" w:cs="宋体"/>
          <w:sz w:val="32"/>
          <w:szCs w:val="32"/>
        </w:rPr>
        <w:t>第二章  供应商须知</w:t>
      </w:r>
      <w:bookmarkEnd w:id="3"/>
      <w:bookmarkStart w:id="4" w:name="_Toc525062067"/>
      <w:bookmarkEnd w:id="4"/>
      <w:bookmarkStart w:id="5" w:name="_Toc21140"/>
      <w:bookmarkEnd w:id="5"/>
      <w:bookmarkStart w:id="6" w:name="_Toc19800"/>
      <w:bookmarkEnd w:id="6"/>
      <w:bookmarkStart w:id="7" w:name="_Toc193772265"/>
      <w:bookmarkEnd w:id="7"/>
    </w:p>
    <w:p>
      <w:pPr>
        <w:pStyle w:val="6"/>
        <w:jc w:val="center"/>
        <w:rPr>
          <w:rFonts w:ascii="宋体" w:hAnsi="宋体" w:cs="宋体"/>
          <w:sz w:val="28"/>
        </w:rPr>
      </w:pPr>
      <w:r>
        <w:rPr>
          <w:rFonts w:hint="eastAsia" w:ascii="宋体" w:hAnsi="宋体" w:cs="宋体"/>
          <w:sz w:val="28"/>
        </w:rPr>
        <w:t>供应商须知前附表</w:t>
      </w:r>
    </w:p>
    <w:tbl>
      <w:tblPr>
        <w:tblStyle w:val="46"/>
        <w:tblW w:w="98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805"/>
        <w:gridCol w:w="7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序号</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项  目</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采购项目编号</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汝财招标采购-2023-31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采购项目名称</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汝州市人民医院放射科影像设备升级项目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9" w:hRule="atLeast"/>
          <w:jc w:val="center"/>
        </w:trPr>
        <w:tc>
          <w:tcPr>
            <w:tcW w:w="725" w:type="dxa"/>
            <w:tcBorders>
              <w:top w:val="nil"/>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3</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汝州市人民医院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jc w:val="center"/>
        </w:trPr>
        <w:tc>
          <w:tcPr>
            <w:tcW w:w="725" w:type="dxa"/>
            <w:tcBorders>
              <w:top w:val="nil"/>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4</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采购代理机构</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河南中普德项目管理有限公司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5</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采购方式</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6</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资金来源</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自筹资金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7</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采购范围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采购清单所有内容（详见招标文件）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8</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资金落实情况</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0"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9</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供货期及安装</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合同签订后，接到甲方通知后60日历天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10</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质量标准</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符合国家和行业现行标准规定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质保期</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 xml:space="preserve"> 1年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交货地点</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采购人指定地点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13</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投标有效期</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投标文件递交截止之日起60日历天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14</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供应商</w:t>
            </w:r>
          </w:p>
          <w:p>
            <w:pPr>
              <w:rPr>
                <w:rFonts w:ascii="宋体" w:hAnsi="宋体" w:cs="宋体"/>
                <w:sz w:val="24"/>
                <w:szCs w:val="24"/>
              </w:rPr>
            </w:pPr>
            <w:r>
              <w:rPr>
                <w:rFonts w:hint="eastAsia" w:ascii="宋体" w:hAnsi="宋体" w:cs="宋体"/>
                <w:sz w:val="24"/>
                <w:szCs w:val="24"/>
              </w:rPr>
              <w:t>资格要求</w:t>
            </w:r>
          </w:p>
        </w:tc>
        <w:tc>
          <w:tcPr>
            <w:tcW w:w="7349" w:type="dxa"/>
            <w:tcBorders>
              <w:top w:val="single" w:color="auto" w:sz="4" w:space="0"/>
              <w:left w:val="single" w:color="auto" w:sz="4" w:space="0"/>
              <w:bottom w:val="single" w:color="auto" w:sz="4" w:space="0"/>
              <w:right w:val="single" w:color="auto" w:sz="4" w:space="0"/>
            </w:tcBorders>
            <w:vAlign w:val="center"/>
          </w:tcPr>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1.满足《中华人民共和国政府采购法》第二十二条规定；</w:t>
            </w:r>
          </w:p>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2.落实政府采购政策满足的资格要求：/</w:t>
            </w:r>
          </w:p>
          <w:p>
            <w:pPr>
              <w:widowControl/>
              <w:shd w:val="clear" w:color="auto" w:fill="FFFFFF"/>
              <w:wordWrap w:val="0"/>
              <w:spacing w:line="500" w:lineRule="exact"/>
              <w:ind w:firstLine="420" w:firstLineChars="175"/>
              <w:jc w:val="left"/>
              <w:rPr>
                <w:rFonts w:ascii="宋体" w:hAnsi="宋体" w:cs="宋体"/>
                <w:b/>
                <w:bCs/>
                <w:sz w:val="24"/>
                <w:szCs w:val="24"/>
              </w:rPr>
            </w:pPr>
            <w:r>
              <w:rPr>
                <w:rFonts w:hint="eastAsia" w:ascii="宋体" w:hAnsi="宋体" w:cs="宋体"/>
                <w:b/>
                <w:bCs/>
                <w:sz w:val="24"/>
                <w:szCs w:val="24"/>
              </w:rPr>
              <w:t>3.本项目的特定资格要求</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3.1供应商具有独立承担民事责任的能力，具备有效的营业执照、组织机构代码证、税务登记证或三证合一的营业执照；</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3.2生产企业具有国家药品监督管理部门颁发的相对应的医疗器械生产许可证、医疗器械注册证；代理商（经销商）需提供第三类医疗器械经营许可证；</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3.3供应商具有良好的商业信誉和健全的财务制度（提供2022年度经审计合格的财务审计报告，若供应商为新成立企业，提供近三个月财务报表或其基本户开户银行出具的资信证明）；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3.4有依法缴纳税收和社会保障资金的良好记录(提供2023年1月以来任意一个月的公司纳税证明和社保缴纳证明)；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3.5供应商应出具参加政府采购活动近三年内在经营活动中没有重大违法记录的书面声明；</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3.6供应商具有履行合同所必需的设备和专业技术能力（提供承诺函,格式自拟）；</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3.7供应商需提供“中国执行信息公开网”网站的“失信被执行人”、“信用中国”网站的“重大税收违法失信主体”、“中国政府采购”网站的“政府采购严重违法失信行为记录名单”。（执行财库【2016】125 号文）查询网页截图，对列入失信被执行人、重大税收违法失信主体、政府采购严重违法失信行为记录名单的供应商，取消其投标申请。</w:t>
            </w:r>
          </w:p>
          <w:p>
            <w:pPr>
              <w:widowControl/>
              <w:shd w:val="clear" w:color="auto" w:fill="FFFFFF"/>
              <w:wordWrap w:val="0"/>
              <w:spacing w:line="500" w:lineRule="exact"/>
              <w:ind w:firstLine="420" w:firstLineChars="175"/>
              <w:jc w:val="left"/>
              <w:rPr>
                <w:rFonts w:ascii="宋体" w:hAnsi="宋体" w:cs="宋体"/>
                <w:sz w:val="24"/>
                <w:szCs w:val="24"/>
              </w:rPr>
            </w:pPr>
            <w:r>
              <w:rPr>
                <w:rFonts w:hint="eastAsia" w:ascii="宋体" w:hAnsi="宋体" w:cs="宋体"/>
                <w:sz w:val="24"/>
                <w:szCs w:val="24"/>
              </w:rPr>
              <w:t>3.8本项目不接受联合体投标。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15</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投标截止时间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时间</w:t>
            </w:r>
            <w:r>
              <w:rPr>
                <w:rFonts w:hint="eastAsia" w:ascii="宋体" w:hAnsi="宋体" w:cs="宋体"/>
                <w:b/>
                <w:sz w:val="24"/>
                <w:szCs w:val="24"/>
              </w:rPr>
              <w:t>2023年 06月01日8时30分</w:t>
            </w:r>
          </w:p>
          <w:p>
            <w:pPr>
              <w:rPr>
                <w:rFonts w:ascii="宋体" w:hAnsi="宋体" w:cs="宋体"/>
                <w:sz w:val="24"/>
                <w:szCs w:val="24"/>
              </w:rPr>
            </w:pPr>
            <w:r>
              <w:rPr>
                <w:rFonts w:hint="eastAsia" w:ascii="宋体" w:hAnsi="宋体" w:cs="宋体"/>
                <w:sz w:val="24"/>
                <w:szCs w:val="24"/>
              </w:rPr>
              <w:t>地点：全国公共资源交易平台（河南省•汝州市）公共资源交易系统（www.rzggzy.com）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4"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16</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开标时间</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时间：</w:t>
            </w:r>
            <w:r>
              <w:rPr>
                <w:rFonts w:hint="eastAsia" w:ascii="宋体" w:hAnsi="宋体" w:cs="宋体"/>
                <w:b/>
                <w:sz w:val="24"/>
                <w:szCs w:val="24"/>
              </w:rPr>
              <w:t>2023年06月01日8时30分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17</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代理服务费</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1、收费标准：中标的供应商应按项目中标额的国家收费标准向招标代理机构交纳代理服务费。</w:t>
            </w:r>
          </w:p>
          <w:p>
            <w:pPr>
              <w:rPr>
                <w:rFonts w:ascii="宋体" w:hAnsi="宋体" w:cs="宋体"/>
                <w:sz w:val="24"/>
                <w:szCs w:val="24"/>
              </w:rPr>
            </w:pPr>
            <w:r>
              <w:rPr>
                <w:rFonts w:hint="eastAsia" w:ascii="宋体" w:hAnsi="宋体" w:cs="宋体"/>
                <w:sz w:val="24"/>
                <w:szCs w:val="24"/>
              </w:rPr>
              <w:t>2、交纳时间：领取《中标通知书》时交纳。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18</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本次招标</w:t>
            </w:r>
          </w:p>
          <w:p>
            <w:pPr>
              <w:rPr>
                <w:rFonts w:ascii="宋体" w:hAnsi="宋体" w:cs="宋体"/>
                <w:sz w:val="24"/>
                <w:szCs w:val="24"/>
              </w:rPr>
            </w:pPr>
            <w:r>
              <w:rPr>
                <w:rFonts w:hint="eastAsia" w:ascii="宋体" w:hAnsi="宋体" w:cs="宋体"/>
                <w:sz w:val="24"/>
                <w:szCs w:val="24"/>
              </w:rPr>
              <w:t>联系事宜</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1.采购人信息</w:t>
            </w:r>
          </w:p>
          <w:p>
            <w:pPr>
              <w:rPr>
                <w:rFonts w:ascii="宋体" w:hAnsi="宋体" w:cs="宋体"/>
                <w:sz w:val="24"/>
                <w:szCs w:val="24"/>
              </w:rPr>
            </w:pPr>
            <w:r>
              <w:rPr>
                <w:rFonts w:hint="eastAsia" w:ascii="宋体" w:hAnsi="宋体" w:cs="宋体"/>
                <w:sz w:val="24"/>
                <w:szCs w:val="24"/>
              </w:rPr>
              <w:t>名称：汝州市人民医院</w:t>
            </w:r>
          </w:p>
          <w:p>
            <w:pPr>
              <w:rPr>
                <w:rFonts w:ascii="宋体" w:hAnsi="宋体" w:cs="宋体"/>
                <w:sz w:val="24"/>
                <w:szCs w:val="24"/>
              </w:rPr>
            </w:pPr>
            <w:r>
              <w:rPr>
                <w:rFonts w:hint="eastAsia" w:ascii="宋体" w:hAnsi="宋体" w:cs="宋体"/>
                <w:sz w:val="24"/>
                <w:szCs w:val="24"/>
              </w:rPr>
              <w:t>地址：汝州市朝阳路</w:t>
            </w:r>
          </w:p>
          <w:p>
            <w:pPr>
              <w:rPr>
                <w:rFonts w:ascii="宋体" w:hAnsi="宋体" w:cs="宋体"/>
                <w:sz w:val="24"/>
                <w:szCs w:val="24"/>
              </w:rPr>
            </w:pPr>
            <w:r>
              <w:rPr>
                <w:rFonts w:hint="eastAsia" w:ascii="宋体" w:hAnsi="宋体" w:cs="宋体"/>
                <w:sz w:val="24"/>
                <w:szCs w:val="24"/>
              </w:rPr>
              <w:t>联系人：赵女士</w:t>
            </w:r>
          </w:p>
          <w:p>
            <w:pPr>
              <w:rPr>
                <w:rFonts w:ascii="宋体" w:hAnsi="宋体" w:cs="宋体"/>
                <w:sz w:val="24"/>
                <w:szCs w:val="24"/>
              </w:rPr>
            </w:pPr>
            <w:r>
              <w:rPr>
                <w:rFonts w:hint="eastAsia" w:ascii="宋体" w:hAnsi="宋体" w:cs="宋体"/>
                <w:sz w:val="24"/>
                <w:szCs w:val="24"/>
              </w:rPr>
              <w:t>联系方式：15637579928</w:t>
            </w:r>
          </w:p>
          <w:p>
            <w:pPr>
              <w:rPr>
                <w:rFonts w:ascii="宋体" w:hAnsi="宋体" w:cs="宋体"/>
                <w:sz w:val="24"/>
                <w:szCs w:val="24"/>
              </w:rPr>
            </w:pPr>
            <w:r>
              <w:rPr>
                <w:rFonts w:hint="eastAsia" w:ascii="宋体" w:hAnsi="宋体" w:cs="宋体"/>
                <w:sz w:val="24"/>
                <w:szCs w:val="24"/>
              </w:rPr>
              <w:t>2.采购代理机构信息</w:t>
            </w:r>
          </w:p>
          <w:p>
            <w:pPr>
              <w:rPr>
                <w:rFonts w:ascii="宋体" w:hAnsi="宋体" w:cs="宋体"/>
                <w:sz w:val="24"/>
                <w:szCs w:val="24"/>
              </w:rPr>
            </w:pPr>
            <w:r>
              <w:rPr>
                <w:rFonts w:hint="eastAsia" w:ascii="宋体" w:hAnsi="宋体" w:cs="宋体"/>
                <w:sz w:val="24"/>
                <w:szCs w:val="24"/>
              </w:rPr>
              <w:t>名称：河南中普德项目管理有限公司</w:t>
            </w:r>
          </w:p>
          <w:p>
            <w:pPr>
              <w:rPr>
                <w:rFonts w:ascii="宋体" w:hAnsi="宋体" w:cs="宋体"/>
                <w:sz w:val="24"/>
                <w:szCs w:val="24"/>
              </w:rPr>
            </w:pPr>
            <w:r>
              <w:rPr>
                <w:rFonts w:hint="eastAsia" w:ascii="宋体" w:hAnsi="宋体" w:cs="宋体"/>
                <w:sz w:val="24"/>
                <w:szCs w:val="24"/>
              </w:rPr>
              <w:t>地址：河南省郑州市科学大道65号</w:t>
            </w:r>
          </w:p>
          <w:p>
            <w:pPr>
              <w:rPr>
                <w:rFonts w:ascii="宋体" w:hAnsi="宋体" w:cs="宋体"/>
                <w:sz w:val="24"/>
                <w:szCs w:val="24"/>
              </w:rPr>
            </w:pPr>
            <w:r>
              <w:rPr>
                <w:rFonts w:hint="eastAsia" w:ascii="宋体" w:hAnsi="宋体" w:cs="宋体"/>
                <w:sz w:val="24"/>
                <w:szCs w:val="24"/>
              </w:rPr>
              <w:t xml:space="preserve">联系人：李先生         </w:t>
            </w:r>
          </w:p>
          <w:p>
            <w:pPr>
              <w:rPr>
                <w:rFonts w:ascii="宋体" w:hAnsi="宋体" w:cs="宋体"/>
                <w:sz w:val="24"/>
                <w:szCs w:val="24"/>
              </w:rPr>
            </w:pPr>
            <w:r>
              <w:rPr>
                <w:rFonts w:hint="eastAsia" w:ascii="宋体" w:hAnsi="宋体" w:cs="宋体"/>
                <w:sz w:val="24"/>
                <w:szCs w:val="24"/>
              </w:rPr>
              <w:t>联系方式：18937190851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19</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中标信息发布</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《河南省政府采购网》、《汝州市政府采购网》、《全国公共资源交易平台（河南省•汝州市）公共资源交易系统（www.rzggzy.com）、《河南省电子招标投标公共服务平台》上发布，公告期限1个工作日。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8"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20</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报价方式</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供应商自主报价。招标最高限价：</w:t>
            </w:r>
          </w:p>
          <w:p>
            <w:pPr>
              <w:rPr>
                <w:rFonts w:ascii="宋体" w:hAnsi="宋体" w:cs="宋体"/>
                <w:sz w:val="24"/>
                <w:szCs w:val="24"/>
              </w:rPr>
            </w:pPr>
            <w:r>
              <w:rPr>
                <w:rFonts w:hint="eastAsia" w:ascii="宋体" w:hAnsi="宋体" w:cs="宋体"/>
                <w:sz w:val="24"/>
                <w:szCs w:val="24"/>
              </w:rPr>
              <w:t xml:space="preserve">第一标段：28000000.00元（大写：贰仟捌佰万元整） </w:t>
            </w:r>
          </w:p>
          <w:p>
            <w:pPr>
              <w:rPr>
                <w:rFonts w:ascii="宋体" w:hAnsi="宋体" w:cs="宋体"/>
                <w:sz w:val="24"/>
                <w:szCs w:val="24"/>
              </w:rPr>
            </w:pPr>
            <w:r>
              <w:rPr>
                <w:rFonts w:hint="eastAsia" w:ascii="宋体" w:hAnsi="宋体" w:cs="宋体"/>
                <w:sz w:val="24"/>
                <w:szCs w:val="24"/>
              </w:rPr>
              <w:t>第二标段：23000000.00元（大写：贰仟叁佰万元整）</w:t>
            </w:r>
          </w:p>
          <w:p>
            <w:pPr>
              <w:rPr>
                <w:rFonts w:ascii="宋体" w:hAnsi="宋体" w:cs="宋体"/>
                <w:b/>
                <w:bCs/>
                <w:sz w:val="24"/>
                <w:szCs w:val="24"/>
              </w:rPr>
            </w:pPr>
            <w:r>
              <w:rPr>
                <w:rFonts w:hint="eastAsia" w:ascii="宋体" w:hAnsi="宋体" w:cs="宋体"/>
                <w:b/>
                <w:sz w:val="24"/>
                <w:szCs w:val="24"/>
              </w:rPr>
              <w:t>注：供应商报价高出招标最高限价的，投标文件为无效文件，将不予评审。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21</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评标委员会的组建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评标委员会构成共7人：由业主代表2人和相关的技术、经济专家5人组成。</w:t>
            </w:r>
          </w:p>
          <w:p>
            <w:pPr>
              <w:rPr>
                <w:rFonts w:ascii="宋体" w:hAnsi="宋体" w:cs="宋体"/>
                <w:sz w:val="24"/>
                <w:szCs w:val="24"/>
              </w:rPr>
            </w:pPr>
            <w:r>
              <w:rPr>
                <w:rFonts w:hint="eastAsia" w:ascii="宋体" w:hAnsi="宋体" w:cs="宋体"/>
                <w:sz w:val="24"/>
                <w:szCs w:val="24"/>
              </w:rPr>
              <w:t>评标专家确定方式：经济、技术专家应在开标前从符合相关规定的评标专家库中随机抽取确定。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2" w:hRule="atLeast"/>
          <w:jc w:val="center"/>
        </w:trPr>
        <w:tc>
          <w:tcPr>
            <w:tcW w:w="72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22</w:t>
            </w:r>
          </w:p>
        </w:tc>
        <w:tc>
          <w:tcPr>
            <w:tcW w:w="1805"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是否授权评标委员会确定中标人</w:t>
            </w:r>
          </w:p>
        </w:tc>
        <w:tc>
          <w:tcPr>
            <w:tcW w:w="7349" w:type="dxa"/>
            <w:tcBorders>
              <w:top w:val="single" w:color="auto" w:sz="4" w:space="0"/>
              <w:left w:val="single" w:color="auto" w:sz="4" w:space="0"/>
              <w:bottom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否。评委会推荐3名中标候选人。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8" w:hRule="atLeast"/>
          <w:jc w:val="center"/>
        </w:trPr>
        <w:tc>
          <w:tcPr>
            <w:tcW w:w="9879" w:type="dxa"/>
            <w:gridSpan w:val="3"/>
            <w:tcBorders>
              <w:top w:val="single" w:color="auto" w:sz="4" w:space="0"/>
              <w:left w:val="single" w:color="auto" w:sz="4" w:space="0"/>
              <w:right w:val="single" w:color="auto" w:sz="4" w:space="0"/>
            </w:tcBorders>
            <w:vAlign w:val="center"/>
          </w:tcPr>
          <w:p>
            <w:pPr>
              <w:rPr>
                <w:rFonts w:ascii="宋体" w:hAnsi="宋体" w:cs="宋体"/>
                <w:sz w:val="24"/>
                <w:szCs w:val="24"/>
              </w:rPr>
            </w:pPr>
            <w:r>
              <w:rPr>
                <w:rFonts w:hint="eastAsia" w:ascii="宋体" w:hAnsi="宋体" w:cs="宋体"/>
                <w:sz w:val="24"/>
                <w:szCs w:val="24"/>
              </w:rPr>
              <w:t>注：本招标文件前后不符的，以招标文件</w:t>
            </w:r>
            <w:r>
              <w:rPr>
                <w:rFonts w:hint="eastAsia" w:ascii="宋体" w:hAnsi="宋体" w:cs="宋体"/>
                <w:sz w:val="24"/>
                <w:szCs w:val="24"/>
                <w:u w:val="single"/>
              </w:rPr>
              <w:t>供应商须知前附表</w:t>
            </w:r>
            <w:r>
              <w:rPr>
                <w:rFonts w:hint="eastAsia" w:ascii="宋体" w:hAnsi="宋体" w:cs="宋体"/>
                <w:sz w:val="24"/>
                <w:szCs w:val="24"/>
              </w:rPr>
              <w:t>为准</w:t>
            </w:r>
          </w:p>
        </w:tc>
      </w:tr>
    </w:tbl>
    <w:p>
      <w:pPr>
        <w:pStyle w:val="6"/>
        <w:ind w:firstLine="480" w:firstLineChars="200"/>
        <w:jc w:val="left"/>
        <w:rPr>
          <w:rFonts w:ascii="宋体" w:hAnsi="宋体" w:cs="宋体"/>
          <w:sz w:val="24"/>
        </w:rPr>
      </w:pPr>
      <w:bookmarkStart w:id="8" w:name="_Toc11324"/>
      <w:bookmarkEnd w:id="8"/>
      <w:r>
        <w:rPr>
          <w:rFonts w:hint="eastAsia" w:ascii="宋体" w:hAnsi="宋体" w:cs="宋体"/>
          <w:sz w:val="24"/>
        </w:rPr>
        <w:t xml:space="preserve">1.总则 </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1.1 项目概况</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1.1.1</w:t>
      </w:r>
      <w:r>
        <w:rPr>
          <w:rFonts w:hint="eastAsia" w:ascii="宋体" w:hAnsi="宋体" w:cs="宋体"/>
          <w:kern w:val="0"/>
          <w:sz w:val="24"/>
          <w:szCs w:val="24"/>
        </w:rPr>
        <w:t>根据《中华人民共和国政府采购法》等有关法律、法规和规章的规定，本项目已具备招标条件，现对本项目进行公开招标。</w:t>
      </w:r>
    </w:p>
    <w:p>
      <w:pPr>
        <w:adjustRightInd w:val="0"/>
        <w:snapToGrid w:val="0"/>
        <w:spacing w:line="440" w:lineRule="exact"/>
        <w:ind w:firstLine="480" w:firstLineChars="200"/>
        <w:jc w:val="left"/>
        <w:rPr>
          <w:rFonts w:ascii="宋体" w:hAnsi="宋体" w:cs="宋体"/>
          <w:sz w:val="24"/>
          <w:szCs w:val="24"/>
        </w:rPr>
      </w:pPr>
      <w:r>
        <w:rPr>
          <w:rFonts w:hint="eastAsia" w:ascii="宋体" w:hAnsi="宋体" w:cs="宋体"/>
          <w:sz w:val="24"/>
          <w:szCs w:val="24"/>
        </w:rPr>
        <w:t>1.1.2 本项目采购人、采购代理机构、项目名称：见“供应商须知前附表”。</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1.2 资金来源和落实情况</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1.2.1 本项目的资金来源、资金落实情况：见“供应商须知前附表”。</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1.3 招标范围和供货期</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 xml:space="preserve">1.3.1本次采购范围及供货期：见“供应商须知前附表”。 </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1.4 供应商资格要求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1.4.1本项目对供应商资质条件的要求：见“供应商须知前附表”。</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1.4.2 按“供应商须知前附表”规定不接受联合体投标。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1.4.3 供应商不得存在下列任何一种情形：</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（1）为招标人不具有独立法人资格的附属机构（单位）；</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（2）为本项目的代建人；</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（3）为本项目提供招标代理服务的；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（4）与本项目的代建人或招标代理机构同为一个法定代表人的；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（5）本招标项目的代建人或招标代理机构相互控股或参股的；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（6）与本招标项目的代建人或招标代理机构相互任职或工作的；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（7）被责令停业的；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（8）财产被接管或冻结的；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（9）经评标委员会认定会对承担本招标项目造成重大影响的正在诉讼的案件；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（10）被省级及以上主管部门取消项目所在地的投标资格或禁止进入该区域建设市场且处于有效期内；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（11）为投资参股本招标项目的法人单位。</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1.5 费用承担</w:t>
      </w:r>
    </w:p>
    <w:p>
      <w:pPr>
        <w:widowControl/>
        <w:topLinePunct/>
        <w:adjustRightInd w:val="0"/>
        <w:snapToGrid w:val="0"/>
        <w:spacing w:line="440" w:lineRule="exact"/>
        <w:ind w:firstLine="480" w:firstLineChars="200"/>
        <w:rPr>
          <w:rFonts w:ascii="宋体" w:hAnsi="宋体" w:cs="宋体"/>
          <w:kern w:val="0"/>
          <w:sz w:val="24"/>
          <w:szCs w:val="24"/>
        </w:rPr>
      </w:pPr>
      <w:r>
        <w:rPr>
          <w:rFonts w:hint="eastAsia" w:ascii="宋体" w:hAnsi="宋体" w:cs="宋体"/>
          <w:kern w:val="0"/>
          <w:sz w:val="24"/>
          <w:szCs w:val="24"/>
        </w:rPr>
        <w:t>1.5.1供应商应承担其投标文件编制与递交所涉及的一切费用，招标人和招标代理机构对上述费用均不承担任何责任；</w:t>
      </w:r>
    </w:p>
    <w:p>
      <w:pPr>
        <w:widowControl/>
        <w:topLinePunct/>
        <w:adjustRightInd w:val="0"/>
        <w:snapToGrid w:val="0"/>
        <w:spacing w:line="440" w:lineRule="exact"/>
        <w:ind w:firstLine="480" w:firstLineChars="200"/>
        <w:rPr>
          <w:rFonts w:ascii="宋体" w:hAnsi="宋体" w:cs="宋体"/>
          <w:kern w:val="0"/>
          <w:sz w:val="24"/>
          <w:szCs w:val="24"/>
        </w:rPr>
      </w:pPr>
      <w:r>
        <w:rPr>
          <w:rFonts w:hint="eastAsia" w:ascii="宋体" w:hAnsi="宋体" w:cs="宋体"/>
          <w:kern w:val="0"/>
          <w:sz w:val="24"/>
          <w:szCs w:val="24"/>
        </w:rPr>
        <w:t>1.5.2本项目招标代理服务费，由中标单位支付。</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1.6 保密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参与招标投标活动的各方应对招标文件和投标文件中的商业和技术等秘密保密，违者应对由此造成的后果承担法律责任。</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1.7 语言文字</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除专用术语外，与招标投标有关的语言均使用中文。必要时专用术语应附有中文注释。</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1.8 计量单位</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所有计量均采用中华人民共和国法定计量单位。</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1.9</w:t>
      </w:r>
      <w:r>
        <w:rPr>
          <w:rFonts w:hint="eastAsia" w:ascii="宋体" w:hAnsi="宋体" w:cs="宋体"/>
          <w:b/>
          <w:bCs/>
          <w:sz w:val="24"/>
          <w:szCs w:val="24"/>
        </w:rPr>
        <w:tab/>
      </w:r>
      <w:r>
        <w:rPr>
          <w:rFonts w:hint="eastAsia" w:ascii="宋体" w:hAnsi="宋体" w:cs="宋体"/>
          <w:b/>
          <w:bCs/>
          <w:sz w:val="24"/>
          <w:szCs w:val="24"/>
        </w:rPr>
        <w:t>踏勘现场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不组织，供应商自行踏勘。</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1.10</w:t>
      </w:r>
      <w:r>
        <w:rPr>
          <w:rFonts w:hint="eastAsia" w:ascii="宋体" w:hAnsi="宋体" w:cs="宋体"/>
          <w:b/>
          <w:bCs/>
          <w:sz w:val="24"/>
          <w:szCs w:val="24"/>
        </w:rPr>
        <w:tab/>
      </w:r>
      <w:r>
        <w:rPr>
          <w:rFonts w:hint="eastAsia" w:ascii="宋体" w:hAnsi="宋体" w:cs="宋体"/>
          <w:b/>
          <w:bCs/>
          <w:sz w:val="24"/>
          <w:szCs w:val="24"/>
        </w:rPr>
        <w:t>投标预备会</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不召开。</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1.11 分包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本项目严禁转包和违规分包，且不得再次分包。</w:t>
      </w:r>
    </w:p>
    <w:p>
      <w:pPr>
        <w:pStyle w:val="6"/>
        <w:ind w:firstLine="480" w:firstLineChars="200"/>
        <w:jc w:val="left"/>
        <w:rPr>
          <w:rFonts w:ascii="宋体" w:hAnsi="宋体" w:cs="宋体"/>
          <w:sz w:val="24"/>
        </w:rPr>
      </w:pPr>
      <w:r>
        <w:rPr>
          <w:rFonts w:hint="eastAsia" w:ascii="宋体" w:hAnsi="宋体" w:cs="宋体"/>
          <w:sz w:val="24"/>
        </w:rPr>
        <w:t>2.招标文件</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2.1 招标文件的组成</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本招标文件包括：</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（1）招标公告；</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（2）供应商须知；</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 xml:space="preserve">（3）采购清单； </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（4）合同条款及格式；</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（5）投标文件格式；</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2.2 招标文件的澄清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2.2.1 供应商应仔细阅读和检查招标文件的全部内容。如发现缺页或附件不全，应及时向招标人提出，以便补齐。如有疑问，应在质疑期限内要求招标人对招标文件予以澄清。</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2.2.2招标文件的澄清将在供应商须知前附表规定的投标截止时间15天前在网上通知所有购买招标文件的供应商，但不指明澄清问题的来源。如果澄清的内容可能影响投标文件编制的，发出的时间距投标截止时间不足15天，相应延长投标截止时间。</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2.3 招标文件的修改</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在投标截止时间15天前，招标人可以书面形式修改招标文件。如果修改招标文件的时间距投标截止时间不足15天，相应延长投标截止时间。</w:t>
      </w:r>
    </w:p>
    <w:p>
      <w:pPr>
        <w:pStyle w:val="6"/>
        <w:ind w:firstLine="480" w:firstLineChars="200"/>
        <w:jc w:val="left"/>
        <w:rPr>
          <w:rFonts w:ascii="宋体" w:hAnsi="宋体" w:cs="宋体"/>
          <w:sz w:val="24"/>
        </w:rPr>
      </w:pPr>
      <w:r>
        <w:rPr>
          <w:rFonts w:hint="eastAsia" w:ascii="宋体" w:hAnsi="宋体" w:cs="宋体"/>
          <w:sz w:val="24"/>
        </w:rPr>
        <w:t>3.投标文件</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3.1 投标文件的组成</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（1）投标函及投标函附录</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（2）分项报价明细表</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（3）法定代表人身份证明</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（4）授权委托书</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（5）技术部分</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（6）资格审查资料</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（7）服务方案及承诺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（8）反商业贿赂承诺书</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（9）投标诚信承诺</w:t>
      </w:r>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（10）供应商认为需要提交的其他资料</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3.2 投标报价</w:t>
      </w:r>
    </w:p>
    <w:p>
      <w:pPr>
        <w:adjustRightInd w:val="0"/>
        <w:snapToGrid w:val="0"/>
        <w:spacing w:line="440" w:lineRule="exact"/>
        <w:ind w:right="31" w:rightChars="15" w:firstLine="480" w:firstLineChars="200"/>
        <w:rPr>
          <w:rFonts w:ascii="宋体" w:hAnsi="宋体" w:cs="宋体"/>
          <w:b/>
          <w:bCs/>
          <w:sz w:val="24"/>
          <w:szCs w:val="24"/>
        </w:rPr>
      </w:pPr>
      <w:r>
        <w:rPr>
          <w:rFonts w:hint="eastAsia" w:ascii="宋体" w:hAnsi="宋体" w:cs="宋体"/>
          <w:b/>
          <w:bCs/>
          <w:sz w:val="24"/>
          <w:szCs w:val="24"/>
        </w:rPr>
        <w:t>3.2.1本项目设置招标最高限价，供应商的投标报价超出招标最高限价的，按废标处理。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3.2.2供应商的投标报价应参考国家相关收费标准，结合本项目实际情况和自身实力按照市场价自主合理报价。</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3.3 投标有效期</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3.3.1 在“供应商须知前附表”规定的投标有效期内，供应商不得要求撤销或修改其投标文件。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3.3.2在特殊情况下，招标人可与供应商协商延长投标文件的有效期。这种要求和答复都应以书面形式进行。同意延长有效期的供应商除按照招标人要求修改投标文件有效期外，不能修改投标文件的其他内容。</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3.4 投标保证金</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本项目无需交纳投标保证金。</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3.5 投标文件的编制</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3.5.1投标文件应参考第五章“投标文件格式”进行编写，如有必要，可以增加附页，作为投标文件的组成部分。</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3.5.2 投标文件应当对招标文件有关供货期、投标有效期、技术要求、招标范围等实质性内容作出响应。</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3.5.3 如果投标文件由委托代理人签署，则供应商需提交法定代表人的授权委托书，授权委托书应按规定的方式出具，并由法定代表人和委托代理人签名或盖章。</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投标文件应尽量避免涂改、行间插字或删除。如果出现上述情况，改动之处应加电子签章或由供应商的法定代表人或其授权的代理人签字确认。</w:t>
      </w:r>
    </w:p>
    <w:p>
      <w:pPr>
        <w:pStyle w:val="6"/>
        <w:ind w:firstLine="480" w:firstLineChars="200"/>
        <w:jc w:val="left"/>
        <w:rPr>
          <w:rFonts w:ascii="宋体" w:hAnsi="宋体" w:cs="宋体"/>
          <w:sz w:val="24"/>
        </w:rPr>
      </w:pPr>
      <w:r>
        <w:rPr>
          <w:rFonts w:hint="eastAsia" w:ascii="宋体" w:hAnsi="宋体" w:cs="宋体"/>
          <w:sz w:val="24"/>
        </w:rPr>
        <w:t>4.投标文件的递交</w:t>
      </w:r>
    </w:p>
    <w:p>
      <w:pPr>
        <w:adjustRightInd w:val="0"/>
        <w:snapToGrid w:val="0"/>
        <w:spacing w:line="440" w:lineRule="exact"/>
        <w:ind w:right="31" w:rightChars="15" w:firstLine="480" w:firstLineChars="200"/>
        <w:rPr>
          <w:rFonts w:ascii="宋体" w:hAnsi="宋体" w:cs="宋体"/>
          <w:bCs/>
          <w:sz w:val="24"/>
          <w:szCs w:val="24"/>
        </w:rPr>
      </w:pPr>
      <w:r>
        <w:rPr>
          <w:rFonts w:hint="eastAsia" w:ascii="宋体" w:hAnsi="宋体" w:cs="宋体"/>
          <w:bCs/>
          <w:sz w:val="24"/>
          <w:szCs w:val="24"/>
        </w:rPr>
        <w:t>4.1本项目为全流程电子化交易项目，供应商只需要递交电子投标文件，不用再提供纸质投标文件。</w:t>
      </w:r>
    </w:p>
    <w:p>
      <w:pPr>
        <w:wordWrap w:val="0"/>
        <w:adjustRightInd w:val="0"/>
        <w:snapToGrid w:val="0"/>
        <w:spacing w:line="440" w:lineRule="exact"/>
        <w:ind w:right="31" w:rightChars="15" w:firstLine="480" w:firstLineChars="200"/>
        <w:rPr>
          <w:rFonts w:ascii="宋体" w:hAnsi="宋体" w:cs="宋体"/>
          <w:bCs/>
          <w:sz w:val="24"/>
          <w:szCs w:val="24"/>
        </w:rPr>
      </w:pPr>
      <w:r>
        <w:rPr>
          <w:rFonts w:hint="eastAsia" w:ascii="宋体" w:hAnsi="宋体" w:cs="宋体"/>
          <w:bCs/>
          <w:sz w:val="24"/>
          <w:szCs w:val="24"/>
        </w:rPr>
        <w:t>4.2加密电子投标文件(.file格式)应在招标文件规定的投标截止时间（开标时间）之前成功提交至全国公共资源交易平台（河南省•汝州市）交易系统（http://www.rzggzy.com:8070/ggzy/）。具体操作方法详见全国公共资源交易平台（河南省•汝州市）交易中心网站：http://www.rzggzy.com/djzgc/14171.jhtml</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bCs/>
          <w:sz w:val="24"/>
          <w:szCs w:val="24"/>
        </w:rPr>
        <w:t>4.3供应商应充分考虑到处理技术问题和上传数据等工作所需的时间问题，投标文件未在投标截止时间前成功上传的，其投标文件不予接收。</w:t>
      </w:r>
    </w:p>
    <w:p>
      <w:pPr>
        <w:pStyle w:val="6"/>
        <w:ind w:firstLine="480" w:firstLineChars="200"/>
        <w:jc w:val="left"/>
        <w:rPr>
          <w:rFonts w:ascii="宋体" w:hAnsi="宋体" w:cs="宋体"/>
          <w:sz w:val="24"/>
        </w:rPr>
      </w:pPr>
      <w:bookmarkStart w:id="9" w:name="_Toc525062087"/>
      <w:bookmarkEnd w:id="9"/>
      <w:bookmarkStart w:id="10" w:name="_Toc4523"/>
      <w:r>
        <w:rPr>
          <w:rFonts w:hint="eastAsia" w:ascii="宋体" w:hAnsi="宋体" w:cs="宋体"/>
          <w:sz w:val="24"/>
        </w:rPr>
        <w:t>5.开标及评标</w:t>
      </w:r>
      <w:bookmarkEnd w:id="10"/>
      <w:r>
        <w:rPr>
          <w:rFonts w:hint="eastAsia" w:ascii="宋体" w:hAnsi="宋体" w:cs="宋体"/>
          <w:sz w:val="24"/>
        </w:rPr>
        <w:t xml:space="preserve"> </w:t>
      </w:r>
    </w:p>
    <w:p>
      <w:pPr>
        <w:adjustRightInd w:val="0"/>
        <w:snapToGrid w:val="0"/>
        <w:spacing w:line="440" w:lineRule="exact"/>
        <w:ind w:firstLine="480" w:firstLineChars="200"/>
        <w:rPr>
          <w:rFonts w:ascii="宋体" w:hAnsi="宋体" w:cs="宋体"/>
          <w:b/>
          <w:bCs/>
          <w:sz w:val="24"/>
          <w:szCs w:val="24"/>
        </w:rPr>
      </w:pPr>
      <w:bookmarkStart w:id="11" w:name="_Toc525062088"/>
      <w:bookmarkEnd w:id="11"/>
      <w:bookmarkStart w:id="12" w:name="_Toc20808"/>
      <w:r>
        <w:rPr>
          <w:rFonts w:hint="eastAsia" w:ascii="宋体" w:hAnsi="宋体" w:cs="宋体"/>
          <w:b/>
          <w:bCs/>
          <w:sz w:val="24"/>
          <w:szCs w:val="24"/>
        </w:rPr>
        <w:t>5.1开标</w:t>
      </w:r>
      <w:bookmarkEnd w:id="12"/>
      <w:r>
        <w:rPr>
          <w:rFonts w:hint="eastAsia" w:ascii="宋体" w:hAnsi="宋体" w:cs="宋体"/>
          <w:b/>
          <w:bCs/>
          <w:sz w:val="24"/>
          <w:szCs w:val="24"/>
        </w:rPr>
        <w:t xml:space="preserve"> </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5.1.1招标人按招标文件规定的时间、地点主持公开开标，招标人代表及有关工作人员参加。</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5.1.2本项目采用“不见面”开标方式，供应商只需要递交电子投标文件，无需到达现场提交原件资料、无需到现场参加开标会议。</w:t>
      </w:r>
    </w:p>
    <w:p>
      <w:pPr>
        <w:wordWrap w:val="0"/>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供应商应当在开标时间前,登录开标大厅,在线准时参加开标活动并进行投标文件解密。（具体开标注意事项及操作指南详见http://www.rzggzy.com/zwjxz/10492.jhtml）。</w:t>
      </w:r>
    </w:p>
    <w:p>
      <w:pPr>
        <w:wordWrap w:val="0"/>
        <w:adjustRightInd w:val="0"/>
        <w:snapToGrid w:val="0"/>
        <w:spacing w:line="440" w:lineRule="exact"/>
        <w:ind w:firstLine="480" w:firstLineChars="200"/>
        <w:rPr>
          <w:rFonts w:ascii="宋体" w:hAnsi="宋体" w:cs="宋体"/>
          <w:b/>
          <w:bCs/>
          <w:sz w:val="24"/>
          <w:szCs w:val="24"/>
        </w:rPr>
      </w:pPr>
      <w:bookmarkStart w:id="13" w:name="_Toc322"/>
      <w:bookmarkEnd w:id="13"/>
      <w:bookmarkStart w:id="14" w:name="_Toc525062089"/>
      <w:r>
        <w:rPr>
          <w:rFonts w:hint="eastAsia" w:ascii="宋体" w:hAnsi="宋体" w:cs="宋体"/>
          <w:b/>
          <w:bCs/>
          <w:sz w:val="24"/>
          <w:szCs w:val="24"/>
        </w:rPr>
        <w:t>5.2 组建评标委员会</w:t>
      </w:r>
      <w:bookmarkEnd w:id="14"/>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招标人根据有关法律法规和本招标文件的规定，结合本招标项目的特点组建评标委员会。评标委员会由业主代表2人和有关技术、经济等方面的专家5人组成，成员人数为7人。 </w:t>
      </w:r>
    </w:p>
    <w:p>
      <w:pPr>
        <w:adjustRightInd w:val="0"/>
        <w:snapToGrid w:val="0"/>
        <w:spacing w:line="440" w:lineRule="exact"/>
        <w:ind w:firstLine="480" w:firstLineChars="200"/>
        <w:rPr>
          <w:rFonts w:ascii="宋体" w:hAnsi="宋体" w:cs="宋体"/>
          <w:b/>
          <w:bCs/>
          <w:sz w:val="24"/>
          <w:szCs w:val="24"/>
        </w:rPr>
      </w:pPr>
      <w:bookmarkStart w:id="15" w:name="_Toc525062090"/>
      <w:bookmarkEnd w:id="15"/>
      <w:bookmarkStart w:id="16" w:name="_Toc11095"/>
      <w:r>
        <w:rPr>
          <w:rFonts w:hint="eastAsia" w:ascii="宋体" w:hAnsi="宋体" w:cs="宋体"/>
          <w:b/>
          <w:bCs/>
          <w:sz w:val="24"/>
          <w:szCs w:val="24"/>
        </w:rPr>
        <w:t>5.3 对投标文件的初审</w:t>
      </w:r>
      <w:bookmarkEnd w:id="16"/>
      <w:r>
        <w:rPr>
          <w:rFonts w:hint="eastAsia" w:ascii="宋体" w:hAnsi="宋体" w:cs="宋体"/>
          <w:b/>
          <w:bCs/>
          <w:sz w:val="24"/>
          <w:szCs w:val="24"/>
        </w:rPr>
        <w:t xml:space="preserve">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5.3.1 开标后，评标委员会将审查投标文件是否符合招标文件的基本要求：内容是否完整、资格证明文件是否齐全、有无计算错误、文件签署是否齐全。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5.3.2 在详细评标之前，评标委员会要审查每份投标文件是否实质上响应了招标文件的要求。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实质上响应的投标是指与招标文件的全部条款、条件和规格相符，没有重大偏离或保留。 </w:t>
      </w:r>
    </w:p>
    <w:p>
      <w:pPr>
        <w:spacing w:line="440" w:lineRule="exact"/>
        <w:ind w:firstLine="480" w:firstLineChars="200"/>
        <w:rPr>
          <w:rFonts w:ascii="宋体" w:hAnsi="宋体" w:cs="宋体"/>
          <w:sz w:val="24"/>
          <w:szCs w:val="24"/>
        </w:rPr>
      </w:pPr>
      <w:r>
        <w:rPr>
          <w:rFonts w:hint="eastAsia" w:ascii="宋体" w:hAnsi="宋体" w:cs="宋体"/>
          <w:sz w:val="24"/>
          <w:szCs w:val="24"/>
        </w:rPr>
        <w:t>（2） 重大偏离或保留包括但不限于： 不具备招标文件中规定资格要求的；不符合招标文件中规定的质量、完成时间要求的。</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（3） 重大偏离不允许在开标后修正，但评标委员会将允许修正投标中不构成重大偏离的地方，这些修正不会对其他实质上响应招标文件要求的供应商的竞争地位产生不公正的影响。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（4） 如果投标文件实质上没有响应招标文件的要求，评标委员会将予以拒绝，供应商不得再对投标文件进行任何修正从而使其投标成为实质上响应的投标。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5.3.3 初审中，对明显的文字和计算错误按下述原则修正：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如果以文字表示的数据与数字表示的有差别，以文字为准修正数字。如果大小写金额不一致的，以大写金额为准。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（2） 调整后的数据应对供应商具有约束力，供应商不同意以上修正，其投标将被拒绝。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5.3.4 评标委员会对投标文件的判定，只依据投标文件本身，不依据任何外来证明。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5.3.5 投标的澄清 </w:t>
      </w:r>
    </w:p>
    <w:p>
      <w:pPr>
        <w:spacing w:line="440" w:lineRule="exact"/>
        <w:ind w:firstLine="480" w:firstLineChars="200"/>
        <w:rPr>
          <w:rFonts w:ascii="宋体" w:hAnsi="宋体" w:cs="宋体"/>
          <w:sz w:val="24"/>
          <w:szCs w:val="24"/>
        </w:rPr>
      </w:pPr>
      <w:r>
        <w:rPr>
          <w:rFonts w:hint="eastAsia" w:ascii="宋体" w:hAnsi="宋体" w:cs="宋体"/>
          <w:sz w:val="24"/>
          <w:szCs w:val="24"/>
        </w:rPr>
        <w:t xml:space="preserve">（1） 评标委员会有权要求供应商对投标文件中含义不明确、对同类问题表述不一致或者有明显文字和计算错误等内容作必要的澄清、说明或者补正，该要求应当采用书面形式，并由评标委员会专家签字。供应商必须按照评标委员会通知的内容和时间做出书面答复，该答复经法定代表人或供应商代表的签字认可，将作为投标文件内容的一部分。澄清、说明或者补正不得超出投标文件的范围或者改变投标文件的实质性内容。供应商拒不按照要求对投标文件进行澄清、说明或者补正的，评标委员会可拒绝该投标。 </w:t>
      </w:r>
    </w:p>
    <w:p>
      <w:pPr>
        <w:spacing w:line="440" w:lineRule="exact"/>
        <w:ind w:firstLine="480" w:firstLineChars="200"/>
        <w:rPr>
          <w:rFonts w:ascii="宋体" w:hAnsi="宋体" w:cs="宋体"/>
          <w:sz w:val="24"/>
          <w:szCs w:val="24"/>
        </w:rPr>
      </w:pPr>
      <w:r>
        <w:rPr>
          <w:rFonts w:hint="eastAsia" w:ascii="宋体" w:hAnsi="宋体" w:cs="宋体"/>
          <w:sz w:val="24"/>
          <w:szCs w:val="24"/>
        </w:rPr>
        <w:t>（2） 如评标委员会一致认为某个供应商的报价明显不合理，有降低质量、不能诚信履行的可能时，评标委员会有权决定是否要求该供应商作出书面说明并提供相关证明材料。若已要求，而该供应商未在规定期限内做出解释、作出的解释不合理或不能提供证明材料的，经评标委员会取得一致意见后，可拒绝该投标。若未决定要求该供应商作出书面说明并提供相关证明材料的，经评标委员会取得一致意见后，可直接拒绝该投标。</w:t>
      </w:r>
    </w:p>
    <w:p>
      <w:pPr>
        <w:pStyle w:val="6"/>
        <w:ind w:firstLine="480" w:firstLineChars="200"/>
        <w:jc w:val="left"/>
        <w:rPr>
          <w:rFonts w:ascii="宋体" w:hAnsi="宋体" w:cs="宋体"/>
          <w:sz w:val="24"/>
        </w:rPr>
      </w:pPr>
      <w:bookmarkStart w:id="17" w:name="_Toc525062091"/>
      <w:bookmarkEnd w:id="17"/>
      <w:bookmarkStart w:id="18" w:name="_Toc11196"/>
      <w:r>
        <w:rPr>
          <w:rFonts w:hint="eastAsia" w:ascii="宋体" w:hAnsi="宋体" w:cs="宋体"/>
          <w:sz w:val="24"/>
        </w:rPr>
        <w:t>6.评标</w:t>
      </w:r>
      <w:bookmarkEnd w:id="18"/>
    </w:p>
    <w:p>
      <w:pPr>
        <w:adjustRightInd w:val="0"/>
        <w:snapToGrid w:val="0"/>
        <w:spacing w:line="440" w:lineRule="exact"/>
        <w:ind w:firstLine="480" w:firstLineChars="200"/>
        <w:rPr>
          <w:rFonts w:ascii="宋体" w:hAnsi="宋体" w:cs="宋体"/>
          <w:b/>
          <w:bCs/>
          <w:sz w:val="24"/>
          <w:szCs w:val="24"/>
        </w:rPr>
      </w:pPr>
      <w:bookmarkStart w:id="19" w:name="_Toc525062092"/>
      <w:bookmarkEnd w:id="19"/>
      <w:bookmarkStart w:id="20" w:name="_Toc26764"/>
      <w:r>
        <w:rPr>
          <w:rFonts w:hint="eastAsia" w:ascii="宋体" w:hAnsi="宋体" w:cs="宋体"/>
          <w:b/>
          <w:bCs/>
          <w:sz w:val="24"/>
          <w:szCs w:val="24"/>
        </w:rPr>
        <w:t>6.1评审原则</w:t>
      </w:r>
      <w:bookmarkEnd w:id="20"/>
      <w:r>
        <w:rPr>
          <w:rFonts w:hint="eastAsia" w:ascii="宋体" w:hAnsi="宋体" w:cs="宋体"/>
          <w:b/>
          <w:bCs/>
          <w:sz w:val="24"/>
          <w:szCs w:val="24"/>
        </w:rPr>
        <w:t xml:space="preserve"> </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 xml:space="preserve">（1）按照招标文件的要求和条件进行，招标文件由招标人或代理机构解释； </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 xml:space="preserve">（2）评标委员会只对实质上响应招标文件的投标进行评价和比较； </w:t>
      </w:r>
    </w:p>
    <w:p>
      <w:pPr>
        <w:spacing w:line="440" w:lineRule="exact"/>
        <w:ind w:firstLine="480" w:firstLineChars="200"/>
        <w:rPr>
          <w:rFonts w:ascii="宋体" w:hAnsi="宋体" w:cs="宋体"/>
          <w:sz w:val="24"/>
          <w:szCs w:val="24"/>
        </w:rPr>
      </w:pPr>
      <w:r>
        <w:rPr>
          <w:rFonts w:hint="eastAsia" w:ascii="宋体" w:hAnsi="宋体" w:cs="宋体"/>
          <w:sz w:val="24"/>
          <w:szCs w:val="24"/>
        </w:rPr>
        <w:t>（3）评标委员会在评审时主要根据投标报价，同时根据各项技术和服务因素对供应商实力和投标售后服务等方面进行综合评价。</w:t>
      </w:r>
    </w:p>
    <w:p>
      <w:pPr>
        <w:adjustRightInd w:val="0"/>
        <w:snapToGrid w:val="0"/>
        <w:spacing w:line="440" w:lineRule="exact"/>
        <w:ind w:firstLine="480" w:firstLineChars="200"/>
        <w:rPr>
          <w:rFonts w:ascii="宋体" w:hAnsi="宋体" w:cs="宋体"/>
          <w:b/>
          <w:bCs/>
          <w:sz w:val="24"/>
          <w:szCs w:val="24"/>
        </w:rPr>
      </w:pPr>
      <w:bookmarkStart w:id="21" w:name="_Toc2640"/>
      <w:bookmarkEnd w:id="21"/>
      <w:bookmarkStart w:id="22" w:name="_Toc525062093"/>
      <w:r>
        <w:rPr>
          <w:rFonts w:hint="eastAsia" w:ascii="宋体" w:hAnsi="宋体" w:cs="宋体"/>
          <w:b/>
          <w:bCs/>
          <w:sz w:val="24"/>
          <w:szCs w:val="24"/>
        </w:rPr>
        <w:t>6.2 评标程序</w:t>
      </w:r>
      <w:bookmarkEnd w:id="22"/>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（1）资格性审查</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采购人或代理机构依据《政府采购货物和服务招标投标管理办法》 87号令的规定，公开招标采购项目开标结束后，采购人或者采购代理机构应当依法对供应商的资格进行审查，合格供应商不足3家的，不得评标。根据第二章供应商须知“供应商资格要求”中涉及资料须于开标前上传到会员诚信库系统，供应商可通过汝州市公共资源交易中心平台对会员诚信库直接进行变更维护，变更信息提交即时生效。</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供应商资格审查指标有一项不合格即为未通过资格审查。</w:t>
      </w:r>
    </w:p>
    <w:p>
      <w:pPr>
        <w:adjustRightInd w:val="0"/>
        <w:spacing w:line="440" w:lineRule="exact"/>
        <w:ind w:firstLine="480" w:firstLineChars="200"/>
        <w:jc w:val="center"/>
        <w:rPr>
          <w:rFonts w:ascii="宋体" w:hAnsi="宋体" w:cs="宋体"/>
          <w:sz w:val="24"/>
          <w:szCs w:val="24"/>
        </w:rPr>
      </w:pPr>
      <w:r>
        <w:rPr>
          <w:rFonts w:hint="eastAsia" w:ascii="宋体" w:hAnsi="宋体" w:cs="宋体"/>
          <w:sz w:val="24"/>
          <w:szCs w:val="24"/>
        </w:rPr>
        <w:t>资格评审标准</w:t>
      </w:r>
    </w:p>
    <w:tbl>
      <w:tblPr>
        <w:tblStyle w:val="46"/>
        <w:tblW w:w="9317" w:type="dxa"/>
        <w:tblInd w:w="224" w:type="dxa"/>
        <w:tblLayout w:type="fixed"/>
        <w:tblCellMar>
          <w:top w:w="0" w:type="dxa"/>
          <w:left w:w="0" w:type="dxa"/>
          <w:bottom w:w="0" w:type="dxa"/>
          <w:right w:w="113" w:type="dxa"/>
        </w:tblCellMar>
      </w:tblPr>
      <w:tblGrid>
        <w:gridCol w:w="1243"/>
        <w:gridCol w:w="1570"/>
        <w:gridCol w:w="6504"/>
      </w:tblGrid>
      <w:tr>
        <w:tblPrEx>
          <w:tblCellMar>
            <w:top w:w="0" w:type="dxa"/>
            <w:left w:w="0" w:type="dxa"/>
            <w:bottom w:w="0" w:type="dxa"/>
            <w:right w:w="113" w:type="dxa"/>
          </w:tblCellMar>
        </w:tblPrEx>
        <w:trPr>
          <w:trHeight w:val="670" w:hRule="atLeast"/>
        </w:trPr>
        <w:tc>
          <w:tcPr>
            <w:tcW w:w="1243" w:type="dxa"/>
            <w:vMerge w:val="restart"/>
            <w:tcBorders>
              <w:top w:val="single" w:color="auto" w:sz="4" w:space="0"/>
              <w:left w:val="single" w:color="auto" w:sz="4" w:space="0"/>
              <w:right w:val="single" w:color="auto" w:sz="4" w:space="0"/>
            </w:tcBorders>
            <w:vAlign w:val="center"/>
          </w:tcPr>
          <w:p>
            <w:pPr>
              <w:pStyle w:val="66"/>
              <w:kinsoku w:val="0"/>
              <w:overflowPunct w:val="0"/>
              <w:spacing w:line="316" w:lineRule="auto"/>
              <w:ind w:left="233" w:right="224"/>
              <w:jc w:val="center"/>
              <w:rPr>
                <w:rFonts w:hAnsi="宋体"/>
              </w:rPr>
            </w:pPr>
            <w:r>
              <w:rPr>
                <w:rFonts w:hint="eastAsia" w:hAnsi="宋体"/>
              </w:rPr>
              <w:t>资格评审标准</w:t>
            </w: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营业执照</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具有独立承担民事责任的能力，具备有效的营业执照、组织机构代码证、税务登记证或三证合一的营业执照</w:t>
            </w:r>
          </w:p>
        </w:tc>
      </w:tr>
      <w:tr>
        <w:tblPrEx>
          <w:tblCellMar>
            <w:top w:w="0" w:type="dxa"/>
            <w:left w:w="0" w:type="dxa"/>
            <w:bottom w:w="0" w:type="dxa"/>
            <w:right w:w="113" w:type="dxa"/>
          </w:tblCellMar>
        </w:tblPrEx>
        <w:trPr>
          <w:trHeight w:val="714"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企业资质</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生产企业具有国家食品药品监督管理部门颁发的相对应的医疗器械生产许可证、医疗器械注册证；代理商（经销商）需提供第三类医疗器械经营许可证</w:t>
            </w:r>
          </w:p>
        </w:tc>
      </w:tr>
      <w:tr>
        <w:tblPrEx>
          <w:tblCellMar>
            <w:top w:w="0" w:type="dxa"/>
            <w:left w:w="0" w:type="dxa"/>
            <w:bottom w:w="0" w:type="dxa"/>
            <w:right w:w="113" w:type="dxa"/>
          </w:tblCellMar>
        </w:tblPrEx>
        <w:trPr>
          <w:trHeight w:val="860"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财务状况</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提供2022年度经审计合格的财务审计报告，若供应商为新成立企业，提供近三个月财务报表或其基本户开户银行出具的资信证明</w:t>
            </w:r>
          </w:p>
        </w:tc>
      </w:tr>
      <w:tr>
        <w:tblPrEx>
          <w:tblCellMar>
            <w:top w:w="0" w:type="dxa"/>
            <w:left w:w="0" w:type="dxa"/>
            <w:bottom w:w="0" w:type="dxa"/>
            <w:right w:w="113" w:type="dxa"/>
          </w:tblCellMar>
        </w:tblPrEx>
        <w:trPr>
          <w:trHeight w:val="860"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税收和社保</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2023年1月以来任意一个月的公司纳税证明和社保缴纳证明</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无重大违法记录声明</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参加政府采购活动近三年内在经营活动中没有重大违法记录的书面声明</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履行合同</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具有履行合同所必需的设备和专业技术能力（提供承诺函,格式自拟）</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信用中国</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提供“中国执行信息公开网”网站的“失信被执行人”、“信用中国”网站的“重大税收违法失信主体”、“中国政府采购”网站的“政府采购严重违法失信行为记录名单”。（执行财库【2016】125 号文）查询网页截图</w:t>
            </w:r>
          </w:p>
        </w:tc>
      </w:tr>
      <w:tr>
        <w:tblPrEx>
          <w:tblCellMar>
            <w:top w:w="0" w:type="dxa"/>
            <w:left w:w="0" w:type="dxa"/>
            <w:bottom w:w="0" w:type="dxa"/>
            <w:right w:w="113" w:type="dxa"/>
          </w:tblCellMar>
        </w:tblPrEx>
        <w:trPr>
          <w:trHeight w:val="688" w:hRule="atLeast"/>
        </w:trPr>
        <w:tc>
          <w:tcPr>
            <w:tcW w:w="1243" w:type="dxa"/>
            <w:vMerge w:val="continue"/>
            <w:tcBorders>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157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2"/>
              <w:jc w:val="center"/>
              <w:rPr>
                <w:rFonts w:hAnsi="宋体"/>
              </w:rPr>
            </w:pPr>
            <w:r>
              <w:rPr>
                <w:rFonts w:hint="eastAsia" w:hAnsi="宋体"/>
              </w:rPr>
              <w:t>其他要求</w:t>
            </w:r>
          </w:p>
        </w:tc>
        <w:tc>
          <w:tcPr>
            <w:tcW w:w="6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rPr>
                <w:rFonts w:hAnsi="宋体"/>
              </w:rPr>
            </w:pPr>
            <w:r>
              <w:rPr>
                <w:rFonts w:hint="eastAsia" w:hAnsi="宋体"/>
              </w:rPr>
              <w:t>不接受联合体投标</w:t>
            </w:r>
          </w:p>
        </w:tc>
      </w:tr>
    </w:tbl>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（2）符合性审查</w:t>
      </w:r>
    </w:p>
    <w:p>
      <w:pPr>
        <w:adjustRightInd w:val="0"/>
        <w:spacing w:line="440" w:lineRule="exact"/>
        <w:ind w:firstLine="480" w:firstLineChars="200"/>
        <w:rPr>
          <w:rFonts w:ascii="宋体" w:hAnsi="宋体" w:cs="宋体"/>
          <w:sz w:val="24"/>
          <w:szCs w:val="24"/>
        </w:rPr>
      </w:pPr>
      <w:r>
        <w:rPr>
          <w:rFonts w:hint="eastAsia" w:ascii="宋体" w:hAnsi="宋体" w:cs="宋体"/>
          <w:sz w:val="24"/>
          <w:szCs w:val="24"/>
        </w:rPr>
        <w:t>通过资格审查的投标单位，由评标专家进行评审。评委会根据招标文件，对投标文件进行符合性审查。</w:t>
      </w:r>
    </w:p>
    <w:p>
      <w:pPr>
        <w:spacing w:line="440" w:lineRule="exact"/>
        <w:ind w:firstLine="480" w:firstLineChars="200"/>
        <w:rPr>
          <w:rFonts w:ascii="宋体" w:hAnsi="宋体" w:cs="宋体"/>
          <w:sz w:val="24"/>
          <w:szCs w:val="24"/>
        </w:rPr>
      </w:pPr>
      <w:r>
        <w:rPr>
          <w:rFonts w:hint="eastAsia" w:ascii="宋体" w:hAnsi="宋体" w:cs="宋体"/>
          <w:sz w:val="24"/>
          <w:szCs w:val="24"/>
        </w:rPr>
        <w:t>在评标过程中，评委会发现供应商以他人名义投标、串通投标、以行贿手段谋取中标或者以其他弄虚作假方式投标的，应否决其投标。</w:t>
      </w:r>
    </w:p>
    <w:p>
      <w:pPr>
        <w:spacing w:line="440" w:lineRule="exact"/>
        <w:ind w:firstLine="480" w:firstLineChars="200"/>
        <w:rPr>
          <w:rFonts w:ascii="宋体" w:hAnsi="宋体" w:cs="宋体"/>
          <w:sz w:val="24"/>
          <w:szCs w:val="24"/>
        </w:rPr>
      </w:pPr>
      <w:r>
        <w:rPr>
          <w:rFonts w:hint="eastAsia" w:ascii="宋体" w:hAnsi="宋体" w:cs="宋体"/>
          <w:sz w:val="24"/>
          <w:szCs w:val="24"/>
        </w:rPr>
        <w:t>细微偏差是指投标文件在实质上响应招标文件要求，但在个别地方存在漏项或者提供了不完整的技术信息和数据等情况，并且补正这些遗漏或者不完整不会对其他供应商造成不公平的结果。评委会书面要求存在细微偏差的供应商在评标结束前予以补正。</w:t>
      </w:r>
    </w:p>
    <w:p>
      <w:pPr>
        <w:spacing w:line="440" w:lineRule="exact"/>
        <w:ind w:firstLine="480" w:firstLineChars="200"/>
        <w:rPr>
          <w:rFonts w:ascii="宋体" w:hAnsi="宋体" w:cs="宋体"/>
          <w:sz w:val="24"/>
          <w:szCs w:val="24"/>
        </w:rPr>
      </w:pPr>
      <w:r>
        <w:rPr>
          <w:rFonts w:hint="eastAsia" w:ascii="宋体" w:hAnsi="宋体" w:cs="宋体"/>
          <w:sz w:val="24"/>
          <w:szCs w:val="24"/>
        </w:rPr>
        <w:t>（3）评委会可以用书面方式要求供应商对投标文件中含义不明确、对同类问题表达不一致或者有明显文字和计算错误的内容作必要的澄清、署名或者补正。供应商的澄清、说明或者有补正的须以书面方式并不得超出投标文件的范围或者改变投标文件的实质性内容；</w:t>
      </w:r>
    </w:p>
    <w:p>
      <w:pPr>
        <w:spacing w:line="440" w:lineRule="exact"/>
        <w:ind w:firstLine="480" w:firstLineChars="200"/>
        <w:rPr>
          <w:rFonts w:ascii="宋体" w:hAnsi="宋体" w:cs="宋体"/>
          <w:sz w:val="24"/>
          <w:szCs w:val="24"/>
        </w:rPr>
      </w:pPr>
      <w:r>
        <w:rPr>
          <w:rFonts w:hint="eastAsia" w:ascii="宋体" w:hAnsi="宋体" w:cs="宋体"/>
          <w:sz w:val="24"/>
          <w:szCs w:val="24"/>
        </w:rPr>
        <w:t>（4）按照招标文件中规定的评标办法和标准,对资格性审查和符合性审查合格的投标文件进行评审、打分。</w:t>
      </w:r>
    </w:p>
    <w:p>
      <w:pPr>
        <w:spacing w:line="440" w:lineRule="exact"/>
        <w:ind w:firstLine="480" w:firstLineChars="200"/>
        <w:rPr>
          <w:rFonts w:ascii="宋体" w:hAnsi="宋体" w:cs="宋体"/>
          <w:sz w:val="24"/>
          <w:szCs w:val="24"/>
        </w:rPr>
      </w:pPr>
      <w:r>
        <w:rPr>
          <w:rFonts w:hint="eastAsia" w:ascii="宋体" w:hAnsi="宋体" w:cs="宋体"/>
          <w:sz w:val="24"/>
          <w:szCs w:val="24"/>
        </w:rPr>
        <w:t>（5）评委会在评标过程中发现的问题，应当及时作出处理或者向招标人提出处理建议，并作出书面记录；</w:t>
      </w:r>
    </w:p>
    <w:p>
      <w:pPr>
        <w:spacing w:line="440" w:lineRule="exact"/>
        <w:ind w:firstLine="480" w:firstLineChars="200"/>
        <w:rPr>
          <w:rFonts w:ascii="宋体" w:hAnsi="宋体" w:cs="宋体"/>
          <w:sz w:val="24"/>
          <w:szCs w:val="24"/>
        </w:rPr>
      </w:pPr>
      <w:r>
        <w:rPr>
          <w:rFonts w:hint="eastAsia" w:ascii="宋体" w:hAnsi="宋体" w:cs="宋体"/>
          <w:sz w:val="24"/>
          <w:szCs w:val="24"/>
        </w:rPr>
        <w:t>（6）评委会编写评标报告，根据评标得分高低进行排序，根据最终得分高低，从高到低向招标人推荐前3名为中标候选人。</w:t>
      </w:r>
    </w:p>
    <w:p>
      <w:pPr>
        <w:pStyle w:val="6"/>
        <w:ind w:firstLine="480" w:firstLineChars="200"/>
        <w:jc w:val="left"/>
        <w:rPr>
          <w:rFonts w:ascii="宋体" w:hAnsi="宋体" w:cs="宋体"/>
          <w:sz w:val="24"/>
        </w:rPr>
      </w:pPr>
      <w:r>
        <w:rPr>
          <w:rFonts w:hint="eastAsia" w:ascii="宋体" w:hAnsi="宋体" w:cs="宋体"/>
          <w:sz w:val="24"/>
        </w:rPr>
        <w:t>7.中标通知</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在本章第3.3款规定的投标有效期内，招标人以书面形式向中标人发出中标通知书，同时将中标结果通知未中标的供应商。</w:t>
      </w:r>
    </w:p>
    <w:p>
      <w:pPr>
        <w:pStyle w:val="6"/>
        <w:ind w:firstLine="480" w:firstLineChars="200"/>
        <w:jc w:val="left"/>
        <w:rPr>
          <w:rFonts w:ascii="宋体" w:hAnsi="宋体" w:cs="宋体"/>
          <w:sz w:val="24"/>
        </w:rPr>
      </w:pPr>
      <w:r>
        <w:rPr>
          <w:rFonts w:hint="eastAsia" w:ascii="宋体" w:hAnsi="宋体" w:cs="宋体"/>
          <w:sz w:val="24"/>
        </w:rPr>
        <w:t>8.合同签订</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8.1 招标人和中标人应当自中标通知书发出之日起15天内，根据招标文件和中标人的投标文件订立书面合同。中标人无正当理由拒签合同的，招标人取消其中标资格。</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8.2 合同协议书经双方法定代表人或其授权的代理人签署并加电子签章后生效。</w:t>
      </w:r>
    </w:p>
    <w:p>
      <w:pPr>
        <w:pStyle w:val="6"/>
        <w:ind w:firstLine="480" w:firstLineChars="200"/>
        <w:jc w:val="left"/>
        <w:rPr>
          <w:rFonts w:ascii="宋体" w:hAnsi="宋体" w:cs="宋体"/>
          <w:sz w:val="24"/>
        </w:rPr>
      </w:pPr>
      <w:r>
        <w:rPr>
          <w:rFonts w:hint="eastAsia" w:ascii="宋体" w:hAnsi="宋体" w:cs="宋体"/>
          <w:sz w:val="24"/>
        </w:rPr>
        <w:t>9.重新招标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有下列情形之一的，招标人将重新招标：</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（1）投标截止时间止，供应商少于3个的；</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（2）经评标委员会评审后否决所有投标的；</w:t>
      </w:r>
    </w:p>
    <w:p>
      <w:pPr>
        <w:pStyle w:val="6"/>
        <w:ind w:firstLine="480" w:firstLineChars="200"/>
        <w:jc w:val="left"/>
        <w:rPr>
          <w:rFonts w:ascii="宋体" w:hAnsi="宋体" w:cs="宋体"/>
          <w:sz w:val="24"/>
        </w:rPr>
      </w:pPr>
      <w:r>
        <w:rPr>
          <w:rFonts w:hint="eastAsia" w:ascii="宋体" w:hAnsi="宋体" w:cs="宋体"/>
          <w:sz w:val="24"/>
        </w:rPr>
        <w:t>10.纪律和监督</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10.1 对招标人的纪律要求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招标人不得泄漏招标投标活动中应当保密的情况和资料，不得与供应商串通损害国家利益、社会公共利益或者他人合法权益。</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10.2 对供应商的纪律要求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供应商不得相互串通投标或者与招标人串通投标，不得向招标人或者评标委员会成员行贿谋取中标，不得以他人名义投标或者以其他方式弄虚作假骗取中标；供应商不得以任何方式干扰、影响评标工作。</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10.3 对评标委员会成员的纪律要求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11项“评标标准和办法”没有规定的评审因素和标准进行评标。</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10.4 对与评标活动有关的工作人员的纪律要求</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10.5 投诉</w:t>
      </w:r>
    </w:p>
    <w:p>
      <w:pPr>
        <w:adjustRightInd w:val="0"/>
        <w:snapToGrid w:val="0"/>
        <w:spacing w:line="440" w:lineRule="exact"/>
        <w:ind w:right="31" w:rightChars="15" w:firstLine="480" w:firstLineChars="200"/>
        <w:rPr>
          <w:rFonts w:ascii="宋体" w:hAnsi="宋体" w:cs="宋体"/>
          <w:sz w:val="24"/>
          <w:szCs w:val="24"/>
        </w:rPr>
      </w:pPr>
      <w:r>
        <w:rPr>
          <w:rFonts w:hint="eastAsia" w:ascii="宋体" w:hAnsi="宋体" w:cs="宋体"/>
          <w:sz w:val="24"/>
          <w:szCs w:val="24"/>
        </w:rPr>
        <w:t>供应商和其他利害关系人认为本次招标活动违反法律、法规和规章规定的，有权向有关行政监督部门投诉。</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10.6其他规定</w:t>
      </w:r>
      <w:bookmarkStart w:id="23" w:name="_Toc525062094"/>
      <w:bookmarkEnd w:id="23"/>
      <w:bookmarkStart w:id="24" w:name="_Toc9689"/>
      <w:bookmarkEnd w:id="24"/>
    </w:p>
    <w:p>
      <w:pPr>
        <w:adjustRightInd w:val="0"/>
        <w:snapToGrid w:val="0"/>
        <w:spacing w:line="440" w:lineRule="exact"/>
        <w:ind w:firstLine="480" w:firstLineChars="200"/>
        <w:rPr>
          <w:rFonts w:ascii="宋体" w:hAnsi="宋体" w:cs="宋体"/>
          <w:sz w:val="24"/>
          <w:szCs w:val="24"/>
        </w:rPr>
      </w:pPr>
      <w:r>
        <w:rPr>
          <w:rFonts w:hint="eastAsia" w:ascii="宋体" w:hAnsi="宋体" w:cs="宋体"/>
          <w:sz w:val="24"/>
          <w:szCs w:val="24"/>
        </w:rPr>
        <w:t>无</w:t>
      </w:r>
    </w:p>
    <w:p>
      <w:pPr>
        <w:pStyle w:val="6"/>
        <w:ind w:firstLine="480" w:firstLineChars="200"/>
        <w:jc w:val="left"/>
        <w:rPr>
          <w:rFonts w:ascii="宋体" w:hAnsi="宋体" w:cs="宋体"/>
          <w:sz w:val="24"/>
        </w:rPr>
      </w:pPr>
      <w:r>
        <w:rPr>
          <w:rFonts w:hint="eastAsia" w:ascii="宋体" w:hAnsi="宋体" w:cs="宋体"/>
          <w:sz w:val="24"/>
        </w:rPr>
        <w:t>11. 评标标准和办法</w:t>
      </w:r>
    </w:p>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11.1符合性审查</w:t>
      </w:r>
    </w:p>
    <w:tbl>
      <w:tblPr>
        <w:tblStyle w:val="46"/>
        <w:tblW w:w="9841" w:type="dxa"/>
        <w:tblInd w:w="-79" w:type="dxa"/>
        <w:tblLayout w:type="fixed"/>
        <w:tblCellMar>
          <w:top w:w="0" w:type="dxa"/>
          <w:left w:w="0" w:type="dxa"/>
          <w:bottom w:w="0" w:type="dxa"/>
          <w:right w:w="0" w:type="dxa"/>
        </w:tblCellMar>
      </w:tblPr>
      <w:tblGrid>
        <w:gridCol w:w="713"/>
        <w:gridCol w:w="1474"/>
        <w:gridCol w:w="2150"/>
        <w:gridCol w:w="5504"/>
      </w:tblGrid>
      <w:tr>
        <w:tblPrEx>
          <w:tblCellMar>
            <w:top w:w="0" w:type="dxa"/>
            <w:left w:w="0" w:type="dxa"/>
            <w:bottom w:w="0" w:type="dxa"/>
            <w:right w:w="0" w:type="dxa"/>
          </w:tblCellMar>
        </w:tblPrEx>
        <w:trPr>
          <w:trHeight w:val="534" w:hRule="atLeast"/>
        </w:trPr>
        <w:tc>
          <w:tcPr>
            <w:tcW w:w="713" w:type="dxa"/>
            <w:vMerge w:val="restart"/>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06"/>
              <w:jc w:val="center"/>
              <w:rPr>
                <w:rFonts w:hAnsi="宋体"/>
              </w:rPr>
            </w:pPr>
            <w:r>
              <w:rPr>
                <w:rFonts w:hint="eastAsia" w:hAnsi="宋体"/>
              </w:rPr>
              <w:t>1</w:t>
            </w:r>
          </w:p>
        </w:tc>
        <w:tc>
          <w:tcPr>
            <w:tcW w:w="1474" w:type="dxa"/>
            <w:vMerge w:val="restart"/>
            <w:tcBorders>
              <w:top w:val="single" w:color="000000" w:sz="4" w:space="0"/>
              <w:left w:val="nil"/>
              <w:bottom w:val="single" w:color="000000" w:sz="4" w:space="0"/>
              <w:right w:val="single" w:color="000000" w:sz="4" w:space="0"/>
            </w:tcBorders>
            <w:vAlign w:val="center"/>
          </w:tcPr>
          <w:p>
            <w:pPr>
              <w:pStyle w:val="66"/>
              <w:kinsoku w:val="0"/>
              <w:overflowPunct w:val="0"/>
              <w:spacing w:before="1" w:line="316" w:lineRule="auto"/>
              <w:ind w:left="233" w:right="226"/>
              <w:jc w:val="center"/>
              <w:rPr>
                <w:rFonts w:hAnsi="宋体"/>
              </w:rPr>
            </w:pPr>
            <w:r>
              <w:rPr>
                <w:rFonts w:hint="eastAsia" w:hAnsi="宋体"/>
              </w:rPr>
              <w:t>形式评审标准</w:t>
            </w: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22" w:right="95"/>
              <w:jc w:val="center"/>
              <w:rPr>
                <w:rFonts w:hAnsi="宋体"/>
              </w:rPr>
            </w:pPr>
            <w:r>
              <w:rPr>
                <w:rFonts w:hint="eastAsia" w:hAnsi="宋体"/>
              </w:rPr>
              <w:t>供应商名称</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07" w:right="95"/>
              <w:jc w:val="center"/>
              <w:rPr>
                <w:rFonts w:hAnsi="宋体"/>
              </w:rPr>
            </w:pPr>
            <w:r>
              <w:rPr>
                <w:rFonts w:hint="eastAsia" w:hAnsi="宋体"/>
              </w:rPr>
              <w:t>与营业执照一致</w:t>
            </w:r>
          </w:p>
        </w:tc>
      </w:tr>
      <w:tr>
        <w:tblPrEx>
          <w:tblCellMar>
            <w:top w:w="0" w:type="dxa"/>
            <w:left w:w="0" w:type="dxa"/>
            <w:bottom w:w="0" w:type="dxa"/>
            <w:right w:w="0" w:type="dxa"/>
          </w:tblCellMar>
        </w:tblPrEx>
        <w:trPr>
          <w:trHeight w:val="615"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50"/>
              <w:ind w:left="122" w:right="95"/>
              <w:jc w:val="center"/>
              <w:rPr>
                <w:rFonts w:hAnsi="宋体"/>
              </w:rPr>
            </w:pPr>
            <w:r>
              <w:rPr>
                <w:rFonts w:hint="eastAsia" w:hAnsi="宋体"/>
              </w:rPr>
              <w:t>投标函签字盖章</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52"/>
              <w:ind w:left="107"/>
              <w:jc w:val="center"/>
              <w:rPr>
                <w:rFonts w:hAnsi="宋体"/>
              </w:rPr>
            </w:pPr>
            <w:r>
              <w:rPr>
                <w:rFonts w:hint="eastAsia" w:hAnsi="宋体"/>
              </w:rPr>
              <w:t>有法定代表人或其委托代理人签字或盖章并加盖单位公章</w:t>
            </w:r>
          </w:p>
        </w:tc>
      </w:tr>
      <w:tr>
        <w:tblPrEx>
          <w:tblCellMar>
            <w:top w:w="0" w:type="dxa"/>
            <w:left w:w="0" w:type="dxa"/>
            <w:bottom w:w="0" w:type="dxa"/>
            <w:right w:w="0" w:type="dxa"/>
          </w:tblCellMar>
        </w:tblPrEx>
        <w:trPr>
          <w:trHeight w:val="714"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118"/>
              <w:ind w:left="122" w:right="95"/>
              <w:jc w:val="center"/>
              <w:rPr>
                <w:rFonts w:hAnsi="宋体"/>
              </w:rPr>
            </w:pPr>
            <w:r>
              <w:rPr>
                <w:rFonts w:hint="eastAsia" w:hAnsi="宋体"/>
              </w:rPr>
              <w:t>投标文件格式</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118"/>
              <w:ind w:left="107"/>
              <w:jc w:val="center"/>
              <w:rPr>
                <w:rFonts w:hAnsi="宋体"/>
              </w:rPr>
            </w:pPr>
            <w:r>
              <w:rPr>
                <w:rFonts w:hint="eastAsia" w:hAnsi="宋体"/>
              </w:rPr>
              <w:t>符合“投标文件格式”的要求</w:t>
            </w:r>
          </w:p>
        </w:tc>
      </w:tr>
      <w:tr>
        <w:tblPrEx>
          <w:tblCellMar>
            <w:top w:w="0" w:type="dxa"/>
            <w:left w:w="0" w:type="dxa"/>
            <w:bottom w:w="0" w:type="dxa"/>
            <w:right w:w="0" w:type="dxa"/>
          </w:tblCellMar>
        </w:tblPrEx>
        <w:trPr>
          <w:trHeight w:val="727" w:hRule="atLeast"/>
        </w:trPr>
        <w:tc>
          <w:tcPr>
            <w:tcW w:w="713" w:type="dxa"/>
            <w:vMerge w:val="continue"/>
            <w:tcBorders>
              <w:top w:val="single" w:color="000000" w:sz="4" w:space="0"/>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000000" w:sz="4" w:space="0"/>
              <w:left w:val="nil"/>
              <w:bottom w:val="single" w:color="auto"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auto" w:sz="4" w:space="0"/>
              <w:right w:val="single" w:color="000000" w:sz="4" w:space="0"/>
            </w:tcBorders>
            <w:vAlign w:val="center"/>
          </w:tcPr>
          <w:p>
            <w:pPr>
              <w:pStyle w:val="66"/>
              <w:kinsoku w:val="0"/>
              <w:overflowPunct w:val="0"/>
              <w:spacing w:before="142"/>
              <w:ind w:left="110" w:right="104"/>
              <w:jc w:val="center"/>
              <w:rPr>
                <w:rFonts w:hAnsi="宋体"/>
              </w:rPr>
            </w:pPr>
            <w:r>
              <w:rPr>
                <w:rFonts w:hint="eastAsia" w:hAnsi="宋体"/>
              </w:rPr>
              <w:t>报价唯一</w:t>
            </w:r>
          </w:p>
        </w:tc>
        <w:tc>
          <w:tcPr>
            <w:tcW w:w="5504" w:type="dxa"/>
            <w:tcBorders>
              <w:top w:val="single" w:color="000000" w:sz="4" w:space="0"/>
              <w:left w:val="nil"/>
              <w:bottom w:val="single" w:color="auto" w:sz="4" w:space="0"/>
              <w:right w:val="single" w:color="000000" w:sz="4" w:space="0"/>
            </w:tcBorders>
            <w:vAlign w:val="center"/>
          </w:tcPr>
          <w:p>
            <w:pPr>
              <w:pStyle w:val="66"/>
              <w:kinsoku w:val="0"/>
              <w:overflowPunct w:val="0"/>
              <w:spacing w:before="142"/>
              <w:ind w:left="107"/>
              <w:jc w:val="center"/>
              <w:rPr>
                <w:rFonts w:hAnsi="宋体"/>
              </w:rPr>
            </w:pPr>
            <w:r>
              <w:rPr>
                <w:rFonts w:hint="eastAsia" w:hAnsi="宋体"/>
              </w:rPr>
              <w:t>只能有一个有效报价</w:t>
            </w:r>
          </w:p>
        </w:tc>
      </w:tr>
      <w:tr>
        <w:tblPrEx>
          <w:tblCellMar>
            <w:top w:w="0" w:type="dxa"/>
            <w:left w:w="0" w:type="dxa"/>
            <w:bottom w:w="0" w:type="dxa"/>
            <w:right w:w="0" w:type="dxa"/>
          </w:tblCellMar>
        </w:tblPrEx>
        <w:trPr>
          <w:trHeight w:val="727" w:hRule="atLeast"/>
        </w:trPr>
        <w:tc>
          <w:tcPr>
            <w:tcW w:w="713" w:type="dxa"/>
            <w:tcBorders>
              <w:top w:val="single" w:color="000000" w:sz="4" w:space="0"/>
              <w:left w:val="single" w:color="000000" w:sz="4" w:space="0"/>
              <w:bottom w:val="single" w:color="000000" w:sz="4" w:space="0"/>
              <w:right w:val="single" w:color="000000" w:sz="4" w:space="0"/>
            </w:tcBorders>
            <w:vAlign w:val="center"/>
          </w:tcPr>
          <w:p>
            <w:pPr>
              <w:widowControl/>
              <w:jc w:val="center"/>
              <w:rPr>
                <w:rFonts w:ascii="宋体" w:hAnsi="宋体" w:cs="宋体"/>
                <w:kern w:val="0"/>
                <w:sz w:val="24"/>
                <w:szCs w:val="24"/>
              </w:rPr>
            </w:pPr>
            <w:r>
              <w:rPr>
                <w:rFonts w:hint="eastAsia" w:ascii="宋体" w:hAnsi="宋体" w:cs="宋体"/>
                <w:kern w:val="0"/>
                <w:sz w:val="22"/>
                <w:szCs w:val="22"/>
              </w:rPr>
              <w:t>2</w:t>
            </w:r>
          </w:p>
        </w:tc>
        <w:tc>
          <w:tcPr>
            <w:tcW w:w="1474" w:type="dxa"/>
            <w:tcBorders>
              <w:top w:val="single" w:color="000000" w:sz="4" w:space="0"/>
              <w:left w:val="nil"/>
              <w:bottom w:val="single" w:color="auto" w:sz="4" w:space="0"/>
              <w:right w:val="single" w:color="000000" w:sz="4" w:space="0"/>
            </w:tcBorders>
            <w:vAlign w:val="center"/>
          </w:tcPr>
          <w:p>
            <w:pPr>
              <w:widowControl/>
              <w:jc w:val="left"/>
              <w:rPr>
                <w:rFonts w:ascii="宋体" w:hAnsi="宋体" w:cs="宋体"/>
                <w:kern w:val="0"/>
                <w:sz w:val="24"/>
                <w:szCs w:val="24"/>
              </w:rPr>
            </w:pPr>
            <w:r>
              <w:rPr>
                <w:rFonts w:hint="eastAsia" w:ascii="宋体" w:hAnsi="宋体" w:cs="宋体"/>
                <w:kern w:val="0"/>
                <w:sz w:val="22"/>
                <w:szCs w:val="22"/>
              </w:rPr>
              <w:t>资格评审标准</w:t>
            </w:r>
          </w:p>
        </w:tc>
        <w:tc>
          <w:tcPr>
            <w:tcW w:w="2150" w:type="dxa"/>
            <w:tcBorders>
              <w:top w:val="single" w:color="000000" w:sz="4" w:space="0"/>
              <w:left w:val="nil"/>
              <w:bottom w:val="single" w:color="auto" w:sz="4" w:space="0"/>
              <w:right w:val="single" w:color="000000" w:sz="4" w:space="0"/>
            </w:tcBorders>
            <w:vAlign w:val="center"/>
          </w:tcPr>
          <w:p>
            <w:pPr>
              <w:wordWrap w:val="0"/>
              <w:spacing w:line="360" w:lineRule="auto"/>
              <w:jc w:val="center"/>
              <w:rPr>
                <w:rFonts w:ascii="宋体" w:hAnsi="宋体" w:cs="宋体"/>
              </w:rPr>
            </w:pPr>
            <w:r>
              <w:rPr>
                <w:rFonts w:hint="eastAsia" w:ascii="宋体" w:hAnsi="宋体" w:cs="宋体"/>
                <w:kern w:val="0"/>
                <w:sz w:val="22"/>
                <w:szCs w:val="22"/>
              </w:rPr>
              <w:t>供应商资格要求</w:t>
            </w:r>
          </w:p>
        </w:tc>
        <w:tc>
          <w:tcPr>
            <w:tcW w:w="5504" w:type="dxa"/>
            <w:tcBorders>
              <w:top w:val="single" w:color="000000" w:sz="4" w:space="0"/>
              <w:left w:val="nil"/>
              <w:bottom w:val="single" w:color="auto" w:sz="4" w:space="0"/>
              <w:right w:val="single" w:color="000000" w:sz="4" w:space="0"/>
            </w:tcBorders>
            <w:vAlign w:val="center"/>
          </w:tcPr>
          <w:p>
            <w:pPr>
              <w:pStyle w:val="66"/>
              <w:kinsoku w:val="0"/>
              <w:wordWrap w:val="0"/>
              <w:overflowPunct w:val="0"/>
              <w:spacing w:before="142" w:line="360" w:lineRule="auto"/>
              <w:ind w:left="107"/>
              <w:jc w:val="center"/>
              <w:rPr>
                <w:rFonts w:hAnsi="宋体"/>
                <w:sz w:val="22"/>
                <w:szCs w:val="22"/>
              </w:rPr>
            </w:pPr>
            <w:r>
              <w:rPr>
                <w:rFonts w:hint="eastAsia" w:hAnsi="宋体"/>
                <w:sz w:val="22"/>
                <w:szCs w:val="22"/>
              </w:rPr>
              <w:t>符合第二章“供应商须知前附表”第14项规定</w:t>
            </w:r>
          </w:p>
          <w:p>
            <w:pPr>
              <w:wordWrap w:val="0"/>
              <w:spacing w:line="240" w:lineRule="exact"/>
              <w:ind w:firstLine="440" w:firstLineChars="200"/>
              <w:rPr>
                <w:rFonts w:ascii="宋体" w:hAnsi="宋体" w:cs="宋体"/>
                <w:b/>
                <w:bCs/>
                <w:sz w:val="22"/>
                <w:szCs w:val="22"/>
              </w:rPr>
            </w:pPr>
          </w:p>
          <w:p>
            <w:pPr>
              <w:wordWrap w:val="0"/>
              <w:spacing w:line="360" w:lineRule="auto"/>
              <w:ind w:firstLine="440" w:firstLineChars="200"/>
              <w:rPr>
                <w:rFonts w:ascii="宋体" w:hAnsi="宋体" w:cs="宋体"/>
              </w:rPr>
            </w:pPr>
            <w:r>
              <w:rPr>
                <w:rFonts w:hint="eastAsia" w:ascii="宋体" w:hAnsi="宋体" w:cs="宋体"/>
                <w:b/>
                <w:bCs/>
                <w:sz w:val="22"/>
                <w:szCs w:val="22"/>
              </w:rPr>
              <w:t>注：</w:t>
            </w:r>
            <w:r>
              <w:rPr>
                <w:rFonts w:hint="eastAsia" w:ascii="宋体" w:hAnsi="宋体" w:cs="宋体"/>
                <w:b/>
                <w:sz w:val="22"/>
                <w:szCs w:val="22"/>
              </w:rPr>
              <w:t>采购人或代理机构依据《政府采购货物和服务招标投标管理办法》 87号令的规定，公开招标采购项目开标结束后，采购人或者采购代理机构应当依法对投标人的资格进行审查，</w:t>
            </w:r>
            <w:r>
              <w:rPr>
                <w:rFonts w:hint="eastAsia" w:ascii="宋体" w:hAnsi="宋体" w:cs="宋体"/>
                <w:b/>
                <w:bCs/>
                <w:sz w:val="22"/>
                <w:szCs w:val="22"/>
              </w:rPr>
              <w:t>投标人资格要求以及详细评审中涉及到资料须于开标前上传到会员诚信库系统，投标人可通过汝州市公共资源交易中心平台对会员诚信库直接进行变更维护，变更信息提交即时生效。</w:t>
            </w:r>
          </w:p>
        </w:tc>
      </w:tr>
      <w:tr>
        <w:tblPrEx>
          <w:tblCellMar>
            <w:top w:w="0" w:type="dxa"/>
            <w:left w:w="0" w:type="dxa"/>
            <w:bottom w:w="0" w:type="dxa"/>
            <w:right w:w="0" w:type="dxa"/>
          </w:tblCellMar>
        </w:tblPrEx>
        <w:trPr>
          <w:trHeight w:val="670" w:hRule="atLeast"/>
        </w:trPr>
        <w:tc>
          <w:tcPr>
            <w:tcW w:w="713" w:type="dxa"/>
            <w:vMerge w:val="restart"/>
            <w:tcBorders>
              <w:top w:val="nil"/>
              <w:left w:val="single" w:color="000000" w:sz="4" w:space="0"/>
              <w:bottom w:val="single" w:color="000000" w:sz="4" w:space="0"/>
              <w:right w:val="single" w:color="auto" w:sz="4" w:space="0"/>
            </w:tcBorders>
            <w:vAlign w:val="center"/>
          </w:tcPr>
          <w:p>
            <w:pPr>
              <w:pStyle w:val="66"/>
              <w:kinsoku w:val="0"/>
              <w:overflowPunct w:val="0"/>
              <w:ind w:left="106"/>
              <w:jc w:val="center"/>
              <w:rPr>
                <w:rFonts w:hAnsi="宋体"/>
              </w:rPr>
            </w:pPr>
            <w:r>
              <w:rPr>
                <w:rFonts w:hint="eastAsia" w:hAnsi="宋体"/>
              </w:rPr>
              <w:t>3</w:t>
            </w:r>
          </w:p>
        </w:tc>
        <w:tc>
          <w:tcPr>
            <w:tcW w:w="1474" w:type="dxa"/>
            <w:vMerge w:val="restart"/>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line="316" w:lineRule="auto"/>
              <w:ind w:left="233" w:right="224"/>
              <w:jc w:val="center"/>
              <w:rPr>
                <w:rFonts w:hAnsi="宋体"/>
              </w:rPr>
            </w:pPr>
            <w:r>
              <w:rPr>
                <w:rFonts w:hint="eastAsia" w:hAnsi="宋体"/>
              </w:rPr>
              <w:t>响应性评审标准</w:t>
            </w:r>
          </w:p>
        </w:tc>
        <w:tc>
          <w:tcPr>
            <w:tcW w:w="215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供货期及安装</w:t>
            </w:r>
          </w:p>
        </w:tc>
        <w:tc>
          <w:tcPr>
            <w:tcW w:w="5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符合第二章“供应商须知前附表”第9项规定</w:t>
            </w:r>
          </w:p>
        </w:tc>
      </w:tr>
      <w:tr>
        <w:tblPrEx>
          <w:tblCellMar>
            <w:top w:w="0" w:type="dxa"/>
            <w:left w:w="0" w:type="dxa"/>
            <w:bottom w:w="0" w:type="dxa"/>
            <w:right w:w="0" w:type="dxa"/>
          </w:tblCellMar>
        </w:tblPrEx>
        <w:trPr>
          <w:trHeight w:val="714" w:hRule="atLeast"/>
        </w:trPr>
        <w:tc>
          <w:tcPr>
            <w:tcW w:w="713" w:type="dxa"/>
            <w:vMerge w:val="continue"/>
            <w:tcBorders>
              <w:top w:val="nil"/>
              <w:left w:val="single" w:color="000000" w:sz="4" w:space="0"/>
              <w:bottom w:val="single" w:color="000000" w:sz="4" w:space="0"/>
              <w:right w:val="single" w:color="auto" w:sz="4" w:space="0"/>
            </w:tcBorders>
            <w:vAlign w:val="center"/>
          </w:tcPr>
          <w:p>
            <w:pPr>
              <w:widowControl/>
              <w:jc w:val="left"/>
              <w:rPr>
                <w:rFonts w:ascii="宋体" w:hAnsi="宋体" w:cs="宋体"/>
                <w:kern w:val="0"/>
                <w:sz w:val="24"/>
                <w:szCs w:val="24"/>
              </w:rPr>
            </w:pPr>
          </w:p>
        </w:tc>
        <w:tc>
          <w:tcPr>
            <w:tcW w:w="1474"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hAnsi="宋体" w:cs="宋体"/>
                <w:kern w:val="0"/>
                <w:sz w:val="24"/>
                <w:szCs w:val="24"/>
              </w:rPr>
            </w:pPr>
          </w:p>
        </w:tc>
        <w:tc>
          <w:tcPr>
            <w:tcW w:w="2150"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22" w:right="97"/>
              <w:jc w:val="center"/>
              <w:rPr>
                <w:rFonts w:hAnsi="宋体"/>
              </w:rPr>
            </w:pPr>
            <w:r>
              <w:rPr>
                <w:rFonts w:hint="eastAsia" w:hAnsi="宋体"/>
              </w:rPr>
              <w:t>质量标准</w:t>
            </w:r>
          </w:p>
        </w:tc>
        <w:tc>
          <w:tcPr>
            <w:tcW w:w="5504" w:type="dxa"/>
            <w:tcBorders>
              <w:top w:val="single" w:color="auto" w:sz="4" w:space="0"/>
              <w:left w:val="single" w:color="auto" w:sz="4" w:space="0"/>
              <w:bottom w:val="single" w:color="auto" w:sz="4" w:space="0"/>
              <w:right w:val="single" w:color="auto"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第10项规定</w:t>
            </w:r>
          </w:p>
        </w:tc>
      </w:tr>
      <w:tr>
        <w:tblPrEx>
          <w:tblCellMar>
            <w:top w:w="0" w:type="dxa"/>
            <w:left w:w="0" w:type="dxa"/>
            <w:bottom w:w="0" w:type="dxa"/>
            <w:right w:w="0" w:type="dxa"/>
          </w:tblCellMar>
        </w:tblPrEx>
        <w:trPr>
          <w:trHeight w:val="714" w:hRule="atLeast"/>
        </w:trPr>
        <w:tc>
          <w:tcPr>
            <w:tcW w:w="713"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single" w:color="auto" w:sz="4" w:space="0"/>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auto" w:sz="4" w:space="0"/>
              <w:left w:val="nil"/>
              <w:bottom w:val="single" w:color="000000" w:sz="4" w:space="0"/>
              <w:right w:val="single" w:color="000000" w:sz="4" w:space="0"/>
            </w:tcBorders>
            <w:vAlign w:val="center"/>
          </w:tcPr>
          <w:p>
            <w:pPr>
              <w:pStyle w:val="66"/>
              <w:kinsoku w:val="0"/>
              <w:overflowPunct w:val="0"/>
              <w:spacing w:before="116"/>
              <w:ind w:left="122" w:right="97"/>
              <w:jc w:val="center"/>
              <w:rPr>
                <w:rFonts w:hAnsi="宋体"/>
              </w:rPr>
            </w:pPr>
            <w:r>
              <w:rPr>
                <w:rFonts w:hint="eastAsia" w:hAnsi="宋体"/>
              </w:rPr>
              <w:t>质保期</w:t>
            </w:r>
          </w:p>
        </w:tc>
        <w:tc>
          <w:tcPr>
            <w:tcW w:w="5504" w:type="dxa"/>
            <w:tcBorders>
              <w:top w:val="single" w:color="auto" w:sz="4" w:space="0"/>
              <w:left w:val="nil"/>
              <w:bottom w:val="single" w:color="000000" w:sz="4" w:space="0"/>
              <w:right w:val="single" w:color="000000"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第11项规定</w:t>
            </w:r>
          </w:p>
        </w:tc>
      </w:tr>
      <w:tr>
        <w:tblPrEx>
          <w:tblCellMar>
            <w:top w:w="0" w:type="dxa"/>
            <w:left w:w="0" w:type="dxa"/>
            <w:bottom w:w="0" w:type="dxa"/>
            <w:right w:w="0" w:type="dxa"/>
          </w:tblCellMar>
        </w:tblPrEx>
        <w:trPr>
          <w:trHeight w:val="688" w:hRule="atLeast"/>
        </w:trPr>
        <w:tc>
          <w:tcPr>
            <w:tcW w:w="713" w:type="dxa"/>
            <w:vMerge w:val="continue"/>
            <w:tcBorders>
              <w:top w:val="nil"/>
              <w:left w:val="single" w:color="000000" w:sz="4" w:space="0"/>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1474" w:type="dxa"/>
            <w:vMerge w:val="continue"/>
            <w:tcBorders>
              <w:top w:val="nil"/>
              <w:left w:val="nil"/>
              <w:bottom w:val="single" w:color="000000" w:sz="4" w:space="0"/>
              <w:right w:val="single" w:color="000000" w:sz="4" w:space="0"/>
            </w:tcBorders>
            <w:vAlign w:val="center"/>
          </w:tcPr>
          <w:p>
            <w:pPr>
              <w:widowControl/>
              <w:jc w:val="left"/>
              <w:rPr>
                <w:rFonts w:ascii="宋体" w:hAnsi="宋体" w:cs="宋体"/>
                <w:kern w:val="0"/>
                <w:sz w:val="24"/>
                <w:szCs w:val="24"/>
              </w:rPr>
            </w:pPr>
          </w:p>
        </w:tc>
        <w:tc>
          <w:tcPr>
            <w:tcW w:w="2150" w:type="dxa"/>
            <w:tcBorders>
              <w:top w:val="single" w:color="000000" w:sz="4" w:space="0"/>
              <w:left w:val="nil"/>
              <w:bottom w:val="single" w:color="000000" w:sz="4" w:space="0"/>
              <w:right w:val="single" w:color="000000" w:sz="4" w:space="0"/>
            </w:tcBorders>
            <w:vAlign w:val="center"/>
          </w:tcPr>
          <w:p>
            <w:pPr>
              <w:pStyle w:val="66"/>
              <w:kinsoku w:val="0"/>
              <w:overflowPunct w:val="0"/>
              <w:spacing w:before="116"/>
              <w:ind w:left="122" w:right="92"/>
              <w:jc w:val="center"/>
              <w:rPr>
                <w:rFonts w:hAnsi="宋体"/>
              </w:rPr>
            </w:pPr>
            <w:r>
              <w:rPr>
                <w:rFonts w:hint="eastAsia" w:hAnsi="宋体"/>
              </w:rPr>
              <w:t>投标有效期</w:t>
            </w:r>
          </w:p>
        </w:tc>
        <w:tc>
          <w:tcPr>
            <w:tcW w:w="5504" w:type="dxa"/>
            <w:tcBorders>
              <w:top w:val="single" w:color="000000" w:sz="4" w:space="0"/>
              <w:left w:val="nil"/>
              <w:bottom w:val="single" w:color="000000" w:sz="4" w:space="0"/>
              <w:right w:val="single" w:color="000000" w:sz="4" w:space="0"/>
            </w:tcBorders>
            <w:vAlign w:val="center"/>
          </w:tcPr>
          <w:p>
            <w:pPr>
              <w:pStyle w:val="66"/>
              <w:kinsoku w:val="0"/>
              <w:overflowPunct w:val="0"/>
              <w:spacing w:before="116"/>
              <w:ind w:left="107"/>
              <w:jc w:val="center"/>
              <w:rPr>
                <w:rFonts w:hAnsi="宋体"/>
              </w:rPr>
            </w:pPr>
            <w:r>
              <w:rPr>
                <w:rFonts w:hint="eastAsia" w:hAnsi="宋体"/>
              </w:rPr>
              <w:t>符合第二章“供应商须知前附表” 第13项规定</w:t>
            </w:r>
          </w:p>
        </w:tc>
      </w:tr>
    </w:tbl>
    <w:p>
      <w:pPr>
        <w:adjustRightInd w:val="0"/>
        <w:snapToGrid w:val="0"/>
        <w:spacing w:line="440" w:lineRule="exact"/>
        <w:ind w:firstLine="480" w:firstLineChars="200"/>
        <w:rPr>
          <w:rFonts w:ascii="宋体" w:hAnsi="宋体" w:cs="宋体"/>
          <w:b/>
          <w:bCs/>
          <w:sz w:val="24"/>
          <w:szCs w:val="24"/>
        </w:rPr>
      </w:pPr>
      <w:r>
        <w:rPr>
          <w:rFonts w:hint="eastAsia" w:ascii="宋体" w:hAnsi="宋体" w:cs="宋体"/>
          <w:b/>
          <w:bCs/>
          <w:sz w:val="24"/>
          <w:szCs w:val="24"/>
        </w:rPr>
        <w:t>11.2详细评审</w:t>
      </w:r>
    </w:p>
    <w:p>
      <w:pPr>
        <w:pStyle w:val="45"/>
        <w:ind w:firstLine="602"/>
        <w:jc w:val="center"/>
        <w:rPr>
          <w:rFonts w:ascii="宋体" w:hAnsi="宋体" w:cs="宋体"/>
          <w:b/>
          <w:sz w:val="28"/>
          <w:szCs w:val="32"/>
        </w:rPr>
      </w:pPr>
      <w:r>
        <w:rPr>
          <w:rFonts w:hint="eastAsia" w:ascii="宋体" w:hAnsi="宋体" w:cs="宋体"/>
          <w:b/>
          <w:sz w:val="28"/>
          <w:szCs w:val="32"/>
        </w:rPr>
        <w:t>详细评审</w:t>
      </w:r>
    </w:p>
    <w:tbl>
      <w:tblPr>
        <w:tblStyle w:val="46"/>
        <w:tblW w:w="9842"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336"/>
        <w:gridCol w:w="1922"/>
        <w:gridCol w:w="5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shd w:val="clear" w:color="auto" w:fill="auto"/>
          </w:tcPr>
          <w:p>
            <w:pPr>
              <w:rPr>
                <w:rFonts w:ascii="宋体" w:hAnsi="宋体" w:cs="宋体"/>
                <w:sz w:val="24"/>
                <w:szCs w:val="24"/>
              </w:rPr>
            </w:pPr>
            <w:r>
              <w:rPr>
                <w:rFonts w:hint="eastAsia" w:ascii="宋体" w:hAnsi="宋体" w:cs="宋体"/>
                <w:sz w:val="24"/>
                <w:szCs w:val="24"/>
              </w:rPr>
              <w:t>序号</w:t>
            </w:r>
          </w:p>
        </w:tc>
        <w:tc>
          <w:tcPr>
            <w:tcW w:w="3258" w:type="dxa"/>
            <w:gridSpan w:val="2"/>
            <w:shd w:val="clear" w:color="auto" w:fill="auto"/>
            <w:vAlign w:val="center"/>
          </w:tcPr>
          <w:p>
            <w:pPr>
              <w:jc w:val="center"/>
              <w:rPr>
                <w:rFonts w:ascii="宋体" w:hAnsi="宋体" w:cs="宋体"/>
                <w:sz w:val="24"/>
                <w:szCs w:val="24"/>
              </w:rPr>
            </w:pPr>
            <w:r>
              <w:rPr>
                <w:rFonts w:hint="eastAsia" w:ascii="宋体" w:hAnsi="宋体" w:cs="宋体"/>
                <w:sz w:val="24"/>
                <w:szCs w:val="24"/>
              </w:rPr>
              <w:t>评分类别</w:t>
            </w:r>
          </w:p>
        </w:tc>
        <w:tc>
          <w:tcPr>
            <w:tcW w:w="5816" w:type="dxa"/>
            <w:shd w:val="clear" w:color="auto" w:fill="auto"/>
            <w:vAlign w:val="center"/>
          </w:tcPr>
          <w:p>
            <w:pPr>
              <w:jc w:val="center"/>
              <w:rPr>
                <w:rFonts w:ascii="宋体" w:hAnsi="宋体" w:cs="宋体"/>
                <w:sz w:val="24"/>
                <w:szCs w:val="24"/>
              </w:rPr>
            </w:pPr>
            <w:r>
              <w:rPr>
                <w:rFonts w:hint="eastAsia" w:ascii="宋体" w:hAnsi="宋体" w:cs="宋体"/>
                <w:sz w:val="24"/>
                <w:szCs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shd w:val="clear" w:color="auto" w:fill="auto"/>
          </w:tcPr>
          <w:p>
            <w:pPr>
              <w:rPr>
                <w:rFonts w:ascii="宋体" w:hAnsi="宋体" w:cs="宋体"/>
                <w:sz w:val="24"/>
                <w:szCs w:val="24"/>
              </w:rPr>
            </w:pPr>
            <w:r>
              <w:rPr>
                <w:rFonts w:hint="eastAsia" w:ascii="宋体" w:hAnsi="宋体" w:cs="宋体"/>
                <w:sz w:val="24"/>
                <w:szCs w:val="24"/>
              </w:rPr>
              <w:t>1</w:t>
            </w:r>
          </w:p>
        </w:tc>
        <w:tc>
          <w:tcPr>
            <w:tcW w:w="1336" w:type="dxa"/>
            <w:shd w:val="clear" w:color="auto" w:fill="auto"/>
            <w:vAlign w:val="center"/>
          </w:tcPr>
          <w:p>
            <w:pPr>
              <w:rPr>
                <w:rFonts w:ascii="宋体" w:hAnsi="宋体" w:cs="宋体"/>
                <w:sz w:val="24"/>
                <w:szCs w:val="24"/>
              </w:rPr>
            </w:pPr>
            <w:r>
              <w:rPr>
                <w:rFonts w:hint="eastAsia" w:ascii="宋体" w:hAnsi="宋体" w:cs="宋体"/>
                <w:sz w:val="24"/>
                <w:szCs w:val="24"/>
              </w:rPr>
              <w:t>商务部分（30分）</w:t>
            </w:r>
          </w:p>
        </w:tc>
        <w:tc>
          <w:tcPr>
            <w:tcW w:w="1922" w:type="dxa"/>
            <w:shd w:val="clear" w:color="auto" w:fill="auto"/>
            <w:vAlign w:val="center"/>
          </w:tcPr>
          <w:p>
            <w:pPr>
              <w:rPr>
                <w:rFonts w:ascii="宋体" w:hAnsi="宋体" w:cs="宋体"/>
                <w:sz w:val="24"/>
                <w:szCs w:val="24"/>
              </w:rPr>
            </w:pPr>
            <w:r>
              <w:rPr>
                <w:rFonts w:hint="eastAsia" w:ascii="宋体" w:hAnsi="宋体" w:cs="宋体"/>
                <w:sz w:val="24"/>
                <w:szCs w:val="24"/>
              </w:rPr>
              <w:t>投标报价（30分）</w:t>
            </w:r>
          </w:p>
        </w:tc>
        <w:tc>
          <w:tcPr>
            <w:tcW w:w="5816" w:type="dxa"/>
            <w:shd w:val="clear" w:color="auto" w:fill="auto"/>
            <w:vAlign w:val="center"/>
          </w:tcPr>
          <w:p>
            <w:pPr>
              <w:pStyle w:val="44"/>
              <w:ind w:firstLine="240"/>
              <w:rPr>
                <w:rFonts w:ascii="宋体" w:hAnsi="宋体" w:cs="宋体"/>
              </w:rPr>
            </w:pPr>
            <w:r>
              <w:rPr>
                <w:rFonts w:hint="eastAsia" w:ascii="宋体" w:hAnsi="宋体" w:cs="宋体"/>
              </w:rPr>
              <w:t>综合评分法中的价格分统一采用低价优先法计算，即满足招标文件要求且投标评审价最低的价格为评标基准价，其价格分为满分30分。其他供应商的价格分统一按照下列公式计算：</w:t>
            </w:r>
          </w:p>
          <w:p>
            <w:pPr>
              <w:pStyle w:val="44"/>
              <w:ind w:firstLine="240"/>
              <w:rPr>
                <w:rFonts w:ascii="宋体" w:hAnsi="宋体" w:cs="宋体"/>
              </w:rPr>
            </w:pPr>
            <w:r>
              <w:rPr>
                <w:rFonts w:hint="eastAsia" w:ascii="宋体" w:hAnsi="宋体" w:cs="宋体"/>
              </w:rPr>
              <w:t>投标报价得分=（评标基准价／投标报价）×30</w:t>
            </w:r>
          </w:p>
          <w:p>
            <w:pPr>
              <w:pStyle w:val="44"/>
              <w:ind w:firstLine="240"/>
              <w:rPr>
                <w:rFonts w:ascii="宋体" w:hAnsi="宋体" w:cs="宋体"/>
              </w:rPr>
            </w:pPr>
            <w:r>
              <w:rPr>
                <w:rFonts w:hint="eastAsia" w:ascii="宋体" w:hAnsi="宋体" w:cs="宋体"/>
              </w:rPr>
              <w:t>报价得分数值精度为小数点后二位（四舍五入）。</w:t>
            </w:r>
          </w:p>
          <w:p>
            <w:pPr>
              <w:pStyle w:val="44"/>
              <w:ind w:firstLine="240"/>
              <w:rPr>
                <w:rFonts w:ascii="宋体" w:hAnsi="宋体" w:cs="宋体"/>
              </w:rPr>
            </w:pPr>
            <w:r>
              <w:rPr>
                <w:rFonts w:hint="eastAsia" w:ascii="宋体" w:hAnsi="宋体" w:cs="宋体"/>
              </w:rPr>
              <w:t>1.根据财库{2022}19号文件的通知，对小型和微型企业的投标报价给予10%的扣除，用扣除后的价格参与评审，小微企业参与价格分计算价=小微企业报价×（1-10%）；没有提供《中小企业声明函》的报价供应商将被视为不接受评标报价的扣除，用原投标报价参与评审。</w:t>
            </w:r>
          </w:p>
          <w:p>
            <w:pPr>
              <w:pStyle w:val="44"/>
              <w:ind w:firstLine="240"/>
              <w:rPr>
                <w:rFonts w:ascii="宋体" w:hAnsi="宋体" w:cs="宋体"/>
              </w:rPr>
            </w:pPr>
            <w:r>
              <w:rPr>
                <w:rFonts w:hint="eastAsia" w:ascii="宋体" w:hAnsi="宋体" w:cs="宋体"/>
              </w:rPr>
              <w:t>2.监狱企业、残疾人福利性单位视同小型、微型企业;</w:t>
            </w:r>
          </w:p>
          <w:p>
            <w:pPr>
              <w:pStyle w:val="44"/>
              <w:ind w:firstLine="240"/>
              <w:rPr>
                <w:rFonts w:ascii="宋体" w:hAnsi="宋体" w:cs="宋体"/>
              </w:rPr>
            </w:pPr>
            <w:r>
              <w:rPr>
                <w:rFonts w:hint="eastAsia" w:ascii="宋体" w:hAnsi="宋体" w:cs="宋体"/>
              </w:rPr>
              <w:t>3.供应商提供的货物既有中小企业制造货物，也有大型企业制造货物的，不享受中小企业扶持政策。</w:t>
            </w:r>
          </w:p>
          <w:p>
            <w:pPr>
              <w:pStyle w:val="44"/>
              <w:ind w:firstLine="240"/>
              <w:rPr>
                <w:rFonts w:ascii="宋体" w:hAnsi="宋体" w:cs="宋体"/>
              </w:rPr>
            </w:pPr>
            <w:r>
              <w:rPr>
                <w:rFonts w:hint="eastAsia" w:ascii="宋体" w:hAnsi="宋体" w:cs="宋体"/>
              </w:rPr>
              <w:t xml:space="preserve">注：评标委员会认为供应商的报价明显低于其他通过符合性审查供应商的报价，有可能影响产品质量或者不能诚信履约的，应当要求其在评标现场合理的时间内提供说明，必要时提交相关证明材料；供应商在规定时间内不能证明其报价合理性的，评标委员会应当将其作为无效投标处理。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2</w:t>
            </w:r>
          </w:p>
        </w:tc>
        <w:tc>
          <w:tcPr>
            <w:tcW w:w="1336"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技术部分（50分）</w:t>
            </w:r>
          </w:p>
        </w:tc>
        <w:tc>
          <w:tcPr>
            <w:tcW w:w="1922" w:type="dxa"/>
            <w:shd w:val="clear" w:color="auto" w:fill="auto"/>
            <w:vAlign w:val="center"/>
          </w:tcPr>
          <w:p>
            <w:pPr>
              <w:jc w:val="center"/>
              <w:rPr>
                <w:rFonts w:ascii="宋体" w:hAnsi="宋体" w:cs="宋体"/>
                <w:sz w:val="24"/>
                <w:szCs w:val="24"/>
              </w:rPr>
            </w:pPr>
            <w:r>
              <w:rPr>
                <w:rFonts w:hint="eastAsia" w:ascii="宋体" w:hAnsi="宋体" w:cs="宋体"/>
                <w:sz w:val="24"/>
                <w:szCs w:val="24"/>
              </w:rPr>
              <w:t>技术参数</w:t>
            </w:r>
          </w:p>
          <w:p>
            <w:pPr>
              <w:jc w:val="center"/>
              <w:rPr>
                <w:rFonts w:ascii="宋体" w:hAnsi="宋体" w:cs="宋体"/>
                <w:sz w:val="24"/>
                <w:szCs w:val="24"/>
              </w:rPr>
            </w:pPr>
            <w:r>
              <w:rPr>
                <w:rFonts w:hint="eastAsia" w:ascii="宋体" w:hAnsi="宋体" w:cs="宋体"/>
                <w:sz w:val="24"/>
                <w:szCs w:val="24"/>
              </w:rPr>
              <w:t>（40分）</w:t>
            </w:r>
          </w:p>
        </w:tc>
        <w:tc>
          <w:tcPr>
            <w:tcW w:w="5816" w:type="dxa"/>
            <w:shd w:val="clear" w:color="auto" w:fill="auto"/>
          </w:tcPr>
          <w:p>
            <w:pPr>
              <w:rPr>
                <w:rFonts w:ascii="宋体" w:hAnsi="宋体" w:cs="宋体"/>
                <w:sz w:val="24"/>
                <w:szCs w:val="24"/>
              </w:rPr>
            </w:pPr>
            <w:r>
              <w:rPr>
                <w:rFonts w:hint="eastAsia" w:ascii="宋体" w:hAnsi="宋体" w:cs="宋体"/>
                <w:sz w:val="24"/>
                <w:szCs w:val="24"/>
              </w:rPr>
              <w:t>技术指标和要求40分</w:t>
            </w:r>
          </w:p>
          <w:p>
            <w:pPr>
              <w:rPr>
                <w:rFonts w:ascii="宋体" w:hAnsi="宋体" w:cs="宋体"/>
                <w:sz w:val="24"/>
                <w:szCs w:val="24"/>
              </w:rPr>
            </w:pPr>
            <w:r>
              <w:rPr>
                <w:rFonts w:hint="eastAsia" w:ascii="宋体" w:hAnsi="宋体" w:cs="宋体"/>
                <w:sz w:val="24"/>
                <w:szCs w:val="24"/>
              </w:rPr>
              <w:t>根据招标文件第三章中采购清单及参数要求，如果供应商所投设备的所有条款均符合招标文件技术参数与要求，得基本分40分。</w:t>
            </w:r>
          </w:p>
          <w:p>
            <w:pPr>
              <w:rPr>
                <w:rFonts w:ascii="宋体" w:hAnsi="宋体" w:cs="宋体"/>
                <w:sz w:val="24"/>
                <w:szCs w:val="24"/>
              </w:rPr>
            </w:pPr>
            <w:r>
              <w:rPr>
                <w:rFonts w:hint="eastAsia" w:ascii="宋体" w:hAnsi="宋体" w:cs="宋体"/>
                <w:sz w:val="24"/>
                <w:szCs w:val="24"/>
              </w:rPr>
              <w:t>带“*”号的技术参数为关键性技术参数，每有一项负偏差即在技术参数基本分40分的基础上扣除3分，以此累计，扣完为止（须有技术支持证明文件，否则可视为不满足）；</w:t>
            </w:r>
          </w:p>
          <w:p>
            <w:pPr>
              <w:rPr>
                <w:rFonts w:ascii="宋体" w:hAnsi="宋体" w:cs="宋体"/>
                <w:sz w:val="24"/>
                <w:szCs w:val="24"/>
              </w:rPr>
            </w:pPr>
            <w:r>
              <w:rPr>
                <w:rFonts w:hint="eastAsia" w:ascii="宋体" w:hAnsi="宋体" w:cs="宋体"/>
                <w:sz w:val="24"/>
                <w:szCs w:val="24"/>
              </w:rPr>
              <w:t>不带“*”号的技术参数为一般性技术参数，每有一项负偏差即在技术参数基本分的基础上40分的基础上扣除0.5分，以此累计，扣完为止；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jc w:val="center"/>
              <w:rPr>
                <w:rFonts w:ascii="宋体" w:hAnsi="宋体" w:cs="宋体"/>
                <w:sz w:val="24"/>
                <w:szCs w:val="24"/>
              </w:rPr>
            </w:pPr>
            <w:r>
              <w:rPr>
                <w:rFonts w:hint="eastAsia" w:ascii="宋体" w:hAnsi="宋体" w:cs="宋体"/>
                <w:sz w:val="24"/>
                <w:szCs w:val="24"/>
              </w:rPr>
              <w:t>设备档次</w:t>
            </w:r>
          </w:p>
          <w:p>
            <w:pPr>
              <w:jc w:val="center"/>
              <w:rPr>
                <w:rFonts w:ascii="宋体" w:hAnsi="宋体" w:cs="宋体"/>
                <w:sz w:val="24"/>
                <w:szCs w:val="24"/>
              </w:rPr>
            </w:pPr>
            <w:r>
              <w:rPr>
                <w:rFonts w:hint="eastAsia" w:ascii="宋体" w:hAnsi="宋体" w:cs="宋体"/>
                <w:sz w:val="24"/>
                <w:szCs w:val="24"/>
              </w:rPr>
              <w:t>（5分）</w:t>
            </w:r>
          </w:p>
        </w:tc>
        <w:tc>
          <w:tcPr>
            <w:tcW w:w="5816" w:type="dxa"/>
            <w:shd w:val="clear" w:color="auto" w:fill="auto"/>
          </w:tcPr>
          <w:p>
            <w:pPr>
              <w:rPr>
                <w:rFonts w:ascii="宋体" w:hAnsi="宋体" w:cs="宋体"/>
                <w:sz w:val="24"/>
                <w:szCs w:val="24"/>
              </w:rPr>
            </w:pPr>
            <w:r>
              <w:rPr>
                <w:rFonts w:hint="eastAsia" w:ascii="宋体" w:hAnsi="宋体" w:cs="宋体"/>
                <w:sz w:val="24"/>
                <w:szCs w:val="24"/>
              </w:rPr>
              <w:t>评标委员会根据所投产品产品市场占有率高、品牌知名度优等进行打分。优得3-5分，一般得1-3分，差得1分。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spacing w:line="300" w:lineRule="auto"/>
              <w:jc w:val="center"/>
              <w:rPr>
                <w:rFonts w:ascii="宋体" w:hAnsi="宋体" w:cs="宋体"/>
              </w:rPr>
            </w:pPr>
            <w:r>
              <w:rPr>
                <w:rFonts w:hint="eastAsia" w:ascii="宋体" w:hAnsi="宋体" w:cs="宋体"/>
                <w:sz w:val="24"/>
                <w:szCs w:val="24"/>
              </w:rPr>
              <w:t>设备先进性</w:t>
            </w:r>
          </w:p>
          <w:p>
            <w:pPr>
              <w:spacing w:line="300" w:lineRule="auto"/>
              <w:jc w:val="center"/>
              <w:rPr>
                <w:rFonts w:ascii="宋体" w:hAnsi="宋体" w:cs="宋体"/>
                <w:sz w:val="24"/>
                <w:szCs w:val="24"/>
              </w:rPr>
            </w:pPr>
            <w:r>
              <w:rPr>
                <w:rFonts w:hint="eastAsia" w:ascii="宋体" w:hAnsi="宋体" w:cs="宋体"/>
                <w:sz w:val="24"/>
                <w:szCs w:val="24"/>
              </w:rPr>
              <w:t>（5分）</w:t>
            </w:r>
          </w:p>
        </w:tc>
        <w:tc>
          <w:tcPr>
            <w:tcW w:w="5816" w:type="dxa"/>
            <w:shd w:val="clear" w:color="auto" w:fill="auto"/>
          </w:tcPr>
          <w:p>
            <w:pPr>
              <w:rPr>
                <w:rFonts w:ascii="宋体" w:hAnsi="宋体" w:cs="宋体"/>
                <w:sz w:val="24"/>
                <w:szCs w:val="24"/>
              </w:rPr>
            </w:pPr>
            <w:r>
              <w:rPr>
                <w:rFonts w:hint="eastAsia" w:ascii="宋体" w:hAnsi="宋体" w:cs="宋体"/>
                <w:sz w:val="24"/>
                <w:szCs w:val="24"/>
              </w:rPr>
              <w:t>评标委员会根据投标产品的综合技术性能、先进性、临床实用性、技术参数符合性及性价比等进行打分。</w:t>
            </w:r>
          </w:p>
          <w:p>
            <w:pPr>
              <w:rPr>
                <w:rFonts w:ascii="宋体" w:hAnsi="宋体" w:cs="宋体"/>
                <w:sz w:val="24"/>
                <w:szCs w:val="24"/>
              </w:rPr>
            </w:pPr>
            <w:r>
              <w:rPr>
                <w:rFonts w:hint="eastAsia" w:ascii="宋体" w:hAnsi="宋体" w:cs="宋体"/>
                <w:sz w:val="24"/>
                <w:szCs w:val="24"/>
              </w:rPr>
              <w:t>（1）所投设备的技术先进性、可靠性、安全性高，功能完善、货物与部件的制造技术、生产工艺达到行业内高水平、高质量标准，得3-5分；</w:t>
            </w:r>
          </w:p>
          <w:p>
            <w:pPr>
              <w:rPr>
                <w:rFonts w:ascii="宋体" w:hAnsi="宋体" w:cs="宋体"/>
                <w:sz w:val="24"/>
                <w:szCs w:val="24"/>
              </w:rPr>
            </w:pPr>
            <w:r>
              <w:rPr>
                <w:rFonts w:hint="eastAsia" w:ascii="宋体" w:hAnsi="宋体" w:cs="宋体"/>
                <w:sz w:val="24"/>
                <w:szCs w:val="24"/>
              </w:rPr>
              <w:t>（2）所投设备在同类中技术属于较先进、技术成熟性、设备可靠性较强，功能较完善的，得1-3分；</w:t>
            </w:r>
          </w:p>
          <w:p>
            <w:pPr>
              <w:rPr>
                <w:rFonts w:ascii="宋体" w:hAnsi="宋体" w:cs="宋体"/>
                <w:sz w:val="24"/>
                <w:szCs w:val="24"/>
              </w:rPr>
            </w:pPr>
            <w:r>
              <w:rPr>
                <w:rFonts w:hint="eastAsia" w:ascii="宋体" w:hAnsi="宋体" w:cs="宋体"/>
                <w:sz w:val="24"/>
                <w:szCs w:val="24"/>
              </w:rPr>
              <w:t>（3）所投设备在同类中技术先进性、可靠性、安全性一般，货物及部件的制造技术、生产工艺等方面一般的，得1分；</w:t>
            </w:r>
          </w:p>
          <w:p>
            <w:pPr>
              <w:rPr>
                <w:rFonts w:ascii="宋体" w:hAnsi="宋体" w:cs="宋体"/>
                <w:sz w:val="24"/>
                <w:szCs w:val="24"/>
              </w:rPr>
            </w:pPr>
            <w:r>
              <w:rPr>
                <w:rFonts w:hint="eastAsia" w:ascii="宋体" w:hAnsi="宋体" w:cs="宋体"/>
                <w:sz w:val="24"/>
                <w:szCs w:val="24"/>
              </w:rPr>
              <w:t>未提供或缺项不得分。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3</w:t>
            </w:r>
          </w:p>
        </w:tc>
        <w:tc>
          <w:tcPr>
            <w:tcW w:w="1336" w:type="dxa"/>
            <w:vMerge w:val="restart"/>
            <w:shd w:val="clear" w:color="auto" w:fill="auto"/>
            <w:vAlign w:val="center"/>
          </w:tcPr>
          <w:p>
            <w:pPr>
              <w:jc w:val="center"/>
              <w:rPr>
                <w:rFonts w:ascii="宋体" w:hAnsi="宋体" w:cs="宋体"/>
                <w:sz w:val="24"/>
                <w:szCs w:val="24"/>
              </w:rPr>
            </w:pPr>
            <w:r>
              <w:rPr>
                <w:rFonts w:hint="eastAsia" w:ascii="宋体" w:hAnsi="宋体" w:cs="宋体"/>
                <w:sz w:val="24"/>
                <w:szCs w:val="24"/>
              </w:rPr>
              <w:t>综合部分（20分）</w:t>
            </w:r>
          </w:p>
        </w:tc>
        <w:tc>
          <w:tcPr>
            <w:tcW w:w="1922" w:type="dxa"/>
            <w:shd w:val="clear" w:color="auto" w:fill="auto"/>
            <w:vAlign w:val="center"/>
          </w:tcPr>
          <w:p>
            <w:pPr>
              <w:jc w:val="center"/>
              <w:rPr>
                <w:rFonts w:ascii="宋体" w:hAnsi="宋体" w:cs="宋体"/>
                <w:sz w:val="24"/>
                <w:szCs w:val="24"/>
              </w:rPr>
            </w:pPr>
            <w:r>
              <w:rPr>
                <w:rFonts w:hint="eastAsia" w:ascii="宋体" w:hAnsi="宋体" w:cs="宋体"/>
                <w:kern w:val="0"/>
                <w:sz w:val="24"/>
                <w:szCs w:val="24"/>
              </w:rPr>
              <w:t>供货计划（10分）</w:t>
            </w:r>
          </w:p>
        </w:tc>
        <w:tc>
          <w:tcPr>
            <w:tcW w:w="5816" w:type="dxa"/>
            <w:shd w:val="clear" w:color="auto" w:fill="auto"/>
          </w:tcPr>
          <w:p>
            <w:pPr>
              <w:rPr>
                <w:rFonts w:ascii="宋体" w:hAnsi="宋体" w:cs="宋体"/>
                <w:sz w:val="24"/>
                <w:szCs w:val="24"/>
              </w:rPr>
            </w:pPr>
            <w:r>
              <w:rPr>
                <w:rFonts w:hint="eastAsia" w:ascii="宋体" w:hAnsi="宋体" w:cs="宋体"/>
                <w:sz w:val="24"/>
                <w:szCs w:val="24"/>
              </w:rPr>
              <w:t>供货计划、验收方案完善有保障，供货时间等安排能较好满足使用方要求进行评分，详细完善得7-10分；良好得4-7分，一般得1-4分，较低得1分，差或无得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8" w:type="dxa"/>
            <w:vMerge w:val="continue"/>
            <w:shd w:val="clear" w:color="auto" w:fill="auto"/>
            <w:vAlign w:val="center"/>
          </w:tcPr>
          <w:p>
            <w:pPr>
              <w:jc w:val="center"/>
              <w:rPr>
                <w:rFonts w:ascii="宋体" w:hAnsi="宋体" w:cs="宋体"/>
                <w:sz w:val="24"/>
                <w:szCs w:val="24"/>
              </w:rPr>
            </w:pPr>
          </w:p>
        </w:tc>
        <w:tc>
          <w:tcPr>
            <w:tcW w:w="1336" w:type="dxa"/>
            <w:vMerge w:val="continue"/>
            <w:shd w:val="clear" w:color="auto" w:fill="auto"/>
            <w:vAlign w:val="center"/>
          </w:tcPr>
          <w:p>
            <w:pPr>
              <w:jc w:val="center"/>
              <w:rPr>
                <w:rFonts w:ascii="宋体" w:hAnsi="宋体" w:cs="宋体"/>
                <w:sz w:val="24"/>
                <w:szCs w:val="24"/>
              </w:rPr>
            </w:pPr>
          </w:p>
        </w:tc>
        <w:tc>
          <w:tcPr>
            <w:tcW w:w="1922" w:type="dxa"/>
            <w:shd w:val="clear" w:color="auto" w:fill="auto"/>
            <w:vAlign w:val="center"/>
          </w:tcPr>
          <w:p>
            <w:pPr>
              <w:pStyle w:val="44"/>
              <w:ind w:firstLine="240"/>
              <w:rPr>
                <w:rFonts w:ascii="宋体" w:hAnsi="宋体" w:cs="宋体"/>
                <w:kern w:val="2"/>
              </w:rPr>
            </w:pPr>
            <w:r>
              <w:rPr>
                <w:rFonts w:hint="eastAsia" w:ascii="宋体" w:hAnsi="宋体" w:cs="宋体"/>
              </w:rPr>
              <w:t>售后服务（10分）</w:t>
            </w:r>
          </w:p>
        </w:tc>
        <w:tc>
          <w:tcPr>
            <w:tcW w:w="5816" w:type="dxa"/>
            <w:shd w:val="clear" w:color="auto" w:fill="auto"/>
          </w:tcPr>
          <w:p>
            <w:pPr>
              <w:rPr>
                <w:rFonts w:ascii="宋体" w:hAnsi="宋体" w:cs="宋体"/>
                <w:sz w:val="24"/>
                <w:szCs w:val="24"/>
              </w:rPr>
            </w:pPr>
            <w:r>
              <w:rPr>
                <w:rFonts w:hint="eastAsia" w:ascii="宋体" w:hAnsi="宋体" w:cs="宋体"/>
                <w:sz w:val="24"/>
                <w:szCs w:val="24"/>
              </w:rPr>
              <w:t>详细说明售后服务的内容、形式、安装培训方案、质量保证、含免费维修时间、解决质量或操作问题的响应时间、维修单位名称、地点，由评委根据各供应商差异进行评分，描述详细完善得7-10分；良好得4-7分；一般得1-4 分；较低得1分；差或无得0分。</w:t>
            </w:r>
          </w:p>
        </w:tc>
      </w:tr>
    </w:tbl>
    <w:p>
      <w:pPr>
        <w:spacing w:line="360" w:lineRule="auto"/>
        <w:ind w:firstLine="480" w:firstLineChars="200"/>
        <w:rPr>
          <w:rFonts w:ascii="宋体" w:hAnsi="宋体" w:cs="宋体"/>
          <w:bCs/>
          <w:kern w:val="44"/>
          <w:sz w:val="24"/>
          <w:szCs w:val="24"/>
        </w:rPr>
      </w:pPr>
      <w:bookmarkStart w:id="25" w:name="_Toc525062095"/>
      <w:bookmarkEnd w:id="25"/>
      <w:bookmarkStart w:id="26" w:name="_Toc29806"/>
      <w:r>
        <w:rPr>
          <w:rFonts w:hint="eastAsia" w:ascii="宋体" w:hAnsi="宋体" w:cs="宋体"/>
          <w:bCs/>
          <w:kern w:val="44"/>
          <w:sz w:val="24"/>
          <w:szCs w:val="24"/>
        </w:rPr>
        <w:t>评标办法</w:t>
      </w:r>
      <w:bookmarkEnd w:id="26"/>
      <w:r>
        <w:rPr>
          <w:rFonts w:hint="eastAsia" w:ascii="宋体" w:hAnsi="宋体" w:cs="宋体"/>
          <w:bCs/>
          <w:kern w:val="44"/>
          <w:sz w:val="24"/>
          <w:szCs w:val="24"/>
        </w:rPr>
        <w:t>：本次评标采用综合评</w:t>
      </w:r>
      <w:r>
        <w:rPr>
          <w:rFonts w:hint="eastAsia" w:ascii="宋体" w:hAnsi="宋体" w:cs="宋体"/>
          <w:sz w:val="24"/>
          <w:szCs w:val="24"/>
        </w:rPr>
        <w:t>分</w:t>
      </w:r>
      <w:r>
        <w:rPr>
          <w:rFonts w:hint="eastAsia" w:ascii="宋体" w:hAnsi="宋体" w:cs="宋体"/>
          <w:bCs/>
          <w:kern w:val="44"/>
          <w:sz w:val="24"/>
          <w:szCs w:val="24"/>
        </w:rPr>
        <w:t>法。评标委员会对满足招标文件实质性要求的投标文件，按照本章规定的评分标准进行打分，并按得分由高到低顺序推荐3名中标候选人，但投标报价低于其成本的除外。综合评分相等时，以投标报价低的优先；投标报价也相等的，按技术部分的得分由高到低排序。</w:t>
      </w:r>
    </w:p>
    <w:p>
      <w:pPr>
        <w:spacing w:line="360" w:lineRule="auto"/>
        <w:ind w:firstLine="480" w:firstLineChars="200"/>
        <w:rPr>
          <w:rFonts w:ascii="宋体" w:hAnsi="宋体" w:cs="宋体"/>
          <w:bCs/>
          <w:kern w:val="44"/>
          <w:sz w:val="24"/>
          <w:szCs w:val="24"/>
        </w:rPr>
      </w:pPr>
      <w:r>
        <w:rPr>
          <w:rFonts w:hint="eastAsia" w:ascii="宋体" w:hAnsi="宋体" w:cs="宋体"/>
          <w:bCs/>
          <w:kern w:val="44"/>
          <w:sz w:val="24"/>
          <w:szCs w:val="24"/>
        </w:rPr>
        <w:t>定标办法：供应商的排名按得分顺序从高到低排列；得分相同的，按投标报价由低到高顺序排列；得分且投标报价相同的，按技术指标优劣顺序排列。</w:t>
      </w:r>
      <w:bookmarkStart w:id="27" w:name="_Toc525062096"/>
      <w:bookmarkEnd w:id="27"/>
      <w:bookmarkStart w:id="28" w:name="_Toc22082"/>
      <w:bookmarkEnd w:id="28"/>
    </w:p>
    <w:p>
      <w:pPr>
        <w:spacing w:line="360" w:lineRule="auto"/>
        <w:ind w:firstLine="480" w:firstLineChars="200"/>
        <w:rPr>
          <w:rFonts w:ascii="宋体" w:hAnsi="宋体" w:cs="宋体"/>
          <w:bCs/>
          <w:kern w:val="44"/>
          <w:sz w:val="24"/>
          <w:szCs w:val="24"/>
        </w:rPr>
      </w:pPr>
      <w:r>
        <w:rPr>
          <w:rFonts w:hint="eastAsia" w:ascii="宋体" w:hAnsi="宋体" w:cs="宋体"/>
          <w:bCs/>
          <w:kern w:val="44"/>
          <w:sz w:val="24"/>
          <w:szCs w:val="24"/>
        </w:rPr>
        <w:t>供应商提供相同品牌产品且通过资格审查、符合性审查的不同供应商参加同一合同项下投标的，按一家供应商计算，评审后得分最高的同品牌供应商获得中标人推荐资格；评审得分相同的，由评标委员会随机确定一个供应商获得中标人推荐资格，其他同品牌供应商不作为中标候选人。</w:t>
      </w:r>
    </w:p>
    <w:p>
      <w:pPr>
        <w:pStyle w:val="6"/>
        <w:ind w:firstLine="480" w:firstLineChars="200"/>
        <w:jc w:val="left"/>
        <w:rPr>
          <w:rFonts w:ascii="宋体" w:hAnsi="宋体" w:cs="宋体"/>
          <w:sz w:val="24"/>
        </w:rPr>
      </w:pPr>
      <w:r>
        <w:rPr>
          <w:rFonts w:hint="eastAsia" w:ascii="宋体" w:hAnsi="宋体" w:cs="宋体"/>
          <w:sz w:val="24"/>
        </w:rPr>
        <w:t xml:space="preserve">12.确定中标人 </w:t>
      </w:r>
    </w:p>
    <w:p>
      <w:pPr>
        <w:spacing w:line="440" w:lineRule="exact"/>
        <w:ind w:firstLine="480" w:firstLineChars="200"/>
        <w:jc w:val="left"/>
        <w:rPr>
          <w:rFonts w:ascii="宋体" w:hAnsi="宋体" w:cs="宋体"/>
          <w:bCs/>
          <w:kern w:val="44"/>
          <w:sz w:val="24"/>
          <w:szCs w:val="24"/>
        </w:rPr>
      </w:pPr>
      <w:r>
        <w:rPr>
          <w:rFonts w:hint="eastAsia" w:ascii="宋体" w:hAnsi="宋体" w:cs="宋体"/>
          <w:bCs/>
          <w:kern w:val="44"/>
          <w:sz w:val="24"/>
          <w:szCs w:val="24"/>
        </w:rPr>
        <w:t xml:space="preserve">1 评标委员会根据详细评审的结果,按最终得分由高到低确定前3名为中标候选人。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 招标人将确定排名第一的中标候选人为中标人并向其授予合同。</w:t>
      </w:r>
      <w:r>
        <w:rPr>
          <w:rFonts w:hint="eastAsia" w:ascii="宋体" w:hAnsi="宋体" w:cs="宋体"/>
          <w:kern w:val="0"/>
          <w:sz w:val="24"/>
          <w:szCs w:val="24"/>
        </w:rPr>
        <w:t>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3招标人将在收到评标报告后五个工作日内按前款规定确定中标人。</w:t>
      </w:r>
    </w:p>
    <w:p>
      <w:pPr>
        <w:pStyle w:val="6"/>
        <w:ind w:firstLine="480" w:firstLineChars="200"/>
        <w:jc w:val="left"/>
        <w:rPr>
          <w:rFonts w:ascii="宋体" w:hAnsi="宋体" w:cs="宋体"/>
          <w:sz w:val="24"/>
        </w:rPr>
      </w:pPr>
      <w:bookmarkStart w:id="29" w:name="_Toc525062097"/>
      <w:bookmarkEnd w:id="29"/>
      <w:bookmarkStart w:id="30" w:name="_Toc30425"/>
      <w:r>
        <w:rPr>
          <w:rFonts w:hint="eastAsia" w:ascii="宋体" w:hAnsi="宋体" w:cs="宋体"/>
          <w:sz w:val="24"/>
        </w:rPr>
        <w:t>13. 评标过程保密</w:t>
      </w:r>
      <w:bookmarkEnd w:id="30"/>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 开标之后,直到授予供应商合同止，凡是属于审查、澄清、评价和比较投标的有关资料以及授标意向等，均不向供应商或其他与评标无关的人员透露。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2 在评标期间，供应商企图影响招标人或评标委员会的任何活动，将导致投标被拒绝，并由其承担相应的法律责任。 </w:t>
      </w:r>
      <w:bookmarkStart w:id="31" w:name="_Toc16427"/>
      <w:bookmarkEnd w:id="31"/>
      <w:bookmarkStart w:id="32" w:name="_Toc525062098"/>
      <w:bookmarkEnd w:id="32"/>
    </w:p>
    <w:p>
      <w:pPr>
        <w:pStyle w:val="6"/>
        <w:ind w:firstLine="480" w:firstLineChars="200"/>
        <w:jc w:val="left"/>
        <w:rPr>
          <w:rFonts w:ascii="宋体" w:hAnsi="宋体" w:cs="宋体"/>
          <w:sz w:val="24"/>
        </w:rPr>
      </w:pPr>
      <w:r>
        <w:rPr>
          <w:rFonts w:hint="eastAsia" w:ascii="宋体" w:hAnsi="宋体" w:cs="宋体"/>
          <w:sz w:val="24"/>
        </w:rPr>
        <w:t>14.废标情况规定</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出现下列情况之一时，应予废标： </w:t>
      </w:r>
    </w:p>
    <w:p>
      <w:pPr>
        <w:numPr>
          <w:ilvl w:val="0"/>
          <w:numId w:val="5"/>
        </w:numPr>
        <w:spacing w:line="440" w:lineRule="exact"/>
        <w:jc w:val="left"/>
        <w:rPr>
          <w:rFonts w:ascii="宋体" w:hAnsi="宋体" w:cs="宋体"/>
          <w:sz w:val="24"/>
          <w:szCs w:val="24"/>
        </w:rPr>
      </w:pPr>
      <w:r>
        <w:rPr>
          <w:rFonts w:hint="eastAsia" w:ascii="宋体" w:hAnsi="宋体" w:cs="宋体"/>
          <w:sz w:val="24"/>
          <w:szCs w:val="24"/>
        </w:rPr>
        <w:t>出现影响采购公正的违法、违规行为的；</w:t>
      </w:r>
    </w:p>
    <w:p>
      <w:pPr>
        <w:numPr>
          <w:ilvl w:val="0"/>
          <w:numId w:val="5"/>
        </w:numPr>
        <w:spacing w:line="440" w:lineRule="exact"/>
        <w:jc w:val="left"/>
        <w:rPr>
          <w:rFonts w:ascii="宋体" w:hAnsi="宋体" w:cs="宋体"/>
          <w:sz w:val="24"/>
          <w:szCs w:val="24"/>
        </w:rPr>
      </w:pPr>
      <w:r>
        <w:rPr>
          <w:rFonts w:hint="eastAsia" w:ascii="宋体" w:hAnsi="宋体" w:cs="宋体"/>
          <w:sz w:val="24"/>
          <w:szCs w:val="24"/>
        </w:rPr>
        <w:t xml:space="preserve">符合专业条件的供应商或者对招标文件作实质性响应的供应商不足三家的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 供应商的报价均超过了招标控制价，招标人不能支付的；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4 因重大变故，采购任务取消的。 </w:t>
      </w:r>
    </w:p>
    <w:p>
      <w:pPr>
        <w:pStyle w:val="6"/>
        <w:ind w:firstLine="480" w:firstLineChars="200"/>
        <w:jc w:val="left"/>
        <w:rPr>
          <w:rFonts w:ascii="宋体" w:hAnsi="宋体" w:cs="宋体"/>
          <w:sz w:val="24"/>
        </w:rPr>
      </w:pPr>
      <w:bookmarkStart w:id="33" w:name="_Toc17119"/>
      <w:bookmarkEnd w:id="33"/>
      <w:bookmarkStart w:id="34" w:name="_Toc525062099"/>
      <w:r>
        <w:rPr>
          <w:rFonts w:hint="eastAsia" w:ascii="宋体" w:hAnsi="宋体" w:cs="宋体"/>
          <w:sz w:val="24"/>
        </w:rPr>
        <w:t>15. 关于供应商瑕疵滞后发现的处理规则</w:t>
      </w:r>
      <w:bookmarkEnd w:id="34"/>
    </w:p>
    <w:p>
      <w:pPr>
        <w:spacing w:line="440" w:lineRule="exact"/>
        <w:ind w:firstLine="480" w:firstLineChars="200"/>
        <w:jc w:val="left"/>
        <w:rPr>
          <w:rFonts w:ascii="宋体" w:hAnsi="宋体" w:cs="宋体"/>
          <w:sz w:val="24"/>
          <w:szCs w:val="24"/>
        </w:rPr>
      </w:pPr>
      <w:r>
        <w:rPr>
          <w:rFonts w:hint="eastAsia" w:ascii="宋体" w:hAnsi="宋体" w:cs="宋体"/>
          <w:sz w:val="24"/>
          <w:szCs w:val="24"/>
        </w:rPr>
        <w:t>无论基于何种原因，各项本应作拒绝处理的情形，如虚假应标等即便未被及时发现而使该供应商进入初审、详细评审或其它后续程序，包括已经签约的情形，一旦在任何时间被发现存在上述情形，则招标人均有权随时决定取消该供应商的此前评议结果，或随时视情形决定是否对该投标予以拒绝，并有权决定采取相应的补救或纠正措施。一旦该等供应商被拒绝或被取消该供应商的此前评议结果，其现有的位置将由排名第二的候选中标人替代，以此类推。且相关的一切损失均由该等供应商承担，招标人并将此情况上报财政部门，将中标人的行为记入不良记录。</w:t>
      </w:r>
    </w:p>
    <w:p>
      <w:pPr>
        <w:pStyle w:val="6"/>
        <w:ind w:firstLine="480" w:firstLineChars="200"/>
        <w:jc w:val="left"/>
        <w:rPr>
          <w:rFonts w:ascii="宋体" w:hAnsi="宋体" w:cs="宋体"/>
          <w:sz w:val="24"/>
        </w:rPr>
      </w:pPr>
      <w:bookmarkStart w:id="35" w:name="_Toc525062101"/>
      <w:bookmarkEnd w:id="35"/>
      <w:bookmarkStart w:id="36" w:name="_Toc7568"/>
      <w:r>
        <w:rPr>
          <w:rFonts w:hint="eastAsia" w:ascii="宋体" w:hAnsi="宋体" w:cs="宋体"/>
          <w:sz w:val="24"/>
        </w:rPr>
        <w:t>16. 中标通知</w:t>
      </w:r>
      <w:bookmarkEnd w:id="36"/>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 招标人将在刊登本次招标公告的媒体上发布中标公告以告知中标人和其他供应商评标结果，并以当面交接、邮寄或传真等书面形式向所选定的中标人发出中标通知，不再向未中标的供应商发出书面通知。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2招标人对未中标的供应商不作未中标原因的解释。中标结果的有效性不依赖于未中标的供应商是否已经收到该通知。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 中标通知书是合同的组成部分。 </w:t>
      </w:r>
    </w:p>
    <w:p>
      <w:pPr>
        <w:pStyle w:val="6"/>
        <w:ind w:firstLine="480" w:firstLineChars="200"/>
        <w:jc w:val="left"/>
        <w:rPr>
          <w:rFonts w:ascii="宋体" w:hAnsi="宋体" w:cs="宋体"/>
          <w:sz w:val="24"/>
        </w:rPr>
      </w:pPr>
      <w:bookmarkStart w:id="37" w:name="_Toc525062102"/>
      <w:bookmarkEnd w:id="37"/>
      <w:bookmarkStart w:id="38" w:name="_Toc10969"/>
      <w:r>
        <w:rPr>
          <w:rFonts w:hint="eastAsia" w:ascii="宋体" w:hAnsi="宋体" w:cs="宋体"/>
          <w:sz w:val="24"/>
        </w:rPr>
        <w:t>17. 合同签订</w:t>
      </w:r>
      <w:bookmarkEnd w:id="38"/>
      <w:r>
        <w:rPr>
          <w:rFonts w:hint="eastAsia" w:ascii="宋体" w:hAnsi="宋体" w:cs="宋体"/>
          <w:sz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1 招标人和中标人应当自成交通知书发出之日起15天内签订中标合同。中标人不得再与招标人签订背离合同实质性内容的其它协议或声明，否则按开标后撤回投标处理。中标人可在中标成交后持政府采购合同向融资机构申请贷款，详见附件。</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2中标人应按照招标文件、投标文件及评标过程中的有关澄清文件的内容与招标人签订合同。中标人不与招标人签订采购合同的，招标人有权取消其中标资格，并没收其投标保证金。</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供应商一旦中标，签订合同后，未经招标人事先给予书面同意不得转包、分包，亦不得将合同全部及任何权利、义务向第三方转让，否则将被视为严重违约，招标人有权决定按照供应商中标后撤回投标、终止或解除合同处理或作出其它处理。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4中标人如未按投标文件中的要求按期完成项目的，视为中标人违约，则招标人有权取消合同，中标人还应赔偿招标人由此造成的所有损失。招标人并将此情况上报财政部门，将中标人的行为记入不良记录。 </w:t>
      </w:r>
    </w:p>
    <w:p>
      <w:pPr>
        <w:pStyle w:val="6"/>
        <w:ind w:firstLine="480" w:firstLineChars="200"/>
        <w:jc w:val="left"/>
        <w:rPr>
          <w:rFonts w:ascii="宋体" w:hAnsi="宋体" w:cs="宋体"/>
          <w:sz w:val="24"/>
        </w:rPr>
      </w:pPr>
      <w:bookmarkStart w:id="39" w:name="_Toc525062103"/>
      <w:bookmarkEnd w:id="39"/>
      <w:bookmarkStart w:id="40" w:name="_Toc25249"/>
      <w:r>
        <w:rPr>
          <w:rFonts w:hint="eastAsia" w:ascii="宋体" w:hAnsi="宋体" w:cs="宋体"/>
          <w:sz w:val="24"/>
        </w:rPr>
        <w:t>1</w:t>
      </w:r>
      <w:bookmarkEnd w:id="40"/>
      <w:r>
        <w:rPr>
          <w:rFonts w:hint="eastAsia" w:ascii="宋体" w:hAnsi="宋体" w:cs="宋体"/>
          <w:sz w:val="24"/>
        </w:rPr>
        <w:t>8.付款方式</w:t>
      </w:r>
      <w:bookmarkStart w:id="41" w:name="_Toc193772271"/>
      <w:bookmarkEnd w:id="41"/>
      <w:bookmarkStart w:id="42" w:name="_Toc525062105"/>
      <w:bookmarkEnd w:id="42"/>
    </w:p>
    <w:p>
      <w:pPr>
        <w:ind w:firstLine="480" w:firstLineChars="200"/>
        <w:rPr>
          <w:rFonts w:ascii="宋体" w:hAnsi="宋体" w:cs="宋体"/>
          <w:sz w:val="24"/>
        </w:rPr>
      </w:pPr>
      <w:r>
        <w:rPr>
          <w:rFonts w:hint="eastAsia" w:ascii="宋体" w:hAnsi="宋体" w:cs="宋体"/>
          <w:sz w:val="24"/>
        </w:rPr>
        <w:t>在遵照河南省财政厅和汝州市财政局政府采购合同资金支付相关政策的前提下，依据采购合同相关约定执行。</w:t>
      </w:r>
    </w:p>
    <w:p>
      <w:pPr>
        <w:pStyle w:val="6"/>
        <w:ind w:firstLine="480" w:firstLineChars="200"/>
        <w:jc w:val="left"/>
        <w:rPr>
          <w:rFonts w:ascii="宋体" w:hAnsi="宋体" w:cs="宋体"/>
          <w:sz w:val="24"/>
        </w:rPr>
      </w:pPr>
      <w:r>
        <w:rPr>
          <w:rFonts w:hint="eastAsia" w:ascii="宋体" w:hAnsi="宋体" w:cs="宋体"/>
          <w:sz w:val="24"/>
        </w:rPr>
        <w:t xml:space="preserve">19. 招标代理服务费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本次招标需中标人按发改价格【2011】534号文件和计价格（2002）1980号文件规定，支付招标代理服务费。请供应商在测算投标报价时充分考虑这一因素，将此费用包含在投标报价中。 </w:t>
      </w:r>
    </w:p>
    <w:p>
      <w:pPr>
        <w:pStyle w:val="6"/>
        <w:ind w:firstLine="480" w:firstLineChars="200"/>
        <w:jc w:val="left"/>
        <w:rPr>
          <w:rFonts w:ascii="宋体" w:hAnsi="宋体" w:cs="宋体"/>
          <w:sz w:val="24"/>
        </w:rPr>
      </w:pPr>
      <w:bookmarkStart w:id="43" w:name="_Toc525062107"/>
      <w:bookmarkEnd w:id="43"/>
      <w:bookmarkStart w:id="44" w:name="_Toc193772272"/>
      <w:bookmarkEnd w:id="44"/>
      <w:bookmarkStart w:id="45" w:name="_Toc25097"/>
      <w:r>
        <w:rPr>
          <w:rFonts w:hint="eastAsia" w:ascii="宋体" w:hAnsi="宋体" w:cs="宋体"/>
          <w:sz w:val="24"/>
        </w:rPr>
        <w:t>2</w:t>
      </w:r>
      <w:bookmarkEnd w:id="45"/>
      <w:r>
        <w:rPr>
          <w:rFonts w:hint="eastAsia" w:ascii="宋体" w:hAnsi="宋体" w:cs="宋体"/>
          <w:sz w:val="24"/>
        </w:rPr>
        <w:t xml:space="preserve">0. 询问和质疑 </w:t>
      </w:r>
    </w:p>
    <w:p>
      <w:pPr>
        <w:pStyle w:val="6"/>
        <w:spacing w:line="440" w:lineRule="exact"/>
        <w:ind w:firstLine="468" w:firstLineChars="195"/>
        <w:jc w:val="left"/>
        <w:rPr>
          <w:rFonts w:ascii="宋体" w:hAnsi="宋体" w:cs="宋体"/>
          <w:sz w:val="24"/>
          <w:szCs w:val="24"/>
        </w:rPr>
      </w:pPr>
      <w:bookmarkStart w:id="46" w:name="_Toc19692"/>
      <w:bookmarkEnd w:id="46"/>
      <w:bookmarkStart w:id="47" w:name="_Toc525062108"/>
      <w:r>
        <w:rPr>
          <w:rFonts w:hint="eastAsia" w:ascii="宋体" w:hAnsi="宋体" w:cs="宋体"/>
          <w:sz w:val="24"/>
          <w:szCs w:val="24"/>
        </w:rPr>
        <w:t>供应商质疑</w:t>
      </w:r>
      <w:bookmarkEnd w:id="47"/>
      <w:r>
        <w:rPr>
          <w:rFonts w:hint="eastAsia" w:ascii="宋体" w:hAnsi="宋体" w:cs="宋体"/>
          <w:sz w:val="24"/>
          <w:szCs w:val="24"/>
        </w:rPr>
        <w:t xml:space="preserve">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1.供应商对采购事项有疑问的，可以向招标人或采购代理机构提出询问。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2.招标程序受《中华人民共和国政府采购法》和相关法律法规的约束，并受到严格的内部监察，以确保授予合同过程的公平公正。若供应商认为其投标未获公平评审或采购文件、采购过程和中标结果使自己的合法权益受到损害，可以在知道或者应知其权益受到损害之日起 7 个工作日内，以书面形式向招标人或采购代理机构提出质疑并要求答复。</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 xml:space="preserve">3.招标人或采购代理机构将在收到书面质疑后 7 个工作日内审查质疑事项，作出答复或相关处理决定，并以书面形式通知质疑供应商和其他有关供应商，但答复的内容不涉及商业秘密。若质疑涉及招标制度或程序，将被转交政府采购的管理部门审查。 </w:t>
      </w:r>
    </w:p>
    <w:p>
      <w:pPr>
        <w:spacing w:line="440" w:lineRule="exact"/>
        <w:ind w:firstLine="480" w:firstLineChars="200"/>
        <w:jc w:val="left"/>
        <w:rPr>
          <w:rFonts w:ascii="宋体" w:hAnsi="宋体" w:cs="宋体"/>
          <w:sz w:val="24"/>
          <w:szCs w:val="24"/>
        </w:rPr>
      </w:pPr>
      <w:r>
        <w:rPr>
          <w:rFonts w:hint="eastAsia" w:ascii="宋体" w:hAnsi="宋体" w:cs="宋体"/>
          <w:sz w:val="24"/>
          <w:szCs w:val="24"/>
        </w:rPr>
        <w:t>4.质疑供应商对招标人或采购代理机构的答复不满意以及招标人或采购代理机构未在规定的时间内做出答复的，可以在答复期满后 15 个工作日内向财政管理部门投诉。</w:t>
      </w:r>
    </w:p>
    <w:p>
      <w:pPr>
        <w:pStyle w:val="9"/>
        <w:ind w:firstLine="400"/>
        <w:rPr>
          <w:rFonts w:ascii="宋体" w:hAnsi="宋体" w:cs="宋体"/>
        </w:rPr>
      </w:pPr>
      <w:bookmarkStart w:id="48" w:name="_Toc193772274"/>
      <w:bookmarkEnd w:id="48"/>
      <w:bookmarkStart w:id="49" w:name="_Toc525062109"/>
      <w:r>
        <w:rPr>
          <w:rFonts w:hint="eastAsia" w:ascii="宋体" w:hAnsi="宋体" w:cs="宋体"/>
        </w:rPr>
        <w:t xml:space="preserve"> </w:t>
      </w:r>
      <w:bookmarkEnd w:id="49"/>
      <w:r>
        <w:rPr>
          <w:rFonts w:hint="eastAsia" w:ascii="宋体" w:hAnsi="宋体" w:cs="宋体"/>
        </w:rPr>
        <w:t xml:space="preserve"> </w:t>
      </w:r>
    </w:p>
    <w:p>
      <w:pPr>
        <w:pStyle w:val="9"/>
        <w:ind w:firstLine="400"/>
        <w:rPr>
          <w:rFonts w:ascii="宋体" w:hAnsi="宋体" w:cs="宋体"/>
        </w:rPr>
      </w:pPr>
    </w:p>
    <w:p>
      <w:pPr>
        <w:spacing w:line="600" w:lineRule="auto"/>
        <w:rPr>
          <w:rFonts w:ascii="宋体" w:hAnsi="宋体" w:cs="宋体"/>
          <w:sz w:val="28"/>
        </w:rPr>
      </w:pPr>
      <w:r>
        <w:rPr>
          <w:rFonts w:hint="eastAsia" w:ascii="宋体" w:hAnsi="宋体" w:cs="宋体"/>
          <w:sz w:val="28"/>
        </w:rPr>
        <w:t>附件1：</w:t>
      </w:r>
    </w:p>
    <w:p>
      <w:pPr>
        <w:autoSpaceDE w:val="0"/>
        <w:spacing w:line="440" w:lineRule="exact"/>
        <w:jc w:val="center"/>
        <w:rPr>
          <w:rFonts w:ascii="宋体" w:hAnsi="宋体" w:cs="宋体"/>
          <w:b/>
          <w:sz w:val="28"/>
          <w:szCs w:val="28"/>
        </w:rPr>
      </w:pPr>
      <w:r>
        <w:rPr>
          <w:rFonts w:hint="eastAsia" w:ascii="宋体" w:hAnsi="宋体" w:cs="宋体"/>
          <w:b/>
          <w:sz w:val="28"/>
          <w:szCs w:val="28"/>
        </w:rPr>
        <w:t>河南省政府采购合同融资政策告知函</w:t>
      </w:r>
    </w:p>
    <w:p>
      <w:pPr>
        <w:rPr>
          <w:rFonts w:ascii="宋体" w:hAnsi="宋体" w:cs="宋体"/>
          <w:b/>
        </w:rPr>
      </w:pPr>
      <w:r>
        <w:rPr>
          <w:rFonts w:hint="eastAsia" w:ascii="宋体" w:hAnsi="宋体" w:cs="宋体"/>
        </w:rPr>
        <w:t xml:space="preserve">各供应商: </w:t>
      </w:r>
    </w:p>
    <w:p>
      <w:pPr>
        <w:ind w:firstLine="480" w:firstLineChars="200"/>
        <w:rPr>
          <w:rFonts w:ascii="宋体" w:hAnsi="宋体" w:cs="宋体"/>
          <w:b/>
          <w:sz w:val="24"/>
        </w:rPr>
      </w:pPr>
      <w:r>
        <w:rPr>
          <w:rFonts w:hint="eastAsia" w:ascii="宋体" w:hAnsi="宋体" w:cs="宋体"/>
          <w:sz w:val="24"/>
        </w:rPr>
        <w:t xml:space="preserve">欢迎贵公司参与河南省政府采购活动! </w:t>
      </w:r>
    </w:p>
    <w:p>
      <w:pPr>
        <w:ind w:firstLine="480" w:firstLineChars="200"/>
        <w:rPr>
          <w:rFonts w:ascii="宋体" w:hAnsi="宋体" w:cs="宋体"/>
          <w:b/>
          <w:sz w:val="24"/>
        </w:rPr>
      </w:pPr>
      <w:r>
        <w:rPr>
          <w:rFonts w:hint="eastAsia" w:ascii="宋体" w:hAnsi="宋体" w:cs="宋体"/>
          <w:sz w:val="24"/>
        </w:rPr>
        <w:t xml:space="preserve">政府采购合同融资是河南省财政厅支持中小微企业发展，针对参与政府采购活动的供应商融资难、融资贵问题推出的一项融 资政策。贵公司若成为本次政府采购项目的中标成交供应商，可持政府采购合同向金融机构申请贷款，无需抵押、担保，融资机构将根据《河南省政府采购合同融资工作实施方案》 (豫财购 【2017】10号)，按照双方自愿的原则提供便捷、优惠的贷款服务。 </w:t>
      </w:r>
    </w:p>
    <w:p>
      <w:pPr>
        <w:ind w:firstLine="480" w:firstLineChars="200"/>
        <w:rPr>
          <w:rFonts w:ascii="宋体" w:hAnsi="宋体" w:cs="宋体"/>
          <w:bCs/>
          <w:kern w:val="44"/>
          <w:sz w:val="24"/>
        </w:rPr>
      </w:pPr>
      <w:r>
        <w:rPr>
          <w:rFonts w:hint="eastAsia" w:ascii="宋体" w:hAnsi="宋体" w:cs="宋体"/>
          <w:bCs/>
          <w:kern w:val="44"/>
          <w:sz w:val="24"/>
        </w:rPr>
        <w:t>贷款渠道和提供贷款的金融机构，可在河南省政府采购网 "河南省政府采购合同融资平台"查询联系。</w:t>
      </w:r>
    </w:p>
    <w:p>
      <w:pPr>
        <w:ind w:firstLine="480" w:firstLineChars="200"/>
        <w:rPr>
          <w:rFonts w:ascii="宋体" w:hAnsi="宋体" w:cs="宋体"/>
          <w:sz w:val="24"/>
        </w:rPr>
      </w:pPr>
    </w:p>
    <w:p>
      <w:pPr>
        <w:ind w:firstLine="420" w:firstLineChars="200"/>
        <w:rPr>
          <w:rFonts w:ascii="宋体" w:hAnsi="宋体" w:cs="宋体"/>
        </w:rPr>
      </w:pPr>
      <w:r>
        <w:rPr>
          <w:rFonts w:hint="eastAsia" w:ascii="宋体" w:hAnsi="宋体" w:cs="宋体"/>
        </w:rPr>
        <w:t xml:space="preserve">  </w:t>
      </w:r>
    </w:p>
    <w:p>
      <w:pPr>
        <w:pStyle w:val="4"/>
        <w:numPr>
          <w:ilvl w:val="0"/>
          <w:numId w:val="6"/>
        </w:numPr>
        <w:jc w:val="center"/>
        <w:rPr>
          <w:rFonts w:ascii="宋体" w:hAnsi="宋体" w:cs="宋体"/>
          <w:sz w:val="40"/>
        </w:rPr>
      </w:pPr>
      <w:bookmarkStart w:id="50" w:name="_Toc13880"/>
      <w:r>
        <w:rPr>
          <w:rFonts w:hint="eastAsia" w:ascii="宋体" w:hAnsi="宋体" w:cs="宋体"/>
          <w:sz w:val="40"/>
        </w:rPr>
        <w:t xml:space="preserve"> </w:t>
      </w:r>
      <w:bookmarkStart w:id="51" w:name="_Toc525062110"/>
      <w:bookmarkEnd w:id="51"/>
      <w:bookmarkStart w:id="52" w:name="_Toc193772275"/>
      <w:bookmarkEnd w:id="52"/>
      <w:r>
        <w:rPr>
          <w:rFonts w:hint="eastAsia" w:ascii="宋体" w:hAnsi="宋体" w:cs="宋体"/>
          <w:sz w:val="40"/>
        </w:rPr>
        <w:t>采购清单</w:t>
      </w:r>
      <w:bookmarkEnd w:id="50"/>
    </w:p>
    <w:p>
      <w:pPr>
        <w:pStyle w:val="6"/>
        <w:ind w:firstLine="420" w:firstLineChars="175"/>
        <w:rPr>
          <w:rFonts w:ascii="宋体" w:hAnsi="宋体" w:cs="宋体"/>
          <w:sz w:val="24"/>
          <w:szCs w:val="24"/>
        </w:rPr>
      </w:pPr>
      <w:r>
        <w:rPr>
          <w:rFonts w:hint="eastAsia" w:ascii="宋体" w:hAnsi="宋体" w:cs="宋体"/>
          <w:sz w:val="24"/>
          <w:szCs w:val="24"/>
        </w:rPr>
        <w:t>第一标段</w:t>
      </w:r>
    </w:p>
    <w:p>
      <w:pPr>
        <w:jc w:val="center"/>
        <w:rPr>
          <w:b/>
          <w:bCs/>
        </w:rPr>
      </w:pPr>
      <w:r>
        <w:rPr>
          <w:rFonts w:hint="eastAsia"/>
          <w:b/>
          <w:bCs/>
        </w:rPr>
        <w:t>医用磁共振成像系统技术参数</w:t>
      </w:r>
    </w:p>
    <w:p>
      <w:pPr>
        <w:jc w:val="center"/>
        <w:rPr>
          <w:b/>
          <w:bCs/>
        </w:rPr>
      </w:pPr>
    </w:p>
    <w:p/>
    <w:tbl>
      <w:tblPr>
        <w:tblStyle w:val="46"/>
        <w:tblW w:w="973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229"/>
        <w:gridCol w:w="3898"/>
        <w:gridCol w:w="3629"/>
        <w:gridCol w:w="98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sz w:val="18"/>
                <w:szCs w:val="18"/>
              </w:rPr>
            </w:pPr>
            <w:r>
              <w:rPr>
                <w:rFonts w:hint="eastAsia" w:ascii="宋体" w:hAnsi="宋体" w:cs="宋体"/>
                <w:b/>
                <w:bCs/>
                <w:sz w:val="18"/>
                <w:szCs w:val="18"/>
                <w:lang w:bidi="ar"/>
              </w:rPr>
              <w:t>序号</w:t>
            </w:r>
          </w:p>
        </w:tc>
        <w:tc>
          <w:tcPr>
            <w:tcW w:w="7527" w:type="dxa"/>
            <w:gridSpan w:val="2"/>
            <w:tcBorders>
              <w:tl2br w:val="nil"/>
              <w:tr2bl w:val="nil"/>
            </w:tcBorders>
            <w:shd w:val="clear" w:color="auto" w:fill="auto"/>
            <w:vAlign w:val="center"/>
          </w:tcPr>
          <w:p>
            <w:pPr>
              <w:jc w:val="center"/>
              <w:rPr>
                <w:rFonts w:ascii="宋体" w:hAnsi="宋体" w:cs="宋体"/>
                <w:b/>
                <w:bCs/>
                <w:sz w:val="18"/>
                <w:szCs w:val="18"/>
                <w:lang w:bidi="ar"/>
              </w:rPr>
            </w:pPr>
            <w:r>
              <w:rPr>
                <w:rFonts w:hint="eastAsia" w:ascii="宋体" w:hAnsi="宋体" w:cs="宋体"/>
                <w:b/>
                <w:sz w:val="18"/>
                <w:szCs w:val="18"/>
              </w:rPr>
              <w:t>技术参数及要求</w:t>
            </w:r>
          </w:p>
        </w:tc>
        <w:tc>
          <w:tcPr>
            <w:tcW w:w="981" w:type="dxa"/>
            <w:tcBorders>
              <w:tl2br w:val="nil"/>
              <w:tr2bl w:val="nil"/>
            </w:tcBorders>
            <w:shd w:val="clear" w:color="auto" w:fill="auto"/>
            <w:vAlign w:val="center"/>
          </w:tcPr>
          <w:p>
            <w:pPr>
              <w:spacing w:line="400" w:lineRule="exact"/>
              <w:jc w:val="center"/>
              <w:rPr>
                <w:rFonts w:ascii="宋体" w:hAnsi="宋体" w:cs="宋体"/>
                <w:b/>
                <w:bCs/>
                <w:sz w:val="18"/>
                <w:szCs w:val="18"/>
                <w:lang w:bidi="ar"/>
              </w:rPr>
            </w:pPr>
            <w:r>
              <w:rPr>
                <w:rFonts w:hint="eastAsia" w:ascii="宋体" w:hAnsi="宋体" w:cs="宋体"/>
                <w:b/>
                <w:bCs/>
                <w:sz w:val="18"/>
                <w:szCs w:val="18"/>
                <w:lang w:bidi="ar"/>
              </w:rPr>
              <w:t>数量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bookmarkStart w:id="53" w:name="_Hlk305794246"/>
            <w:r>
              <w:rPr>
                <w:rFonts w:hint="eastAsia" w:ascii="宋体" w:hAnsi="宋体" w:cs="宋体"/>
                <w:b/>
                <w:bCs/>
                <w:color w:val="000000"/>
                <w:sz w:val="18"/>
                <w:szCs w:val="18"/>
              </w:rPr>
              <w:t>*一、</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rPr>
              <w:t>设备认证文件及机型</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投标机型须为各公司于2019年11月份后首次获得NMPA认证的3.0T机型，提供NMPA认证证明。</w:t>
            </w:r>
          </w:p>
        </w:tc>
        <w:tc>
          <w:tcPr>
            <w:tcW w:w="981" w:type="dxa"/>
            <w:vMerge w:val="restart"/>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1套</w:t>
            </w:r>
          </w:p>
        </w:tc>
      </w:tr>
      <w:bookmarkEnd w:id="53"/>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二、</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磁体系统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磁场强度：</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3.0T </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中心共振频率</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color w:val="000000"/>
                <w:sz w:val="18"/>
                <w:szCs w:val="18"/>
                <w:lang w:bidi="ar"/>
              </w:rPr>
              <w:t>127MHz</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磁体重量 (含液氦)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5900kg</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磁体类型</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3.0T超导磁体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磁场匀度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V－RMS测量法，Guaranteed保证值</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10cmDSV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≤0.003ppm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≤0.09ppm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40cmDSV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≤0.48ppm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45cmDSV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≤1.3ppm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50cmDSV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≤2.1ppm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匀场方式</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主动匀场 + 被动匀场 +动态匀场</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6.2</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一阶线性匀场X、Y、Z</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6.3</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二阶高级匀场X²-Y²、Z²、ZX、ZY、XY</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6.4</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一阶线性匀场时间</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＜0.1ms</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2"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6.5</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二阶高级匀场时间</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≤10ms</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6.6</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匀场模块数量</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≥1000</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6.7</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实时动态匀场技术</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有</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sz w:val="18"/>
                <w:szCs w:val="18"/>
                <w:lang w:bidi="ar"/>
              </w:rPr>
              <w:t>磁体长度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xml:space="preserve">≤170cm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3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病人检查孔径</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≥70cm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液氦挥发量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≤0L/h</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液氦容积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≥1500L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抗外界干扰屏蔽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有</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主磁场均匀度补偿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有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5G磁力线范围：</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6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 轴向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≤5.1米</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 径向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≤3.2米</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1G磁力线范围：</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 轴向</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≤7.3米</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14.2</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 径向</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≤4.3米</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color w:val="000000"/>
                <w:sz w:val="18"/>
                <w:szCs w:val="18"/>
                <w:lang w:bidi="ar"/>
              </w:rPr>
              <w:t xml:space="preserve">冷却方式  </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液氦制冷 </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三、</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梯度系统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梯度线圈冷却方式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基底冷却</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单轴梯度场强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xml:space="preserve">≥45mT/m  </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 xml:space="preserve">单轴梯度切换率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≥200T/m /s</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梯度线圈保真度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≥99.97%</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最大扫描FOV</w:t>
            </w:r>
          </w:p>
        </w:tc>
        <w:tc>
          <w:tcPr>
            <w:tcW w:w="3629" w:type="dxa"/>
            <w:tcBorders>
              <w:tl2br w:val="nil"/>
              <w:tr2bl w:val="nil"/>
            </w:tcBorders>
            <w:shd w:val="clear" w:color="auto" w:fill="auto"/>
            <w:vAlign w:val="center"/>
          </w:tcPr>
          <w:p>
            <w:pPr>
              <w:autoSpaceDN w:val="0"/>
              <w:spacing w:line="400" w:lineRule="exact"/>
              <w:jc w:val="left"/>
              <w:textAlignment w:val="center"/>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55cm</w:t>
            </w:r>
          </w:p>
        </w:tc>
        <w:tc>
          <w:tcPr>
            <w:tcW w:w="981" w:type="dxa"/>
            <w:vMerge w:val="continue"/>
            <w:tcBorders>
              <w:tl2br w:val="nil"/>
              <w:tr2bl w:val="nil"/>
            </w:tcBorders>
            <w:shd w:val="clear" w:color="auto" w:fill="auto"/>
            <w:vAlign w:val="center"/>
          </w:tcPr>
          <w:p>
            <w:pPr>
              <w:autoSpaceDN w:val="0"/>
              <w:spacing w:line="400" w:lineRule="exact"/>
              <w:jc w:val="left"/>
              <w:textAlignment w:val="center"/>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6"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 xml:space="preserve">最大占空比 </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100%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梯度工作方式</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非共振式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5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梯度控制技术</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全数字实时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梯度减噪系统</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支持全身全序列</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梯度线性@20cm（提供datasheet证明）</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xml:space="preserve">≤0.6%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梯度线性@50cm（提供datasheet证明）</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xml:space="preserve">≤2.5%  </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b/>
                <w:bCs/>
                <w:sz w:val="18"/>
                <w:szCs w:val="18"/>
                <w:lang w:bidi="ar"/>
              </w:rPr>
              <w:t>四</w:t>
            </w:r>
          </w:p>
        </w:tc>
        <w:tc>
          <w:tcPr>
            <w:tcW w:w="3898" w:type="dxa"/>
            <w:tcBorders>
              <w:tl2br w:val="nil"/>
              <w:tr2bl w:val="nil"/>
            </w:tcBorders>
            <w:shd w:val="clear" w:color="auto" w:fill="auto"/>
            <w:vAlign w:val="center"/>
          </w:tcPr>
          <w:p>
            <w:pPr>
              <w:spacing w:line="400" w:lineRule="exact"/>
              <w:rPr>
                <w:rFonts w:ascii="宋体" w:hAnsi="宋体" w:cs="宋体"/>
                <w:b/>
                <w:bCs/>
                <w:sz w:val="18"/>
                <w:szCs w:val="18"/>
              </w:rPr>
            </w:pPr>
            <w:r>
              <w:rPr>
                <w:rFonts w:hint="eastAsia" w:ascii="宋体" w:hAnsi="宋体" w:cs="宋体"/>
                <w:b/>
                <w:bCs/>
                <w:color w:val="000000"/>
                <w:sz w:val="18"/>
                <w:szCs w:val="18"/>
                <w:lang w:bidi="ar"/>
              </w:rPr>
              <w:t>射频系统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多源射频发射技术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各厂家须提供各自的射频多源发射技术，西门子提供TrueShape（非TrueForm）技术、飞利浦提供Multi-transmit 4D技术、GE提供MultiDrive技术，其他厂家同样提供多源射频技术并注明技术名称。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射频发射源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独立射频源个数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独立射频放大器个数（非转换器）</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≥2，提供原厂技术白皮书证明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4"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 xml:space="preserve">射频功率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≥18KW*2</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2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发射带宽</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 xml:space="preserve">800kHz    </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相控阵射频同时并行接收独立通道数（非系统最大通道数或系统最大线圈单元数）</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为了满足磁共振科研与临床高通道线圈拓展，要求各厂家提供的产品射频通道数必须 ≥ 128通道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数字影像链</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ADC模数转换器距离线圈单元距离</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≤1cm</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线圈接口为数字接口</w:t>
            </w:r>
            <w:r>
              <w:rPr>
                <w:rFonts w:hint="eastAsia" w:ascii="宋体" w:hAnsi="宋体" w:cs="宋体"/>
                <w:sz w:val="18"/>
                <w:szCs w:val="18"/>
                <w:lang w:bidi="ar"/>
              </w:rPr>
              <w:t>（非模拟针插式接口）</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具备，提供接口实物图片证明</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kern w:val="0"/>
                <w:sz w:val="18"/>
                <w:szCs w:val="18"/>
                <w:lang w:bidi="ar"/>
              </w:rPr>
              <w:t>信号传输从线圈至磁体</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数字传输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5.4</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信号传输从磁体至重建器</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数字传输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最高接收动态范围</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kern w:val="0"/>
                <w:sz w:val="18"/>
                <w:szCs w:val="18"/>
                <w:lang w:bidi="ar"/>
              </w:rPr>
              <w:t>180dB</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kern w:val="0"/>
                <w:sz w:val="18"/>
                <w:szCs w:val="18"/>
                <w:lang w:bidi="ar"/>
              </w:rPr>
              <w:t>射频同步精度</w:t>
            </w:r>
          </w:p>
        </w:tc>
        <w:tc>
          <w:tcPr>
            <w:tcW w:w="3629" w:type="dxa"/>
            <w:tcBorders>
              <w:tl2br w:val="nil"/>
              <w:tr2bl w:val="nil"/>
            </w:tcBorders>
            <w:shd w:val="clear" w:color="auto" w:fill="auto"/>
            <w:vAlign w:val="center"/>
          </w:tcPr>
          <w:p>
            <w:pPr>
              <w:widowControl/>
              <w:spacing w:line="400" w:lineRule="exact"/>
              <w:jc w:val="left"/>
              <w:rPr>
                <w:rFonts w:ascii="宋体" w:hAnsi="宋体" w:cs="宋体"/>
                <w:kern w:val="0"/>
                <w:sz w:val="18"/>
                <w:szCs w:val="18"/>
                <w:lang w:bidi="ar"/>
              </w:rPr>
            </w:pPr>
            <w:r>
              <w:rPr>
                <w:rFonts w:hint="eastAsia" w:ascii="宋体" w:hAnsi="宋体" w:cs="宋体"/>
                <w:kern w:val="0"/>
                <w:sz w:val="18"/>
                <w:szCs w:val="18"/>
                <w:lang w:bidi="ar"/>
              </w:rPr>
              <w:t xml:space="preserve">≤25ps  </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w:t>
            </w:r>
          </w:p>
        </w:tc>
        <w:tc>
          <w:tcPr>
            <w:tcW w:w="3898" w:type="dxa"/>
            <w:tcBorders>
              <w:tl2br w:val="nil"/>
              <w:tr2bl w:val="nil"/>
            </w:tcBorders>
            <w:shd w:val="clear" w:color="auto" w:fill="auto"/>
            <w:vAlign w:val="center"/>
          </w:tcPr>
          <w:p>
            <w:pPr>
              <w:spacing w:line="400" w:lineRule="exact"/>
              <w:jc w:val="left"/>
              <w:rPr>
                <w:rFonts w:ascii="宋体" w:hAnsi="宋体" w:cs="宋体"/>
                <w:kern w:val="0"/>
                <w:sz w:val="18"/>
                <w:szCs w:val="18"/>
              </w:rPr>
            </w:pPr>
            <w:r>
              <w:rPr>
                <w:rFonts w:hint="eastAsia" w:ascii="宋体" w:hAnsi="宋体" w:cs="宋体"/>
                <w:kern w:val="0"/>
                <w:sz w:val="18"/>
                <w:szCs w:val="18"/>
                <w:lang w:bidi="ar"/>
              </w:rPr>
              <w:t>射频接收线圈，</w:t>
            </w:r>
            <w:r>
              <w:rPr>
                <w:rFonts w:hint="eastAsia" w:ascii="宋体" w:hAnsi="宋体" w:cs="宋体"/>
                <w:sz w:val="18"/>
                <w:szCs w:val="18"/>
                <w:lang w:bidi="ar"/>
              </w:rPr>
              <w:t>需达到如下要求：</w:t>
            </w:r>
          </w:p>
        </w:tc>
        <w:tc>
          <w:tcPr>
            <w:tcW w:w="3629" w:type="dxa"/>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8.1</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一体化头颈联合线圈</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 20通道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color w:val="000000"/>
                <w:sz w:val="18"/>
                <w:szCs w:val="18"/>
              </w:rPr>
            </w:pPr>
            <w:r>
              <w:rPr>
                <w:rFonts w:hint="eastAsia" w:ascii="宋体" w:hAnsi="宋体" w:cs="宋体"/>
                <w:kern w:val="0"/>
                <w:sz w:val="18"/>
                <w:szCs w:val="18"/>
                <w:lang w:bidi="ar"/>
              </w:rPr>
              <w:t>8.2</w:t>
            </w:r>
          </w:p>
        </w:tc>
        <w:tc>
          <w:tcPr>
            <w:tcW w:w="3898" w:type="dxa"/>
            <w:tcBorders>
              <w:tl2br w:val="nil"/>
              <w:tr2bl w:val="nil"/>
            </w:tcBorders>
            <w:shd w:val="clear" w:color="auto" w:fill="auto"/>
            <w:vAlign w:val="center"/>
          </w:tcPr>
          <w:p>
            <w:pPr>
              <w:spacing w:line="400" w:lineRule="exact"/>
              <w:rPr>
                <w:rFonts w:ascii="宋体" w:hAnsi="宋体" w:cs="宋体"/>
                <w:kern w:val="0"/>
                <w:sz w:val="18"/>
                <w:szCs w:val="18"/>
              </w:rPr>
            </w:pPr>
            <w:r>
              <w:rPr>
                <w:rFonts w:hint="eastAsia" w:ascii="宋体" w:hAnsi="宋体" w:cs="宋体"/>
                <w:kern w:val="0"/>
                <w:sz w:val="18"/>
                <w:szCs w:val="18"/>
                <w:lang w:bidi="ar"/>
              </w:rPr>
              <w:t>一体化心胸腹体部线圈</w:t>
            </w:r>
          </w:p>
        </w:tc>
        <w:tc>
          <w:tcPr>
            <w:tcW w:w="3629" w:type="dxa"/>
            <w:tcBorders>
              <w:tl2br w:val="nil"/>
              <w:tr2bl w:val="nil"/>
            </w:tcBorders>
            <w:shd w:val="clear" w:color="auto" w:fill="auto"/>
            <w:vAlign w:val="center"/>
          </w:tcPr>
          <w:p>
            <w:pPr>
              <w:spacing w:line="400" w:lineRule="exact"/>
              <w:jc w:val="left"/>
              <w:rPr>
                <w:rFonts w:ascii="宋体" w:hAnsi="宋体" w:cs="宋体"/>
                <w:kern w:val="0"/>
                <w:sz w:val="18"/>
                <w:szCs w:val="18"/>
                <w:lang w:bidi="ar"/>
              </w:rPr>
            </w:pPr>
            <w:r>
              <w:rPr>
                <w:rFonts w:hint="eastAsia" w:ascii="宋体" w:hAnsi="宋体" w:cs="宋体"/>
                <w:kern w:val="0"/>
                <w:sz w:val="18"/>
                <w:szCs w:val="18"/>
                <w:lang w:bidi="ar"/>
              </w:rPr>
              <w:t>≥30通道，单片头足方向覆盖范围≥60cm，如覆盖范围不足60cm,为满足胸腹盆腔覆盖，需提供2片以上。</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widowControl/>
              <w:spacing w:line="400" w:lineRule="exact"/>
              <w:jc w:val="center"/>
              <w:rPr>
                <w:rFonts w:ascii="宋体" w:hAnsi="宋体" w:cs="宋体"/>
                <w:kern w:val="0"/>
                <w:sz w:val="18"/>
                <w:szCs w:val="18"/>
              </w:rPr>
            </w:pPr>
            <w:r>
              <w:rPr>
                <w:rFonts w:hint="eastAsia" w:ascii="宋体" w:hAnsi="宋体" w:cs="宋体"/>
                <w:kern w:val="0"/>
                <w:sz w:val="18"/>
                <w:szCs w:val="18"/>
                <w:lang w:bidi="ar"/>
              </w:rPr>
              <w:t>8.3</w:t>
            </w:r>
          </w:p>
        </w:tc>
        <w:tc>
          <w:tcPr>
            <w:tcW w:w="3898" w:type="dxa"/>
            <w:tcBorders>
              <w:tl2br w:val="nil"/>
              <w:tr2bl w:val="nil"/>
            </w:tcBorders>
            <w:shd w:val="clear" w:color="auto" w:fill="auto"/>
            <w:vAlign w:val="center"/>
          </w:tcPr>
          <w:p>
            <w:pPr>
              <w:spacing w:line="400" w:lineRule="exact"/>
              <w:jc w:val="left"/>
              <w:rPr>
                <w:rFonts w:ascii="宋体" w:hAnsi="宋体" w:cs="宋体"/>
                <w:kern w:val="0"/>
                <w:sz w:val="18"/>
                <w:szCs w:val="18"/>
              </w:rPr>
            </w:pPr>
            <w:r>
              <w:rPr>
                <w:rFonts w:hint="eastAsia" w:ascii="宋体" w:hAnsi="宋体" w:cs="宋体"/>
                <w:kern w:val="0"/>
                <w:sz w:val="18"/>
                <w:szCs w:val="18"/>
                <w:lang w:bidi="ar"/>
              </w:rPr>
              <w:t>一体化全脊柱线圈</w:t>
            </w:r>
          </w:p>
        </w:tc>
        <w:tc>
          <w:tcPr>
            <w:tcW w:w="3629" w:type="dxa"/>
            <w:tcBorders>
              <w:tl2br w:val="nil"/>
              <w:tr2bl w:val="nil"/>
            </w:tcBorders>
            <w:shd w:val="clear" w:color="auto" w:fill="auto"/>
            <w:vAlign w:val="center"/>
          </w:tcPr>
          <w:p>
            <w:pPr>
              <w:widowControl/>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≥40通道</w:t>
            </w:r>
          </w:p>
        </w:tc>
        <w:tc>
          <w:tcPr>
            <w:tcW w:w="981" w:type="dxa"/>
            <w:vMerge w:val="continue"/>
            <w:tcBorders>
              <w:tl2br w:val="nil"/>
              <w:tr2bl w:val="nil"/>
            </w:tcBorders>
            <w:shd w:val="clear" w:color="auto" w:fill="auto"/>
            <w:vAlign w:val="center"/>
          </w:tcPr>
          <w:p>
            <w:pPr>
              <w:widowControl/>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8.4</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kern w:val="0"/>
                <w:sz w:val="18"/>
                <w:szCs w:val="18"/>
              </w:rPr>
            </w:pPr>
            <w:r>
              <w:rPr>
                <w:rFonts w:hint="eastAsia" w:ascii="宋体" w:hAnsi="宋体" w:cs="宋体"/>
                <w:kern w:val="0"/>
                <w:sz w:val="18"/>
                <w:szCs w:val="18"/>
                <w:lang w:bidi="ar"/>
              </w:rPr>
              <w:t>多功能柔性线圈</w:t>
            </w:r>
          </w:p>
        </w:tc>
        <w:tc>
          <w:tcPr>
            <w:tcW w:w="3629" w:type="dxa"/>
            <w:tcBorders>
              <w:tl2br w:val="nil"/>
              <w:tr2bl w:val="nil"/>
            </w:tcBorders>
            <w:shd w:val="clear" w:color="auto" w:fill="auto"/>
            <w:vAlign w:val="center"/>
          </w:tcPr>
          <w:p>
            <w:pPr>
              <w:spacing w:line="400" w:lineRule="exact"/>
              <w:rPr>
                <w:rFonts w:ascii="宋体" w:hAnsi="宋体" w:cs="宋体"/>
                <w:kern w:val="0"/>
                <w:sz w:val="18"/>
                <w:szCs w:val="18"/>
                <w:lang w:bidi="ar"/>
              </w:rPr>
            </w:pPr>
            <w:r>
              <w:rPr>
                <w:rFonts w:hint="eastAsia" w:ascii="宋体" w:hAnsi="宋体" w:cs="宋体"/>
                <w:kern w:val="0"/>
                <w:sz w:val="18"/>
                <w:szCs w:val="18"/>
                <w:lang w:bidi="ar"/>
              </w:rPr>
              <w:t>≥6通道</w:t>
            </w:r>
          </w:p>
        </w:tc>
        <w:tc>
          <w:tcPr>
            <w:tcW w:w="981" w:type="dxa"/>
            <w:vMerge w:val="continue"/>
            <w:tcBorders>
              <w:tl2br w:val="nil"/>
              <w:tr2bl w:val="nil"/>
            </w:tcBorders>
            <w:shd w:val="clear" w:color="auto" w:fill="auto"/>
            <w:vAlign w:val="center"/>
          </w:tcPr>
          <w:p>
            <w:pPr>
              <w:spacing w:line="400" w:lineRule="exact"/>
              <w:rPr>
                <w:rFonts w:ascii="宋体" w:hAnsi="宋体" w:cs="宋体"/>
                <w:kern w:val="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8.5</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kern w:val="0"/>
                <w:sz w:val="18"/>
                <w:szCs w:val="18"/>
              </w:rPr>
            </w:pPr>
            <w:r>
              <w:rPr>
                <w:rFonts w:hint="eastAsia" w:ascii="宋体" w:hAnsi="宋体" w:cs="宋体"/>
                <w:kern w:val="0"/>
                <w:sz w:val="18"/>
                <w:szCs w:val="18"/>
                <w:lang w:bidi="ar"/>
              </w:rPr>
              <w:t>乳腺专用线圈</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kern w:val="0"/>
                <w:sz w:val="18"/>
                <w:szCs w:val="18"/>
              </w:rPr>
            </w:pPr>
            <w:r>
              <w:rPr>
                <w:rFonts w:hint="eastAsia" w:ascii="宋体" w:hAnsi="宋体" w:cs="宋体"/>
                <w:kern w:val="0"/>
                <w:sz w:val="18"/>
                <w:szCs w:val="18"/>
                <w:lang w:bidi="ar"/>
              </w:rPr>
              <w:t>8.6</w:t>
            </w:r>
          </w:p>
        </w:tc>
        <w:tc>
          <w:tcPr>
            <w:tcW w:w="3898" w:type="dxa"/>
            <w:tcBorders>
              <w:tl2br w:val="nil"/>
              <w:tr2bl w:val="nil"/>
            </w:tcBorders>
            <w:shd w:val="clear" w:color="auto" w:fill="auto"/>
            <w:vAlign w:val="center"/>
          </w:tcPr>
          <w:p>
            <w:pPr>
              <w:tabs>
                <w:tab w:val="left" w:pos="714"/>
              </w:tabs>
              <w:spacing w:line="400" w:lineRule="exact"/>
              <w:rPr>
                <w:rFonts w:ascii="宋体" w:hAnsi="宋体" w:cs="宋体"/>
                <w:sz w:val="18"/>
                <w:szCs w:val="18"/>
              </w:rPr>
            </w:pPr>
            <w:r>
              <w:rPr>
                <w:rFonts w:hint="eastAsia" w:ascii="宋体" w:hAnsi="宋体" w:cs="宋体"/>
                <w:kern w:val="0"/>
                <w:sz w:val="18"/>
                <w:szCs w:val="18"/>
                <w:lang w:bidi="ar"/>
              </w:rPr>
              <w:t>膝关节专用硬式线圈（不可用柔性线圈代替）</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b/>
                <w:bCs/>
                <w:sz w:val="18"/>
                <w:szCs w:val="18"/>
                <w:lang w:bidi="ar"/>
              </w:rPr>
              <w:t>五</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b/>
                <w:bCs/>
                <w:sz w:val="18"/>
                <w:szCs w:val="18"/>
                <w:lang w:bidi="ar"/>
              </w:rPr>
              <w:t>计算机</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CPU主频</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≥3.3GHz</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处理器位数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64位</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主内存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硬盘容量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≥700GB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硬盘图像存储量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≥600,000幅(256×256)</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图像重建计算机内存</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 96GB</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图像重建速度（256 FFT，100% FOV）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≥100,000幅/秒</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同步扫描重建功能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扫描,采集,重建时可同时进行阅片,后处理,照相和存盘功能</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b/>
                <w:bCs/>
                <w:sz w:val="18"/>
                <w:szCs w:val="18"/>
              </w:rPr>
            </w:pP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显示器</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≥23寸彩色LCD率液晶显示器</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numPr>
                <w:ilvl w:val="0"/>
                <w:numId w:val="7"/>
              </w:numPr>
              <w:tabs>
                <w:tab w:val="left" w:pos="1620"/>
              </w:tabs>
              <w:spacing w:line="400" w:lineRule="exact"/>
              <w:jc w:val="center"/>
              <w:rPr>
                <w:rFonts w:ascii="宋体" w:hAnsi="宋体" w:cs="宋体"/>
                <w:sz w:val="18"/>
                <w:szCs w:val="18"/>
              </w:rPr>
            </w:pP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显示图像分辨率</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 xml:space="preserve">≥1920 x 1200 </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b/>
                <w:bCs/>
                <w:sz w:val="18"/>
                <w:szCs w:val="18"/>
                <w:lang w:bidi="ar"/>
              </w:rPr>
              <w:t>六</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b/>
                <w:bCs/>
                <w:sz w:val="18"/>
                <w:szCs w:val="18"/>
                <w:lang w:bidi="ar"/>
              </w:rPr>
              <w:t>后处理接口</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软件控制照相技术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DICOM 3.0接口及与PACS网络连接（包括打印，传输，接收，查询,Worklist ,MPPS等功能）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标准激光相机数字接口</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b/>
                <w:bCs/>
                <w:sz w:val="18"/>
                <w:szCs w:val="18"/>
                <w:lang w:bidi="ar"/>
              </w:rPr>
              <w:t>七</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sz w:val="18"/>
                <w:szCs w:val="18"/>
                <w:lang w:bidi="ar"/>
              </w:rPr>
              <w:t>磁体智能显示屏系统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显示屏位置</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分别位于磁体两侧</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显示屏尺寸</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≥12英寸</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CPU</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≥双核</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操作系统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Win10</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多点触屏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可显示姓名、生日、性别、患者ID、年龄、体重等信息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可显示扫描时长、扫描序列个数、SAR值、屏气等信息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可显示推荐使用的线圈</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可显示推荐的病人摆位信息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对比剂注射管理</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可显示对比剂类型和计量</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VCG信号显示、呼吸信号显示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可调试通风、照明、音量等</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4"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扫描室门关闭时可自动开启扫描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八</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扫描参数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最小FOV</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最大FOV</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w:t>
            </w:r>
            <w:r>
              <w:rPr>
                <w:rFonts w:hint="eastAsia" w:ascii="宋体" w:hAnsi="宋体" w:cs="宋体"/>
                <w:color w:val="000000"/>
                <w:sz w:val="18"/>
                <w:szCs w:val="18"/>
                <w:lang w:bidi="ar"/>
              </w:rPr>
              <w:t>550mm</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最薄2D层厚</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color w:val="000000"/>
                <w:sz w:val="18"/>
                <w:szCs w:val="18"/>
                <w:lang w:bidi="ar"/>
              </w:rPr>
              <w:t>最薄3D层厚</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≤0.05mm</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color w:val="000000"/>
                <w:sz w:val="18"/>
                <w:szCs w:val="18"/>
              </w:rPr>
            </w:pPr>
            <w:r>
              <w:rPr>
                <w:rFonts w:hint="eastAsia" w:ascii="宋体" w:hAnsi="宋体" w:cs="宋体"/>
                <w:color w:val="000000"/>
                <w:sz w:val="18"/>
                <w:szCs w:val="18"/>
                <w:lang w:bidi="ar"/>
              </w:rPr>
              <w:t>最大采集矩阵</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≥1024×1024</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6</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(256*256矩阵)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≤4.2</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(256*256矩阵)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≤1.5</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8</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(128*128矩阵)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≤2.6</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9</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(128*128矩阵)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≤1.1</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10</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TR (ms) (64*64矩阵)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≤2.0</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11</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最短EPI TE (ms) (64*64矩阵)</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≤0.9</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最大弥散加权系数B值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≥20,000</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13</w:t>
            </w:r>
          </w:p>
        </w:tc>
        <w:tc>
          <w:tcPr>
            <w:tcW w:w="3898" w:type="dxa"/>
            <w:tcBorders>
              <w:tl2br w:val="nil"/>
              <w:tr2bl w:val="nil"/>
            </w:tcBorders>
            <w:shd w:val="clear" w:color="auto" w:fill="auto"/>
            <w:vAlign w:val="center"/>
          </w:tcPr>
          <w:p>
            <w:pPr>
              <w:spacing w:line="400" w:lineRule="exact"/>
              <w:jc w:val="left"/>
              <w:rPr>
                <w:rFonts w:ascii="宋体" w:hAnsi="宋体" w:cs="宋体"/>
                <w:color w:val="000000"/>
                <w:sz w:val="18"/>
                <w:szCs w:val="18"/>
              </w:rPr>
            </w:pPr>
            <w:r>
              <w:rPr>
                <w:rFonts w:hint="eastAsia" w:ascii="宋体" w:hAnsi="宋体" w:cs="宋体"/>
                <w:color w:val="000000"/>
                <w:sz w:val="18"/>
                <w:szCs w:val="18"/>
                <w:lang w:bidi="ar"/>
              </w:rPr>
              <w:t>TSE最大因子</w:t>
            </w:r>
          </w:p>
        </w:tc>
        <w:tc>
          <w:tcPr>
            <w:tcW w:w="3629" w:type="dxa"/>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≥1024</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color w:val="000000"/>
                <w:sz w:val="18"/>
                <w:szCs w:val="18"/>
              </w:rPr>
            </w:pPr>
            <w:r>
              <w:rPr>
                <w:rFonts w:hint="eastAsia" w:ascii="宋体" w:hAnsi="宋体" w:cs="宋体"/>
                <w:color w:val="000000"/>
                <w:sz w:val="18"/>
                <w:szCs w:val="18"/>
                <w:lang w:bidi="ar"/>
              </w:rPr>
              <w:t>14</w:t>
            </w:r>
          </w:p>
        </w:tc>
        <w:tc>
          <w:tcPr>
            <w:tcW w:w="3898" w:type="dxa"/>
            <w:tcBorders>
              <w:tl2br w:val="nil"/>
              <w:tr2bl w:val="nil"/>
            </w:tcBorders>
            <w:shd w:val="clear" w:color="auto" w:fill="auto"/>
            <w:vAlign w:val="center"/>
          </w:tcPr>
          <w:p>
            <w:pPr>
              <w:spacing w:line="400" w:lineRule="exact"/>
              <w:jc w:val="left"/>
              <w:rPr>
                <w:rFonts w:ascii="宋体" w:hAnsi="宋体" w:cs="宋体"/>
                <w:color w:val="000000"/>
                <w:sz w:val="18"/>
                <w:szCs w:val="18"/>
              </w:rPr>
            </w:pPr>
            <w:r>
              <w:rPr>
                <w:rFonts w:hint="eastAsia" w:ascii="宋体" w:hAnsi="宋体" w:cs="宋体"/>
                <w:color w:val="000000"/>
                <w:sz w:val="18"/>
                <w:szCs w:val="18"/>
                <w:lang w:bidi="ar"/>
              </w:rPr>
              <w:t>EPI最大因子</w:t>
            </w:r>
          </w:p>
        </w:tc>
        <w:tc>
          <w:tcPr>
            <w:tcW w:w="3629" w:type="dxa"/>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r>
              <w:rPr>
                <w:rFonts w:hint="eastAsia" w:ascii="宋体" w:hAnsi="宋体" w:cs="宋体"/>
                <w:color w:val="000000"/>
                <w:sz w:val="18"/>
                <w:szCs w:val="18"/>
                <w:lang w:bidi="ar"/>
              </w:rPr>
              <w:t>≥255</w:t>
            </w:r>
          </w:p>
        </w:tc>
        <w:tc>
          <w:tcPr>
            <w:tcW w:w="981" w:type="dxa"/>
            <w:vMerge w:val="continue"/>
            <w:tcBorders>
              <w:tl2br w:val="nil"/>
              <w:tr2bl w:val="nil"/>
            </w:tcBorders>
            <w:shd w:val="clear" w:color="auto" w:fill="auto"/>
            <w:vAlign w:val="center"/>
          </w:tcPr>
          <w:p>
            <w:pPr>
              <w:spacing w:line="400" w:lineRule="exact"/>
              <w:jc w:val="lef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color w:val="000000"/>
                <w:sz w:val="18"/>
                <w:szCs w:val="18"/>
                <w:lang w:bidi="ar"/>
              </w:rPr>
              <w:t>九</w:t>
            </w:r>
          </w:p>
        </w:tc>
        <w:tc>
          <w:tcPr>
            <w:tcW w:w="3898" w:type="dxa"/>
            <w:tcBorders>
              <w:tl2br w:val="nil"/>
              <w:tr2bl w:val="nil"/>
            </w:tcBorders>
            <w:shd w:val="clear" w:color="auto" w:fill="auto"/>
            <w:vAlign w:val="center"/>
          </w:tcPr>
          <w:p>
            <w:pPr>
              <w:spacing w:line="400" w:lineRule="exact"/>
              <w:rPr>
                <w:rFonts w:ascii="宋体" w:hAnsi="宋体" w:cs="宋体"/>
                <w:b/>
                <w:bCs/>
                <w:color w:val="000000"/>
                <w:sz w:val="18"/>
                <w:szCs w:val="18"/>
              </w:rPr>
            </w:pPr>
            <w:r>
              <w:rPr>
                <w:rFonts w:hint="eastAsia" w:ascii="宋体" w:hAnsi="宋体" w:cs="宋体"/>
                <w:b/>
                <w:bCs/>
                <w:color w:val="000000"/>
                <w:sz w:val="18"/>
                <w:szCs w:val="18"/>
                <w:lang w:bidi="ar"/>
              </w:rPr>
              <w:t>扫描技术与序列</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自旋回波序列，包括：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2D/3D自旋回波序列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组织弛豫时间测量自旋回波序列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aps/>
                <w:sz w:val="18"/>
                <w:szCs w:val="18"/>
                <w:lang w:bidi="ar"/>
              </w:rPr>
              <w:t>可选择角度的自旋回波</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反转恢复序列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脂肪抑制序列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频谱特异式大范围脂肪抑制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快速自由水抑制序列, 包括有：</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提供</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快速自由水抑制T2W成像技术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6.2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快速自由水抑制T1W成像技术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快速反转恢复序列(脂肪、水抑制)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单独灰质或白质成像技术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梯度回波序列(2D/3D), 包括有：</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亚秒T1加权技术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9.2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亚秒T2加权技术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2D平衡式梯度回波序列(B-FFE或True-FISP或 FIESTA)</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3D平衡式梯度回波序列(B-FFE或True-FISP或 FIESTA)</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超快速场回波序列</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多层快速动态成像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匙孔成像技术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三维成像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多块三维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17</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多叠三维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智能化K空间快门成像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19</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磁化转移对比</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单次激发EPI技术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多次激发EPI技术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流入法血管造影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快速流入法血管造影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造影剂增强MRA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倾角优化非饱和激发技术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26</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相位对比血管造影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快速相位对比血管造影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伪影消除技术, 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提供</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28.1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恒定信号技术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aps/>
                <w:sz w:val="18"/>
                <w:szCs w:val="18"/>
                <w:lang w:bidi="ar"/>
              </w:rPr>
              <w:t>流动校正梯度波形技术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区域饱和技术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 xml:space="preserve">卷积伪影去除技术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周边脉动触发技术  </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呼吸触发技术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减少呼吸运动伪影不增加扫描时间技术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智能伪影消除技术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28.9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手动启动和停止</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节时技术,包括：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29.1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半扫描技术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 xml:space="preserve">29.2 </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部分扫描采集技术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矩形视野采集技术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三维重叠连续采集技术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29.5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预备相位极小化扫描技术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神经系统成像技术,包括:</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30.1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高分辨解剖成像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脊髓成像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脑脊液抑制技术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脂肪抑制</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灰、白质最佳显示成像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弥散成像技术，包括: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ADC成像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各向同性采集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各向异性采集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一次扫描完成三弥散方向采集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Cs/>
                <w:sz w:val="18"/>
                <w:szCs w:val="18"/>
              </w:rPr>
            </w:pPr>
            <w:r>
              <w:rPr>
                <w:rFonts w:hint="eastAsia" w:ascii="宋体" w:hAnsi="宋体" w:cs="宋体"/>
                <w:sz w:val="18"/>
                <w:szCs w:val="18"/>
                <w:lang w:bidi="ar"/>
              </w:rPr>
              <w:t>30.11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Cs/>
                <w:sz w:val="18"/>
                <w:szCs w:val="18"/>
                <w:lang w:bidi="ar"/>
              </w:rPr>
              <w:t>灌注成像技术,包括:</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30.11.1</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线上计算血流动态图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30.11.2</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平均通过时间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30.11.3</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到达峰值时间</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30.11.4</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负积分图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30.11.5</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sz w:val="18"/>
                <w:szCs w:val="18"/>
                <w:lang w:bidi="ar"/>
              </w:rPr>
              <w:t>索引图</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ind w:firstLine="426" w:firstLineChars="237"/>
              <w:rPr>
                <w:rFonts w:ascii="宋体" w:hAnsi="宋体" w:cs="宋体"/>
                <w:b/>
                <w:bCs/>
                <w:sz w:val="18"/>
                <w:szCs w:val="18"/>
              </w:rPr>
            </w:pPr>
            <w:r>
              <w:rPr>
                <w:rFonts w:hint="eastAsia" w:ascii="宋体" w:hAnsi="宋体" w:cs="宋体"/>
                <w:sz w:val="18"/>
                <w:szCs w:val="18"/>
                <w:lang w:bidi="ar"/>
              </w:rPr>
              <w:t>31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心血管成像技术,包括：</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2D/3D时飞法技术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连续多层3D时飞法技术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门控流入技术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2D/3D相位对比技术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相位对比MRA技术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磁化传递(MTC法)血管造影</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pacing w:val="-20"/>
                <w:sz w:val="18"/>
                <w:szCs w:val="18"/>
              </w:rPr>
            </w:pPr>
            <w:r>
              <w:rPr>
                <w:rFonts w:hint="eastAsia" w:ascii="宋体" w:hAnsi="宋体" w:cs="宋体"/>
                <w:sz w:val="18"/>
                <w:szCs w:val="18"/>
                <w:lang w:bidi="ar"/>
              </w:rPr>
              <w:t>31.7</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pacing w:val="-20"/>
                <w:sz w:val="18"/>
                <w:szCs w:val="18"/>
                <w:lang w:bidi="ar"/>
              </w:rPr>
              <w:t>智 能 化 实 时 透 视 减 影 造 影 剂 追 踪 血 管 成 像 技 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智能化自动床移造影剂跟踪技术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3D多层重叠成像技术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可变反转角度射频技术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血管选择技术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最大强度投影技术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多层面重建技术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实时交互式血管图像处理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流量定量分析技术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高时间分辨率的血管成像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区域饱和技术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心脏成像白血、黑血技术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二维、三维多相位心脏电影成像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无线蓝牙传输呼吸门控</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无线蓝牙传输外周门控</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频率编码方向扩大采集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相位编码方向扩大采集</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饱和带数目</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≥6</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31.25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脂肪饱和技术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32</w:t>
            </w:r>
          </w:p>
        </w:tc>
        <w:tc>
          <w:tcPr>
            <w:tcW w:w="3898" w:type="dxa"/>
            <w:tcBorders>
              <w:tl2br w:val="nil"/>
              <w:tr2bl w:val="nil"/>
            </w:tcBorders>
            <w:shd w:val="clear" w:color="auto" w:fill="auto"/>
            <w:vAlign w:val="center"/>
          </w:tcPr>
          <w:p>
            <w:pPr>
              <w:spacing w:line="400" w:lineRule="exact"/>
              <w:jc w:val="left"/>
              <w:rPr>
                <w:rFonts w:ascii="宋体" w:hAnsi="宋体" w:cs="宋体"/>
                <w:sz w:val="18"/>
                <w:szCs w:val="18"/>
              </w:rPr>
            </w:pPr>
            <w:r>
              <w:rPr>
                <w:rFonts w:hint="eastAsia" w:ascii="宋体" w:hAnsi="宋体" w:cs="宋体"/>
                <w:sz w:val="18"/>
                <w:szCs w:val="18"/>
                <w:lang w:bidi="ar"/>
              </w:rPr>
              <w:t>并行采集技术成像(dS-SENSE或者ASSET或者iPAT)</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kern w:val="0"/>
                <w:sz w:val="18"/>
                <w:szCs w:val="18"/>
              </w:rPr>
            </w:pPr>
            <w:r>
              <w:rPr>
                <w:rFonts w:hint="eastAsia" w:ascii="宋体" w:hAnsi="宋体" w:cs="宋体"/>
                <w:sz w:val="18"/>
                <w:szCs w:val="18"/>
                <w:lang w:bidi="ar"/>
              </w:rPr>
              <w:t>33</w:t>
            </w:r>
          </w:p>
        </w:tc>
        <w:tc>
          <w:tcPr>
            <w:tcW w:w="3898" w:type="dxa"/>
            <w:tcBorders>
              <w:tl2br w:val="nil"/>
              <w:tr2bl w:val="nil"/>
            </w:tcBorders>
            <w:shd w:val="clear" w:color="auto" w:fill="auto"/>
            <w:vAlign w:val="center"/>
          </w:tcPr>
          <w:p>
            <w:pPr>
              <w:widowControl/>
              <w:spacing w:line="400" w:lineRule="exact"/>
              <w:ind w:left="-9" w:leftChars="-41" w:hanging="77" w:hangingChars="43"/>
              <w:jc w:val="left"/>
              <w:rPr>
                <w:rFonts w:ascii="宋体" w:hAnsi="宋体" w:cs="宋体"/>
                <w:color w:val="000000"/>
                <w:sz w:val="18"/>
                <w:szCs w:val="18"/>
              </w:rPr>
            </w:pPr>
            <w:r>
              <w:rPr>
                <w:rFonts w:hint="eastAsia" w:ascii="宋体" w:hAnsi="宋体" w:cs="宋体"/>
                <w:kern w:val="0"/>
                <w:sz w:val="18"/>
                <w:szCs w:val="18"/>
                <w:lang w:bidi="ar"/>
              </w:rPr>
              <w:t>运动伪影校正技术（Propeller 3.0或者Blade或者Multivane）</w:t>
            </w:r>
          </w:p>
        </w:tc>
        <w:tc>
          <w:tcPr>
            <w:tcW w:w="3629" w:type="dxa"/>
            <w:tcBorders>
              <w:tl2br w:val="nil"/>
              <w:tr2bl w:val="nil"/>
            </w:tcBorders>
            <w:shd w:val="clear" w:color="auto" w:fill="auto"/>
            <w:vAlign w:val="center"/>
          </w:tcPr>
          <w:p>
            <w:pPr>
              <w:spacing w:line="400" w:lineRule="exact"/>
              <w:rPr>
                <w:rFonts w:ascii="宋体" w:hAnsi="宋体" w:cs="宋体"/>
                <w:color w:val="000000"/>
                <w:sz w:val="18"/>
                <w:szCs w:val="18"/>
                <w:lang w:bidi="ar"/>
              </w:rPr>
            </w:pPr>
            <w:r>
              <w:rPr>
                <w:rFonts w:hint="eastAsia" w:ascii="宋体" w:hAnsi="宋体" w:cs="宋体"/>
                <w:color w:val="000000"/>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color w:val="000000"/>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水成像</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信/噪指示器</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5"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预扫描技术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8"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sz w:val="18"/>
                <w:szCs w:val="18"/>
              </w:rPr>
            </w:pPr>
            <w:r>
              <w:rPr>
                <w:rFonts w:hint="eastAsia" w:ascii="宋体" w:hAnsi="宋体" w:cs="宋体"/>
                <w:sz w:val="18"/>
                <w:szCs w:val="18"/>
                <w:lang w:bidi="ar"/>
              </w:rPr>
              <w:t>37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高分辨采集及重建技术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具备，1024*1024采集及重建矩阵</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8"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b/>
                <w:bCs/>
                <w:sz w:val="18"/>
                <w:szCs w:val="18"/>
              </w:rPr>
            </w:pPr>
            <w:r>
              <w:rPr>
                <w:rFonts w:hint="eastAsia" w:ascii="宋体" w:hAnsi="宋体" w:cs="宋体"/>
                <w:sz w:val="18"/>
                <w:szCs w:val="18"/>
                <w:lang w:bidi="ar"/>
              </w:rPr>
              <w:t>38</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b/>
                <w:bCs/>
                <w:sz w:val="18"/>
                <w:szCs w:val="18"/>
              </w:rPr>
            </w:pPr>
            <w:r>
              <w:rPr>
                <w:rFonts w:hint="eastAsia" w:ascii="宋体" w:hAnsi="宋体" w:cs="宋体"/>
                <w:color w:val="000000"/>
                <w:sz w:val="18"/>
                <w:szCs w:val="18"/>
                <w:lang w:bidi="ar"/>
              </w:rPr>
              <w:t>心电向量门控技术</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color w:val="000000"/>
                <w:sz w:val="18"/>
                <w:szCs w:val="18"/>
              </w:rPr>
            </w:pPr>
            <w:r>
              <w:rPr>
                <w:rFonts w:hint="eastAsia" w:ascii="宋体" w:hAnsi="宋体" w:cs="宋体"/>
                <w:sz w:val="18"/>
                <w:szCs w:val="18"/>
                <w:lang w:bidi="ar"/>
              </w:rPr>
              <w:t>39</w:t>
            </w:r>
          </w:p>
        </w:tc>
        <w:tc>
          <w:tcPr>
            <w:tcW w:w="3898" w:type="dxa"/>
            <w:tcBorders>
              <w:tl2br w:val="nil"/>
              <w:tr2bl w:val="nil"/>
            </w:tcBorders>
            <w:shd w:val="clear" w:color="auto" w:fill="auto"/>
            <w:vAlign w:val="center"/>
          </w:tcPr>
          <w:p>
            <w:pPr>
              <w:tabs>
                <w:tab w:val="left" w:pos="1620"/>
              </w:tabs>
              <w:spacing w:line="400" w:lineRule="exact"/>
              <w:jc w:val="left"/>
              <w:rPr>
                <w:rFonts w:ascii="宋体" w:hAnsi="宋体" w:cs="宋体"/>
                <w:sz w:val="18"/>
                <w:szCs w:val="18"/>
              </w:rPr>
            </w:pPr>
            <w:r>
              <w:rPr>
                <w:rFonts w:hint="eastAsia" w:ascii="宋体" w:hAnsi="宋体" w:cs="宋体"/>
                <w:color w:val="000000"/>
                <w:sz w:val="18"/>
                <w:szCs w:val="18"/>
                <w:lang w:bidi="ar"/>
              </w:rPr>
              <w:t>3D腹部增强扫描，(VIBE</w:t>
            </w:r>
            <w:r>
              <w:rPr>
                <w:rFonts w:hint="eastAsia" w:ascii="宋体" w:hAnsi="宋体" w:cs="宋体"/>
                <w:sz w:val="18"/>
                <w:szCs w:val="18"/>
                <w:lang w:bidi="ar"/>
              </w:rPr>
              <w:t>或者</w:t>
            </w:r>
            <w:r>
              <w:rPr>
                <w:rFonts w:hint="eastAsia" w:ascii="宋体" w:hAnsi="宋体" w:cs="宋体"/>
                <w:color w:val="000000"/>
                <w:sz w:val="18"/>
                <w:szCs w:val="18"/>
                <w:lang w:bidi="ar"/>
              </w:rPr>
              <w:t>LAVA</w:t>
            </w:r>
            <w:r>
              <w:rPr>
                <w:rFonts w:hint="eastAsia" w:ascii="宋体" w:hAnsi="宋体" w:cs="宋体"/>
                <w:sz w:val="18"/>
                <w:szCs w:val="18"/>
                <w:lang w:bidi="ar"/>
              </w:rPr>
              <w:t>或者</w:t>
            </w:r>
            <w:r>
              <w:rPr>
                <w:rFonts w:hint="eastAsia" w:ascii="宋体" w:hAnsi="宋体" w:cs="宋体"/>
                <w:color w:val="000000"/>
                <w:sz w:val="18"/>
                <w:szCs w:val="18"/>
                <w:lang w:bidi="ar"/>
              </w:rPr>
              <w:t>Thrive)</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tabs>
                <w:tab w:val="left" w:pos="1620"/>
              </w:tabs>
              <w:spacing w:line="400" w:lineRule="exact"/>
              <w:jc w:val="center"/>
              <w:rPr>
                <w:rFonts w:ascii="宋体" w:hAnsi="宋体" w:cs="宋体"/>
                <w:color w:val="000000"/>
                <w:sz w:val="18"/>
                <w:szCs w:val="18"/>
              </w:rPr>
            </w:pPr>
            <w:r>
              <w:rPr>
                <w:rFonts w:hint="eastAsia" w:ascii="宋体" w:hAnsi="宋体" w:cs="宋体"/>
                <w:sz w:val="18"/>
                <w:szCs w:val="18"/>
                <w:lang w:bidi="ar"/>
              </w:rPr>
              <w:t>40</w:t>
            </w:r>
          </w:p>
        </w:tc>
        <w:tc>
          <w:tcPr>
            <w:tcW w:w="3898" w:type="dxa"/>
            <w:tcBorders>
              <w:tl2br w:val="nil"/>
              <w:tr2bl w:val="nil"/>
            </w:tcBorders>
            <w:shd w:val="clear" w:color="auto" w:fill="auto"/>
            <w:vAlign w:val="center"/>
          </w:tcPr>
          <w:p>
            <w:pPr>
              <w:tabs>
                <w:tab w:val="left" w:pos="1620"/>
              </w:tabs>
              <w:spacing w:line="400" w:lineRule="exact"/>
              <w:rPr>
                <w:rFonts w:ascii="宋体" w:hAnsi="宋体" w:cs="宋体"/>
                <w:sz w:val="18"/>
                <w:szCs w:val="18"/>
              </w:rPr>
            </w:pPr>
            <w:r>
              <w:rPr>
                <w:rFonts w:hint="eastAsia" w:ascii="宋体" w:hAnsi="宋体" w:cs="宋体"/>
                <w:color w:val="000000"/>
                <w:sz w:val="18"/>
                <w:szCs w:val="18"/>
                <w:lang w:bidi="ar"/>
              </w:rPr>
              <w:t>一键式扫描卡片</w:t>
            </w:r>
          </w:p>
        </w:tc>
        <w:tc>
          <w:tcPr>
            <w:tcW w:w="3629" w:type="dxa"/>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tabs>
                <w:tab w:val="left" w:pos="1620"/>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背景抑制弥散(DWIBS或者REVEAL或者WB-DWI)</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直接冠状位采集背景抑制弥散，非横断位重建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非造影增强外周血管成像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sz w:val="18"/>
                <w:szCs w:val="18"/>
              </w:rPr>
            </w:pPr>
            <w:r>
              <w:rPr>
                <w:rFonts w:hint="eastAsia" w:ascii="宋体" w:hAnsi="宋体" w:cs="宋体"/>
                <w:b/>
                <w:sz w:val="18"/>
                <w:szCs w:val="18"/>
                <w:lang w:bidi="ar"/>
              </w:rPr>
              <w:t>十</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sz w:val="18"/>
                <w:szCs w:val="18"/>
                <w:lang w:bidi="ar"/>
              </w:rPr>
              <w:t>高级功能成像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脑功能成像BOLD</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波谱成像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单体素波谱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多体素波谱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2D波谱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3D波谱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头部波谱分析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乳腺波谱分析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*2.7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前列腺波谱分析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DTI神经纤维束成像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快速自旋回波水脂分离成像 (mDIXON 或者DIXON或者IDEAL)</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参与计算脂肪峰个数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4.2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水脂分离成像采集回波数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≤3个</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color w:val="000000"/>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梯度回波水脂分离成像 (mDIXON 或者DIXON-vibe或者LAVA FLEX)</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具备</w:t>
            </w:r>
          </w:p>
          <w:p>
            <w:pPr>
              <w:tabs>
                <w:tab w:val="left" w:pos="1329"/>
              </w:tabs>
              <w:spacing w:line="400" w:lineRule="exact"/>
              <w:rPr>
                <w:rFonts w:ascii="宋体" w:hAnsi="宋体" w:cs="宋体"/>
                <w:sz w:val="18"/>
                <w:szCs w:val="18"/>
                <w:lang w:bidi="ar"/>
              </w:rPr>
            </w:pPr>
            <w:r>
              <w:rPr>
                <w:rFonts w:hint="eastAsia" w:ascii="宋体" w:hAnsi="宋体" w:cs="宋体"/>
                <w:sz w:val="18"/>
                <w:szCs w:val="18"/>
                <w:lang w:bidi="ar"/>
              </w:rPr>
              <w:tab/>
            </w:r>
          </w:p>
        </w:tc>
        <w:tc>
          <w:tcPr>
            <w:tcW w:w="981" w:type="dxa"/>
            <w:vMerge w:val="continue"/>
            <w:tcBorders>
              <w:tl2br w:val="nil"/>
              <w:tr2bl w:val="nil"/>
            </w:tcBorders>
            <w:shd w:val="clear" w:color="auto" w:fill="auto"/>
            <w:vAlign w:val="center"/>
          </w:tcPr>
          <w:p>
            <w:pPr>
              <w:tabs>
                <w:tab w:val="left" w:pos="1329"/>
              </w:tabs>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不打药灌注3D ASL</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提供rCBF兴趣区测量功能，同时彩图自动优化处理（非手工调整）功能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磁敏感成像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磁敏感成像具备相位图</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mDXION XD MRA不剪影血管成像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去金属伪影扫描技术（MARS或者Mavric SL或者Advanced WAPP）</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金属植入物定制化扫描技术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高b值弥散成像，最大b值≥25000</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具有iMSDE预脉冲的黑血成像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基于ASL技术原理的不打药多期连续动态血管成像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自由呼吸成像3D VANE XD或者StarVIBE</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脂肪定量成像mDixon Quant或者Ideal IQ或者Liverlab</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具有iMSDE预脉冲的神经根成像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酰胺质子转移成像技术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具备，注明技术名称并提供技术白皮书证明</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射频饱和时间≥2s</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具备NMPA认证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主机可显示color bar</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mDixon技术校正B0场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17.5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3D TSE无变形读出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超高分辨率采集技术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具备，2048x2048采集矩阵</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超高分辨率重建技术</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具备，2048x2048重建矩阵</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双射频硬件下实现小视野弥散高清成像，ZOOM Diffusion或者FOCUS或者ZOOMIT</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高清弥散，IRIS或者MUSE或者Resolve 2.0</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高级三维容积非选择性成像，心脏非选择性3D bFFE扫描，降低带状伪影</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具备，3D Non-selective</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sz w:val="18"/>
                <w:szCs w:val="18"/>
              </w:rPr>
            </w:pPr>
            <w:r>
              <w:rPr>
                <w:rFonts w:hint="eastAsia" w:ascii="宋体" w:hAnsi="宋体" w:cs="宋体"/>
                <w:b/>
                <w:sz w:val="18"/>
                <w:szCs w:val="18"/>
                <w:lang w:bidi="ar"/>
              </w:rPr>
              <w:t>*十一</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sz w:val="18"/>
                <w:szCs w:val="18"/>
                <w:lang w:bidi="ar"/>
              </w:rPr>
              <w:t>压缩感知成像（具备NMPA认证）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bookmarkStart w:id="54" w:name="_Hlk93140211"/>
            <w:r>
              <w:rPr>
                <w:rFonts w:hint="eastAsia" w:ascii="宋体" w:hAnsi="宋体" w:cs="宋体"/>
                <w:sz w:val="18"/>
                <w:szCs w:val="18"/>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压缩感知2D成像</w:t>
            </w:r>
          </w:p>
        </w:tc>
        <w:tc>
          <w:tcPr>
            <w:tcW w:w="3629"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rPr>
            </w:pPr>
          </w:p>
        </w:tc>
      </w:tr>
      <w:bookmarkEnd w:id="54"/>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压缩感知3D成像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压缩感知4D成像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最大加速因子</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≥32</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b/>
                <w:bCs/>
                <w:color w:val="000000"/>
                <w:sz w:val="18"/>
                <w:szCs w:val="18"/>
              </w:rPr>
            </w:pPr>
            <w:r>
              <w:rPr>
                <w:rFonts w:hint="eastAsia" w:ascii="宋体" w:hAnsi="宋体" w:cs="宋体"/>
                <w:b/>
                <w:bCs/>
                <w:sz w:val="18"/>
                <w:szCs w:val="18"/>
                <w:lang w:bidi="ar"/>
              </w:rPr>
              <w:t>十二</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color w:val="000000"/>
                <w:sz w:val="18"/>
                <w:szCs w:val="18"/>
                <w:lang w:bidi="ar"/>
              </w:rPr>
              <w:t>检查环境</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双向病人通话系统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提供防磁气动通话耳机</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磁体内可调试病人通风系统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可调试磁孔内病人照明系统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磁体内病人双向通话麦克风及扩音器系统</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3"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检查床垂直运动时最大病人承受重量</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≥250KG</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 xml:space="preserve">检查床最低位置 </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≤60cm</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扫描床水平进床最大速度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≥300mm/sec</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自动语音提醒功能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检查时间提醒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移床语音提醒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呼吸屏气配合语音提醒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多种语言提醒</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b/>
                <w:sz w:val="18"/>
                <w:szCs w:val="18"/>
                <w:lang w:bidi="ar"/>
              </w:rPr>
              <w:t>十三</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b/>
                <w:bCs/>
                <w:color w:val="000000"/>
                <w:sz w:val="18"/>
                <w:szCs w:val="18"/>
                <w:lang w:bidi="ar"/>
              </w:rPr>
              <w:t>其他附属设备和第三方产品</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原厂线圈专用储存车</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2</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线圈支架</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3</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水冷机壹台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4</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精密空调壹台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5</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Accutron MR高压注射器壹台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6</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头部专用线圈IP160壹个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7</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肘关节专用线圈EJ160壹个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8</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肩关节专用线圈SHD160壹个</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≥16通道</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9</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VesselAnalysis斑块分析软件</w:t>
            </w:r>
            <w:r>
              <w:rPr>
                <w:rFonts w:hint="eastAsia" w:ascii="宋体" w:hAnsi="宋体" w:cs="宋体"/>
                <w:kern w:val="0"/>
                <w:sz w:val="18"/>
                <w:szCs w:val="18"/>
                <w:lang w:bidi="ar"/>
              </w:rPr>
              <w:t>壹套</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10</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计算机UPS（30分钟）壹台</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9" w:hRule="atLeast"/>
          <w:tblHeader/>
          <w:jc w:val="center"/>
        </w:trPr>
        <w:tc>
          <w:tcPr>
            <w:tcW w:w="1229" w:type="dxa"/>
            <w:tcBorders>
              <w:tl2br w:val="nil"/>
              <w:tr2bl w:val="nil"/>
            </w:tcBorders>
            <w:shd w:val="clear" w:color="auto" w:fill="auto"/>
            <w:vAlign w:val="center"/>
          </w:tcPr>
          <w:p>
            <w:pPr>
              <w:spacing w:line="400" w:lineRule="exact"/>
              <w:jc w:val="center"/>
              <w:rPr>
                <w:rFonts w:ascii="宋体" w:hAnsi="宋体" w:cs="宋体"/>
                <w:sz w:val="18"/>
                <w:szCs w:val="18"/>
              </w:rPr>
            </w:pPr>
            <w:r>
              <w:rPr>
                <w:rFonts w:hint="eastAsia" w:ascii="宋体" w:hAnsi="宋体" w:cs="宋体"/>
                <w:sz w:val="18"/>
                <w:szCs w:val="18"/>
                <w:lang w:bidi="ar"/>
              </w:rPr>
              <w:t>11</w:t>
            </w:r>
          </w:p>
        </w:tc>
        <w:tc>
          <w:tcPr>
            <w:tcW w:w="3898" w:type="dxa"/>
            <w:tcBorders>
              <w:tl2br w:val="nil"/>
              <w:tr2bl w:val="nil"/>
            </w:tcBorders>
            <w:shd w:val="clear" w:color="auto" w:fill="auto"/>
            <w:vAlign w:val="center"/>
          </w:tcPr>
          <w:p>
            <w:pPr>
              <w:spacing w:line="400" w:lineRule="exact"/>
              <w:rPr>
                <w:rFonts w:ascii="宋体" w:hAnsi="宋体" w:cs="宋体"/>
                <w:sz w:val="18"/>
                <w:szCs w:val="18"/>
              </w:rPr>
            </w:pPr>
            <w:r>
              <w:rPr>
                <w:rFonts w:hint="eastAsia" w:ascii="宋体" w:hAnsi="宋体" w:cs="宋体"/>
                <w:sz w:val="18"/>
                <w:szCs w:val="18"/>
                <w:lang w:bidi="ar"/>
              </w:rPr>
              <w:t>操作间机房装修、屏蔽</w:t>
            </w:r>
          </w:p>
        </w:tc>
        <w:tc>
          <w:tcPr>
            <w:tcW w:w="3629" w:type="dxa"/>
            <w:tcBorders>
              <w:tl2br w:val="nil"/>
              <w:tr2bl w:val="nil"/>
            </w:tcBorders>
            <w:shd w:val="clear" w:color="auto" w:fill="auto"/>
            <w:vAlign w:val="center"/>
          </w:tcPr>
          <w:p>
            <w:pPr>
              <w:spacing w:line="400" w:lineRule="exact"/>
              <w:rPr>
                <w:rFonts w:ascii="宋体" w:hAnsi="宋体" w:cs="宋体"/>
                <w:sz w:val="18"/>
                <w:szCs w:val="18"/>
                <w:lang w:bidi="ar"/>
              </w:rPr>
            </w:pPr>
            <w:r>
              <w:rPr>
                <w:rFonts w:hint="eastAsia" w:ascii="宋体" w:hAnsi="宋体" w:cs="宋体"/>
                <w:sz w:val="18"/>
                <w:szCs w:val="18"/>
                <w:lang w:bidi="ar"/>
              </w:rPr>
              <w:t>具备</w:t>
            </w:r>
          </w:p>
        </w:tc>
        <w:tc>
          <w:tcPr>
            <w:tcW w:w="981" w:type="dxa"/>
            <w:vMerge w:val="continue"/>
            <w:tcBorders>
              <w:tl2br w:val="nil"/>
              <w:tr2bl w:val="nil"/>
            </w:tcBorders>
            <w:shd w:val="clear" w:color="auto" w:fill="auto"/>
            <w:vAlign w:val="center"/>
          </w:tcPr>
          <w:p>
            <w:pPr>
              <w:spacing w:line="400" w:lineRule="exact"/>
              <w:rPr>
                <w:rFonts w:ascii="宋体" w:hAnsi="宋体" w:cs="宋体"/>
                <w:sz w:val="18"/>
                <w:szCs w:val="18"/>
                <w:lang w:bidi="ar"/>
              </w:rPr>
            </w:pPr>
          </w:p>
        </w:tc>
      </w:tr>
    </w:tbl>
    <w:p>
      <w:pPr>
        <w:rPr>
          <w:rFonts w:ascii="宋体" w:hAnsi="宋体" w:cs="宋体"/>
          <w:sz w:val="24"/>
          <w:szCs w:val="24"/>
        </w:rPr>
      </w:pPr>
    </w:p>
    <w:p>
      <w:pPr>
        <w:rPr>
          <w:rFonts w:ascii="宋体" w:hAnsi="宋体" w:cs="宋体"/>
        </w:rPr>
      </w:pPr>
    </w:p>
    <w:p>
      <w:pPr>
        <w:ind w:firstLine="210" w:firstLineChars="100"/>
        <w:rPr>
          <w:rFonts w:ascii="宋体" w:hAnsi="宋体" w:cs="宋体"/>
          <w:b/>
          <w:bCs/>
        </w:rPr>
      </w:pPr>
      <w:r>
        <w:rPr>
          <w:rFonts w:hint="eastAsia" w:ascii="宋体" w:hAnsi="宋体" w:cs="宋体"/>
          <w:b/>
          <w:bCs/>
        </w:rPr>
        <w:t>备注：对以上产品的要求非唯一指定要求，如有与某产品的指标或参数描述相同，并非特指，仅为产品质量、档次、水平的参照，未注明的规格应符合国家有关行业标准，优于技术规格要求的品牌产品，采购人均可接受。</w:t>
      </w:r>
    </w:p>
    <w:p>
      <w:pPr>
        <w:rPr>
          <w:rFonts w:ascii="宋体" w:hAnsi="宋体" w:cs="宋体"/>
        </w:rPr>
      </w:pPr>
    </w:p>
    <w:p>
      <w:pPr>
        <w:rPr>
          <w:rFonts w:ascii="宋体" w:hAnsi="宋体" w:cs="宋体"/>
        </w:rPr>
      </w:pPr>
    </w:p>
    <w:p>
      <w:pPr>
        <w:rPr>
          <w:rFonts w:ascii="宋体" w:hAnsi="宋体" w:cs="宋体"/>
        </w:rPr>
      </w:pPr>
    </w:p>
    <w:p>
      <w:pPr>
        <w:pStyle w:val="6"/>
        <w:ind w:firstLine="420" w:firstLineChars="175"/>
        <w:rPr>
          <w:rFonts w:ascii="宋体" w:hAnsi="宋体" w:cs="宋体"/>
          <w:sz w:val="24"/>
          <w:szCs w:val="24"/>
        </w:rPr>
      </w:pPr>
      <w:r>
        <w:rPr>
          <w:rFonts w:hint="eastAsia" w:ascii="宋体" w:hAnsi="宋体" w:cs="宋体"/>
          <w:sz w:val="24"/>
          <w:szCs w:val="24"/>
        </w:rPr>
        <w:t>第二标段</w:t>
      </w:r>
    </w:p>
    <w:p>
      <w:pPr>
        <w:jc w:val="center"/>
        <w:rPr>
          <w:b/>
          <w:bCs/>
        </w:rPr>
      </w:pPr>
      <w:r>
        <w:rPr>
          <w:rFonts w:hint="eastAsia"/>
          <w:b/>
          <w:bCs/>
        </w:rPr>
        <w:t>高端X射线计算机体层摄影设备技术参数</w:t>
      </w:r>
    </w:p>
    <w:tbl>
      <w:tblPr>
        <w:tblStyle w:val="46"/>
        <w:tblW w:w="9771" w:type="dxa"/>
        <w:tblInd w:w="-4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7760"/>
        <w:gridCol w:w="8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序号</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技术参数及要求</w:t>
            </w:r>
          </w:p>
        </w:tc>
        <w:tc>
          <w:tcPr>
            <w:tcW w:w="861"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宋体" w:hAnsi="宋体" w:cs="宋体"/>
                <w:b/>
                <w:bCs/>
                <w:sz w:val="18"/>
                <w:szCs w:val="18"/>
              </w:rPr>
            </w:pPr>
            <w:r>
              <w:rPr>
                <w:rFonts w:hint="eastAsia" w:ascii="宋体" w:hAnsi="宋体" w:cs="宋体"/>
                <w:b/>
                <w:bCs/>
                <w:sz w:val="18"/>
                <w:szCs w:val="18"/>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设备名称：高端X射线计算机体层摄影设备（CT）</w:t>
            </w:r>
          </w:p>
        </w:tc>
        <w:tc>
          <w:tcPr>
            <w:tcW w:w="861" w:type="dxa"/>
            <w:vMerge w:val="restart"/>
            <w:tcBorders>
              <w:top w:val="single" w:color="auto" w:sz="4" w:space="0"/>
              <w:left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设备数量：一套</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设备用途：全身扫描的临床应用和临床研究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制造厂商：投标人说明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设备型号：所投机型必须为各制造厂家已获得NMPA注册的最新版本、最高技术的产品（如存在注册证变更的，须提供变更后的所有配置）。GE需提供含DLIR技术产品，SIEMENS需提供含QuantaMax™ detector技术产品，CANON需提供含AiCE技术产品，PHILIPS需提供含NanoPanel Prism detector 技术产品，其它厂家提供最新最高技术产品。评标时经专家组合议，若不满足可做废标处理。</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主要技术规格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扫描机架系统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扫描机架液晶屏操作模式：触摸式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扫描机架液晶屏显示内容：包括但不限于心电监护信息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内置式心电监护系统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扫描机架支撑方式：气垫轴承支撑</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扫描机架驱动方式：线性马达驱动（磁悬浮驱动）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滑环类型：低压滑环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冷却方式：水冷或风冷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扫描机架孔径≥80cm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提供多种角度扫描方式，需包括240°扫描, 360°扫描,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2.1.11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常规扫描视野FOV≥50cm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X线球管及高压发生器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单组高压发生器功率（非等效）≥120KW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球管具备节段阳极靶面</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球管有效热容量≥30MHU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单只球管最大电流（非等效）≥1000mA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单只球管最小电流（非等效）≤10mA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球管最小步进电流调节≤1mA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球管电压范围80~140KV</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具备X 和Z两个方向偏转的动态飞焦点技术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球管大焦点≤1.1×1.2mm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球管小焦点≤0.6×0.7mm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球管单次连续螺旋扫描（非等效）≥110秒</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*2.2.12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球管与所投设备同一厂家、同一品牌生产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探测器</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如提供传统单套探测器，Z轴覆盖范围≥16cm；如提供传统双套探测器系统，则每套探测器Z轴覆盖范围≥5.76cm；如提供全新立体双层光谱探测器，Z轴覆盖范围≥8cm,（要求附技术白皮书说明）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探测器具备“同源、同时、同相”接收不同能量X射线的能力，实现原始投影数据空间的能谱成像，不可用其他技术代替（要求附技术白皮书说明）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探测器具备混合射线的直接分离能力，对不同能量范围X射线采用不同材质接收，且并行独立处理，可同时区分高低能射线，用于原始投影数据空间的能谱成像，不可用其他技术代替（要求附技术白皮书说明）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数据采集率≥4800view*2/单元/360°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最小探测器单元≤0.625mm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扫描床系统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床水平手动行程≥2100 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床水平可扫描范围≥2000 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最小水平移床速度0.5mm/s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最大水平移床速度≥350mm/s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最大垂直移床速度≥50mm/s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 w:hRule="atLeast"/>
        </w:trPr>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最大承重下的移床精度≤±0.25mm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扫描床垂直升降可低至≤440mm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扫描床垂直升降可高至≥1070mm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病人床承重量≥306kg</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2.4.10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具备脚闸操作功能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图像质量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*2.5.1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提供最新最先进的微辐射影像重建技术，GE提供TrueFidelity，Siemens提供Quantum Iterative Reconstruction，Philips提供iDose4 Premium，Canon提供AiCE</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2.5.2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微辐射迭代重建速度≥40幅/秒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提供高级金属伪影专用去除算法：Philips提供OMAR、GE提供Smart MAR、Siemens提供iMAR、Canon提供SEMAR</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定位像有效采集视野≥50cm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定位像扫描长度≥200cm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定位像扫描宽度≥50cm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定位像方向：双定位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单球管螺旋扫描每圈扫描层数≥256层/360°扫描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最大扫描范围</w:t>
            </w:r>
            <w:r>
              <w:rPr>
                <w:rFonts w:hint="eastAsia" w:ascii="宋体" w:hAnsi="宋体" w:cs="宋体"/>
                <w:sz w:val="18"/>
                <w:szCs w:val="18"/>
              </w:rPr>
              <w:t>≥</w:t>
            </w:r>
            <w:r>
              <w:rPr>
                <w:rFonts w:hint="eastAsia" w:ascii="宋体" w:hAnsi="宋体" w:cs="宋体"/>
                <w:bCs/>
                <w:sz w:val="18"/>
                <w:szCs w:val="18"/>
              </w:rPr>
              <w:t>2000mm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螺距：0.07~1.65，连续可调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心脏扫描时间分辨率</w:t>
            </w:r>
            <w:r>
              <w:rPr>
                <w:rFonts w:hint="eastAsia" w:ascii="宋体" w:hAnsi="宋体" w:cs="宋体"/>
                <w:sz w:val="18"/>
                <w:szCs w:val="18"/>
              </w:rPr>
              <w:t>≤</w:t>
            </w:r>
            <w:r>
              <w:rPr>
                <w:rFonts w:hint="eastAsia" w:ascii="宋体" w:hAnsi="宋体" w:cs="宋体"/>
                <w:bCs/>
                <w:sz w:val="18"/>
                <w:szCs w:val="18"/>
              </w:rPr>
              <w:t>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2.5.12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密度分辨率≤5mm@0.3%</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常规图像噪声值≤0.3%</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CT值范围：-1024到+3071</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标准图像重建矩阵≥512×512</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高图像重建矩阵≥768×768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*2.5.17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超高图像重建矩阵≥1024X1024 ，提供相应证实文件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计算机主机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主CPU型号：厂商自报</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主频≥3.5GHz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内存≥64GB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 xml:space="preserve">图像硬盘容量≥7.6TB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显示器≥19″，LCD</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图像格式和传输存储：DICOM 3.0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DICOM Modality Worklist：标配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图像自动检索传送软件：标配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自动语言提示功能：标配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操纵台可进行图像后处理功能，MPR/MIP：标配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自动照相功能：标配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2.6.12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控制台双监视器配置：标配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b/>
                <w:sz w:val="18"/>
                <w:szCs w:val="18"/>
              </w:rPr>
              <w:t>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原装独立工作站系统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CPU型号：投标人说明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主频≥3.7Ghz</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内存≥16GB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硬盘容量≥1.2TB</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CD-RW和DVD-RW：标配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图像格式、传输存储：DICOM 3.0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2.7.7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多影像融合功能（CT/MR/NM）：标配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sz w:val="18"/>
                <w:szCs w:val="18"/>
              </w:rPr>
            </w:pPr>
            <w:r>
              <w:rPr>
                <w:rFonts w:hint="eastAsia" w:ascii="宋体" w:hAnsi="宋体" w:cs="宋体"/>
                <w:b/>
                <w:bCs/>
                <w:sz w:val="18"/>
                <w:szCs w:val="18"/>
              </w:rPr>
              <w:t>临床应用和后处理软件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3D分析软件包(MIP,MPR,SSD,VR等) ：支持3D图像的适时操控，包括绕任意轴的旋转、放大、移动、切割等</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具备CT能量成像技术，且高、低能量数据采集时间差为0且采集角度差为0°，提供技术白皮书证明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bCs/>
                <w:sz w:val="18"/>
                <w:szCs w:val="18"/>
              </w:rPr>
              <w:t>单KeV图像能级≥161级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sz w:val="18"/>
                <w:szCs w:val="18"/>
              </w:rPr>
            </w:pPr>
            <w:r>
              <w:rPr>
                <w:rFonts w:hint="eastAsia" w:ascii="宋体" w:hAnsi="宋体" w:cs="宋体"/>
                <w:sz w:val="18"/>
                <w:szCs w:val="18"/>
              </w:rPr>
              <w:t>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心肌能量灌注扫描时间分辨率≤27ms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单KeV图像能级≥161级</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能量扫描电压档位</w:t>
            </w:r>
            <w:r>
              <w:rPr>
                <w:rFonts w:hint="eastAsia" w:ascii="宋体" w:hAnsi="宋体" w:cs="宋体"/>
                <w:bCs/>
                <w:color w:val="000000" w:themeColor="text1"/>
                <w:sz w:val="18"/>
                <w:szCs w:val="18"/>
                <w14:textFill>
                  <w14:solidFill>
                    <w14:schemeClr w14:val="tx1"/>
                  </w14:solidFill>
                </w14:textFill>
              </w:rPr>
              <w:t>≥2挡</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具备单球管单kV扫描同时获得传统图像以及能量成像和数据的功能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具备从单球管单kV扫描图像中回顾性重建能量图像和数据的功能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能量扫描模式下投影数≥4600view*2/单元/360°/层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Cs/>
                <w:sz w:val="18"/>
                <w:szCs w:val="18"/>
              </w:rPr>
            </w:pPr>
            <w:r>
              <w:rPr>
                <w:rFonts w:hint="eastAsia" w:ascii="宋体" w:hAnsi="宋体" w:cs="宋体"/>
                <w:sz w:val="18"/>
                <w:szCs w:val="18"/>
              </w:rPr>
              <w:t>3.10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能量扫描视野FOV≥50cm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单KeV成像范围：</w:t>
            </w:r>
            <w:r>
              <w:rPr>
                <w:rFonts w:hint="eastAsia" w:ascii="宋体" w:hAnsi="宋体" w:cs="宋体"/>
                <w:bCs/>
                <w:sz w:val="18"/>
                <w:szCs w:val="18"/>
              </w:rPr>
              <w:t>40~200keV ，提供相应证实文件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能量采集时，球管电流可根据患者体型、层面、旋转角度进行调节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能量扫描条件下，单只球管最大管电流（非等效）≥1000mA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能量扫描条件下，单只球管最小管电流（非等效）≤10mA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单K能量成像图像噪声值≤0.3%（提供技术白皮书说明）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常规能量成像模式下，最快旋转速度≤0.27秒/360°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具备同时使用单keV图像与专用金属伪影技术结合(</w:t>
            </w:r>
            <w:r>
              <w:rPr>
                <w:rFonts w:hint="eastAsia" w:ascii="宋体" w:hAnsi="宋体" w:cs="宋体"/>
                <w:color w:val="000000" w:themeColor="text1"/>
                <w:sz w:val="18"/>
                <w:szCs w:val="18"/>
                <w14:textFill>
                  <w14:solidFill>
                    <w14:schemeClr w14:val="tx1"/>
                  </w14:solidFill>
                </w14:textFill>
              </w:rPr>
              <w:t>OMAR或Smart MAR或iMAR或SEMAR</w:t>
            </w:r>
            <w:r>
              <w:rPr>
                <w:rFonts w:hint="eastAsia" w:ascii="宋体" w:hAnsi="宋体" w:cs="宋体"/>
                <w:bCs/>
                <w:color w:val="000000" w:themeColor="text1"/>
                <w:sz w:val="18"/>
                <w:szCs w:val="18"/>
                <w14:textFill>
                  <w14:solidFill>
                    <w14:schemeClr w14:val="tx1"/>
                  </w14:solidFill>
                </w14:textFill>
              </w:rPr>
              <w:t xml:space="preserve">)，共同作用去除金属伪影的功能 </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具备对单一感兴趣区域进行同时、同屏能量图像观察的功能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sz w:val="18"/>
                <w:szCs w:val="18"/>
              </w:rPr>
            </w:pPr>
            <w:r>
              <w:rPr>
                <w:rFonts w:hint="eastAsia" w:ascii="宋体" w:hAnsi="宋体" w:cs="宋体"/>
                <w:sz w:val="18"/>
                <w:szCs w:val="18"/>
              </w:rPr>
              <w:t>3.19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可以提供观察、使用、操作、调节能量图像，以及测量碘含量、能谱曲线等能量数据的功能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具备多种能量图像同屏显示综合显示功能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具备能量图像去骨功能，并具备对不同keV下去骨效果调节观察功能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具备160keV以上物质能量曲线绘制功能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具备0~50有效原子序数显示以及成像功能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具备有效原子序数图横断位、冠状位、矢状位可视化彩色图像成像功能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具备有效原子序数图可视化彩色图像调节功能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具备尿酸图像成像功能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具备去尿酸图像成像功能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3.28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具备虚拟平扫图像成像分析功能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具备碘密度图像分析功能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具备无水碘含量图像分析功能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具备肺栓塞碘剂灌注成像功能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具备肺栓塞血管显示功能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具备结石定性，定量分析功能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具备能量成像散点图分析功能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具备能量成像直方图分析功能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bCs/>
                <w:color w:val="000000" w:themeColor="text1"/>
                <w:sz w:val="18"/>
                <w:szCs w:val="18"/>
                <w14:textFill>
                  <w14:solidFill>
                    <w14:schemeClr w14:val="tx1"/>
                  </w14:solidFill>
                </w14:textFill>
              </w:rPr>
              <w:t>具备能量成像能谱曲线图分析功能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在能量扫描与常规扫描条件下都可以实现依据患者体型的管电流自动调节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3.39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具备能量回顾性分析，自动生成40-200Kev能量结果与交互分析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Cs/>
                <w:color w:val="000000" w:themeColor="text1"/>
                <w:sz w:val="18"/>
                <w:szCs w:val="18"/>
                <w14:textFill>
                  <w14:solidFill>
                    <w14:schemeClr w14:val="tx1"/>
                  </w14:solidFill>
                </w14:textFill>
              </w:rPr>
            </w:pPr>
            <w:r>
              <w:rPr>
                <w:rFonts w:hint="eastAsia" w:ascii="宋体" w:hAnsi="宋体" w:cs="宋体"/>
                <w:sz w:val="18"/>
                <w:szCs w:val="18"/>
              </w:rPr>
              <w:t>3.40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提供专门算法和图像使用能量数据识别和抑制底层组织上的钙信号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具备骨性区域可视化骨髓病理显示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具备多档调节压钙信号强度的功能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提供专门算法使用能量数据计算不同体素的电子密度</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具备电子密度图像分析功能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具备常规图像与能谱图像融合显示功能，并可调整叠加的强度和比较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3.46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具备两种不同能谱图像融合显示功能，并可调整叠加的强度和比较</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常规心脏成像功能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心脏常规扫描时间分辨率≤</w:t>
            </w:r>
            <w:r>
              <w:rPr>
                <w:rFonts w:hint="eastAsia" w:ascii="宋体" w:hAnsi="宋体" w:cs="宋体"/>
                <w:bCs/>
                <w:color w:val="000000" w:themeColor="text1"/>
                <w:sz w:val="18"/>
                <w:szCs w:val="18"/>
                <w14:textFill>
                  <w14:solidFill>
                    <w14:schemeClr w14:val="tx1"/>
                  </w14:solidFill>
                </w14:textFill>
              </w:rPr>
              <w:t>27ms</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自动识别躲避不规则心率</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心脏一站式成像功能，具备一次扫描同时实现冠脉血管狭窄分析，同时具备能谱数据评估斑块成分，斑块破裂风险预测，心肌活性定量分析功能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心电门控扫描系统（含机架内置心脏门控装置）</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心脏扫描参数自动平衡系统：所有扫描参数能自动匹配最佳</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前瞻性门控扫描技术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50cmFOV前门控扫描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回顾性门控采集重建技术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4D心脏电影重建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心脏成像一次注药自动触发造影跟踪软件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心脏解剖结构全自动分离功能（心房、心室、冠脉、主动脉、心肌自动识别）</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零点击冠脉自动分析功能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冠脉钙化分数评估分析功能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冠脉狭窄率自动测量评价功能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冠脉钙化斑块评估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冠脉搭桥及支架通透性显示和分析功能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心脏彩色透视</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类DSA显示功能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4.19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冠脉多背景显示≥5种</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心脏四腔位自动成像功能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心脏四维评价功能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心功能分析功能包</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心功能自动分析参数：射血分数EF、舒张末期容量EDV、收缩末期容量ESV、每搏射血量SV、心输出量CO、心肌质量MM、心率等参数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左、右心室和心房四腔功能分析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选定的心动周期，左右心房、左右心室四腔容积相位曲线显示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自动探测识别舒张末期和收缩末期</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心肌供血冠脉分布立体彩色地形图</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左心室及瓣膜运动评价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4.29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左心室短轴、水平长轴和垂直长轴自动成像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左心室运动功能图评价</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左室心肌收缩期-舒张期壁厚度变化图量化显示数值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左心室射血分数功能图评价数值</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冠脉球形显示成像功能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冠脉三维地图和二维地图功能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自动/手动ECG心电编辑功能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4.36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冠脉魔镜技术，在常规高清显示冠状动脉的钙化斑块及支架结构基础上，进一步突出显示钙化或支架的细节结构</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具备心脏能谱成像分析功能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具备单球管单KV心脏能谱成像功能，提供技术白皮书或具体扫描方案证实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color w:val="000000" w:themeColor="text1"/>
                <w:sz w:val="18"/>
                <w:szCs w:val="18"/>
                <w14:textFill>
                  <w14:solidFill>
                    <w14:schemeClr w14:val="tx1"/>
                  </w14:solidFill>
                </w14:textFill>
              </w:rPr>
            </w:pPr>
            <w:r>
              <w:rPr>
                <w:rFonts w:hint="eastAsia" w:ascii="宋体" w:hAnsi="宋体" w:cs="宋体"/>
                <w:sz w:val="18"/>
                <w:szCs w:val="18"/>
              </w:rPr>
              <w:t>5.3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心脏能谱成像可同时获得心脏常规影像</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心脏能谱评估支架内再狭窄</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具备200kev去除心脏支架伪影技术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具备能谱分析心肌缺血功能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具备能谱鉴别心肌缺血和非缺血病灶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具备能谱分析血管狭窄功能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5.11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具备能谱定性定量评估斑块功能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常规血管成像分析功能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常规血管扫描最短扫描时间≤0.27秒/360°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6.3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常规血管扫描，单只球管最小曝光电流（非等效）≤10mA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具备全自动血管量化分析功能，分析数据至少含概：血管长度、 管腔最大/最小直径 、管腔最大/最小截面面积等</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全自动骨骼血管分离功能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全自动血管解剖识别功能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随鼠标指针自动显示全身主要血管名称功能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血管拉直分析功能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全自动血管狭窄评估功能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躯干、四肢自动去骨、血管解剖自动识别、分析同步后台预处理功能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后颅窝伪影校正功能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头颅自动去骨功能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全自动头颅血管解剖识别</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全自动头颅血管分析功能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6.15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自动一键式去骨CT血管重建</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具备能谱高级血管成像分析功能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7. 1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具备单球管单KV血管能谱扫描技术，提供技术白皮书或具体扫描方案证实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血管能谱扫描最短扫描时间≤0.27s/360°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血管能谱扫描，单组高压发生器最大功率（非等效）≥120KW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7.4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血管能谱扫描，单只球管最大曝光电流（非等效）≥1000mA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血管能谱扫描，单只球管最小曝光电流（非等效）≤10mA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具备能量数据提取和编辑血管壁和管腔</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具备能量数据进行血管病灶分析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具备200kev去除支架伪影技术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具备能量描述血管斑块和狭窄功能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7.10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具备可用能量结果比较提取的血管，进行同步分析</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肿瘤能谱成像分析功能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具备单球管单KV肿瘤能谱成像功能，提供技术白皮书或具体扫描方案证实</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肿瘤筛查机架最快旋转时间≤0.27秒/360°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8.2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具备肿瘤灌注成像功能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肿瘤灌注成像，单组高压发生器最大功率（非等效）≥120KW</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肿瘤灌注成像，单只球管最大曝光管电流（非等效）≥1000mA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肿瘤灌注，单只球管最小曝光管电流（非等效）≤10mA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肿瘤灌注成像同时可得到肿瘤能谱信息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能谱评估肿瘤病变碘含量功能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1024矩阵肺部肿瘤超高清成像功能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能谱分析肿瘤转移功能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能谱鉴别肿瘤同源性功能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8.11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能谱分析肿瘤物质成分功能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sz w:val="18"/>
                <w:szCs w:val="18"/>
              </w:rPr>
              <w:t>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b/>
                <w:bCs/>
                <w:color w:val="000000" w:themeColor="text1"/>
                <w:sz w:val="18"/>
                <w:szCs w:val="18"/>
                <w14:textFill>
                  <w14:solidFill>
                    <w14:schemeClr w14:val="tx1"/>
                  </w14:solidFill>
                </w14:textFill>
              </w:rPr>
              <w:t>神经系统能谱成像分析功能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具备神经系统动态灌注功能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神经系统动态灌注成像机架最快旋转时间≤0.27秒/360°</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b/>
                <w:bCs/>
                <w:color w:val="000000" w:themeColor="text1"/>
                <w:sz w:val="18"/>
                <w:szCs w:val="18"/>
                <w14:textFill>
                  <w14:solidFill>
                    <w14:schemeClr w14:val="tx1"/>
                  </w14:solidFill>
                </w14:textFill>
              </w:rPr>
            </w:pPr>
            <w:r>
              <w:rPr>
                <w:rFonts w:hint="eastAsia" w:ascii="宋体" w:hAnsi="宋体" w:cs="宋体"/>
                <w:sz w:val="18"/>
                <w:szCs w:val="18"/>
              </w:rPr>
              <w:t>9.3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神经系统动态灌注成像，单只球管最小输出管电流≤10mA</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神经系统最大动态灌注扫描范围≥16cm</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9.5</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神经系统灌注成像同时具备能谱信息</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9.6</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具备200keV颅底伪影去除功能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9.7</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具备能谱评估早期脑缺血功能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9.8</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具备自动脑出血量定量分析功能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9.9</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能谱信息强化脑灰白质显示功能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具备神经系统平扫下鉴别脑出血和造影剂功能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具备能谱强化神经系统肿瘤边界显示功能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9.12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color w:val="000000" w:themeColor="text1"/>
                <w:sz w:val="18"/>
                <w:szCs w:val="18"/>
                <w14:textFill>
                  <w14:solidFill>
                    <w14:schemeClr w14:val="tx1"/>
                  </w14:solidFill>
                </w14:textFill>
              </w:rPr>
              <w:t>具备能谱评估神经系统肿瘤与转移病灶同源性功能</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b/>
                <w:sz w:val="18"/>
                <w:szCs w:val="18"/>
              </w:rPr>
              <w:t>10</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售后服务和要求</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整机保修（包括球管、高压发生器、探测器）：1年</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提供完整的使用手册：安装时院方验收</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color w:val="000000" w:themeColor="text1"/>
                <w:sz w:val="18"/>
                <w:szCs w:val="18"/>
                <w14:textFill>
                  <w14:solidFill>
                    <w14:schemeClr w14:val="tx1"/>
                  </w14:solidFill>
                </w14:textFill>
              </w:rPr>
            </w:pPr>
            <w:r>
              <w:rPr>
                <w:rFonts w:hint="eastAsia" w:ascii="宋体" w:hAnsi="宋体" w:cs="宋体"/>
                <w:sz w:val="18"/>
                <w:szCs w:val="18"/>
              </w:rPr>
              <w:t>10.3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提供培训计划：投标人说明</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b/>
                <w:sz w:val="18"/>
                <w:szCs w:val="18"/>
              </w:rPr>
            </w:pPr>
            <w:r>
              <w:rPr>
                <w:rFonts w:hint="eastAsia" w:ascii="宋体" w:hAnsi="宋体" w:cs="宋体"/>
                <w:b/>
                <w:sz w:val="18"/>
                <w:szCs w:val="18"/>
              </w:rPr>
              <w:t>第三方产品</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b/>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11.1</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无线双通道高压注射器壹台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11.2</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稳压柜壹台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11.3</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计算机UPS（30分钟）壹台</w:t>
            </w:r>
          </w:p>
        </w:tc>
        <w:tc>
          <w:tcPr>
            <w:tcW w:w="861" w:type="dxa"/>
            <w:vMerge w:val="continue"/>
            <w:tcBorders>
              <w:left w:val="single" w:color="auto" w:sz="4" w:space="0"/>
              <w:right w:val="single" w:color="auto" w:sz="4" w:space="0"/>
            </w:tcBorders>
            <w:vAlign w:val="center"/>
          </w:tcPr>
          <w:p>
            <w:pPr>
              <w:spacing w:line="400" w:lineRule="exact"/>
              <w:rPr>
                <w:rFonts w:ascii="宋体" w:hAnsi="宋体" w:cs="宋体"/>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11.4</w:t>
            </w:r>
          </w:p>
        </w:tc>
        <w:tc>
          <w:tcPr>
            <w:tcW w:w="7760" w:type="dxa"/>
            <w:tcBorders>
              <w:top w:val="single" w:color="auto" w:sz="4" w:space="0"/>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r>
              <w:rPr>
                <w:rFonts w:hint="eastAsia" w:ascii="宋体" w:hAnsi="宋体" w:cs="宋体"/>
                <w:sz w:val="18"/>
                <w:szCs w:val="18"/>
              </w:rPr>
              <w:t>机房门更改为门机联动门（一套）</w:t>
            </w:r>
          </w:p>
        </w:tc>
        <w:tc>
          <w:tcPr>
            <w:tcW w:w="861" w:type="dxa"/>
            <w:vMerge w:val="continue"/>
            <w:tcBorders>
              <w:left w:val="single" w:color="auto" w:sz="4" w:space="0"/>
              <w:bottom w:val="single" w:color="auto" w:sz="4" w:space="0"/>
              <w:right w:val="single" w:color="auto" w:sz="4" w:space="0"/>
            </w:tcBorders>
            <w:vAlign w:val="center"/>
          </w:tcPr>
          <w:p>
            <w:pPr>
              <w:spacing w:line="400" w:lineRule="exact"/>
              <w:rPr>
                <w:rFonts w:ascii="宋体" w:hAnsi="宋体" w:cs="宋体"/>
                <w:sz w:val="18"/>
                <w:szCs w:val="18"/>
              </w:rPr>
            </w:pPr>
          </w:p>
        </w:tc>
      </w:tr>
    </w:tbl>
    <w:p>
      <w:pPr>
        <w:ind w:firstLine="210" w:firstLineChars="100"/>
        <w:rPr>
          <w:rFonts w:ascii="宋体" w:hAnsi="宋体" w:cs="宋体"/>
        </w:rPr>
      </w:pPr>
    </w:p>
    <w:p>
      <w:pPr>
        <w:ind w:firstLine="210" w:firstLineChars="100"/>
        <w:rPr>
          <w:rFonts w:ascii="宋体" w:hAnsi="宋体" w:cs="宋体"/>
          <w:b/>
          <w:bCs/>
        </w:rPr>
      </w:pPr>
      <w:r>
        <w:rPr>
          <w:rFonts w:hint="eastAsia" w:ascii="宋体" w:hAnsi="宋体" w:cs="宋体"/>
          <w:b/>
          <w:bCs/>
        </w:rPr>
        <w:t>备注：对以上产品的要求非唯一指定要求，如有与某产品的指标或参数描述相同，并非特指，仅为产品质量、档次、水平的参照，未注明的规格应符合国家有关行业标准，优于技术规格要求的品牌产品，采购人均可接受。</w:t>
      </w:r>
    </w:p>
    <w:p>
      <w:pPr>
        <w:ind w:firstLine="220" w:firstLineChars="100"/>
        <w:jc w:val="center"/>
        <w:rPr>
          <w:rFonts w:ascii="宋体" w:hAnsi="宋体" w:cs="宋体"/>
          <w:b/>
          <w:sz w:val="22"/>
          <w:szCs w:val="22"/>
        </w:rPr>
      </w:pPr>
    </w:p>
    <w:p>
      <w:pPr>
        <w:pStyle w:val="4"/>
        <w:jc w:val="center"/>
        <w:rPr>
          <w:rFonts w:ascii="宋体" w:hAnsi="宋体" w:cs="宋体"/>
          <w:sz w:val="40"/>
        </w:rPr>
      </w:pPr>
      <w:bookmarkStart w:id="55" w:name="_Toc22022"/>
      <w:r>
        <w:rPr>
          <w:rFonts w:hint="eastAsia" w:ascii="宋体" w:hAnsi="宋体" w:cs="宋体"/>
          <w:sz w:val="40"/>
        </w:rPr>
        <w:t>第四章  合同条款及格式</w:t>
      </w:r>
      <w:bookmarkEnd w:id="55"/>
    </w:p>
    <w:p>
      <w:pPr>
        <w:pStyle w:val="45"/>
        <w:ind w:firstLine="522"/>
        <w:jc w:val="center"/>
        <w:rPr>
          <w:rFonts w:ascii="宋体" w:hAnsi="宋体" w:cs="宋体"/>
          <w:b/>
          <w:sz w:val="24"/>
          <w:szCs w:val="24"/>
        </w:rPr>
      </w:pPr>
      <w:bookmarkStart w:id="56" w:name="_Toc213387205"/>
      <w:bookmarkStart w:id="57" w:name="_Toc87235879"/>
      <w:bookmarkStart w:id="58" w:name="_Toc175480073"/>
      <w:r>
        <w:rPr>
          <w:rFonts w:hint="eastAsia" w:ascii="宋体" w:hAnsi="宋体" w:cs="宋体"/>
          <w:b/>
          <w:sz w:val="24"/>
          <w:szCs w:val="24"/>
        </w:rPr>
        <w:t>货物采购合同</w:t>
      </w:r>
    </w:p>
    <w:p>
      <w:pPr>
        <w:pStyle w:val="45"/>
        <w:ind w:firstLine="522"/>
        <w:jc w:val="center"/>
        <w:rPr>
          <w:rFonts w:ascii="宋体" w:hAnsi="宋体" w:cs="宋体"/>
          <w:b/>
          <w:sz w:val="24"/>
          <w:szCs w:val="24"/>
        </w:rPr>
      </w:pPr>
      <w:r>
        <w:rPr>
          <w:rFonts w:hint="eastAsia" w:ascii="宋体" w:hAnsi="宋体" w:cs="宋体"/>
          <w:b/>
          <w:sz w:val="24"/>
          <w:szCs w:val="24"/>
        </w:rPr>
        <w:t>（参考格式，详细条款由招标人、中标人约定）</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甲方(需方):____________________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乙方(供方):____________________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经过双方友好协商,依据《中华人民共和国合同法》,双方同意签订以下合同条款,以便双方共同遵守,履行合同.</w:t>
      </w:r>
    </w:p>
    <w:p>
      <w:pPr>
        <w:pStyle w:val="45"/>
        <w:spacing w:line="300" w:lineRule="exact"/>
        <w:ind w:firstLine="520"/>
        <w:rPr>
          <w:rFonts w:ascii="宋体" w:hAnsi="宋体" w:cs="宋体"/>
          <w:bCs/>
          <w:sz w:val="24"/>
          <w:szCs w:val="24"/>
        </w:rPr>
      </w:pPr>
      <w:r>
        <w:rPr>
          <w:rFonts w:hint="eastAsia" w:ascii="宋体" w:hAnsi="宋体" w:cs="宋体"/>
          <w:bCs/>
          <w:sz w:val="24"/>
          <w:szCs w:val="24"/>
        </w:rPr>
        <w:t>一,产品清单及付款方式</w:t>
      </w:r>
    </w:p>
    <w:p>
      <w:pPr>
        <w:pStyle w:val="45"/>
        <w:spacing w:line="300" w:lineRule="exact"/>
        <w:ind w:firstLine="520"/>
        <w:rPr>
          <w:rFonts w:ascii="宋体" w:hAnsi="宋体" w:cs="宋体"/>
          <w:bCs/>
          <w:sz w:val="24"/>
          <w:szCs w:val="24"/>
        </w:rPr>
      </w:pPr>
      <w:r>
        <w:rPr>
          <w:rFonts w:hint="eastAsia" w:ascii="宋体" w:hAnsi="宋体" w:cs="宋体"/>
          <w:bCs/>
          <w:sz w:val="24"/>
          <w:szCs w:val="24"/>
        </w:rPr>
        <w:t>1.产品清单及价格(此表须与采购文件一致,可附后)</w:t>
      </w:r>
    </w:p>
    <w:p>
      <w:pPr>
        <w:pStyle w:val="45"/>
        <w:spacing w:line="300" w:lineRule="exact"/>
        <w:ind w:firstLine="520"/>
        <w:rPr>
          <w:rFonts w:ascii="宋体" w:hAnsi="宋体" w:cs="宋体"/>
          <w:bCs/>
          <w:sz w:val="24"/>
          <w:szCs w:val="24"/>
        </w:rPr>
      </w:pPr>
      <w:r>
        <w:rPr>
          <w:rFonts w:hint="eastAsia" w:ascii="宋体" w:hAnsi="宋体" w:cs="宋体"/>
          <w:bCs/>
          <w:sz w:val="24"/>
          <w:szCs w:val="24"/>
        </w:rPr>
        <w:t>设备名称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设备型号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 xml:space="preserve">数量 ____________________   </w:t>
      </w:r>
    </w:p>
    <w:p>
      <w:pPr>
        <w:pStyle w:val="45"/>
        <w:spacing w:line="300" w:lineRule="exact"/>
        <w:ind w:firstLine="520"/>
        <w:rPr>
          <w:rFonts w:ascii="宋体" w:hAnsi="宋体" w:cs="宋体"/>
          <w:bCs/>
          <w:sz w:val="24"/>
          <w:szCs w:val="24"/>
        </w:rPr>
      </w:pPr>
      <w:r>
        <w:rPr>
          <w:rFonts w:hint="eastAsia" w:ascii="宋体" w:hAnsi="宋体" w:cs="宋体"/>
          <w:bCs/>
          <w:sz w:val="24"/>
          <w:szCs w:val="24"/>
        </w:rPr>
        <w:t>单价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合计 ____________________</w:t>
      </w:r>
    </w:p>
    <w:p>
      <w:pPr>
        <w:pStyle w:val="45"/>
        <w:spacing w:line="300" w:lineRule="exact"/>
        <w:ind w:firstLine="520"/>
        <w:rPr>
          <w:rFonts w:ascii="宋体" w:hAnsi="宋体" w:cs="宋体"/>
          <w:bCs/>
          <w:sz w:val="24"/>
          <w:szCs w:val="24"/>
        </w:rPr>
      </w:pPr>
      <w:r>
        <w:rPr>
          <w:rFonts w:hint="eastAsia" w:ascii="宋体" w:hAnsi="宋体" w:cs="宋体"/>
          <w:bCs/>
          <w:sz w:val="24"/>
          <w:szCs w:val="24"/>
        </w:rPr>
        <w:t>中标总价格(大写)</w:t>
      </w:r>
    </w:p>
    <w:p>
      <w:pPr>
        <w:pStyle w:val="45"/>
        <w:spacing w:line="300" w:lineRule="exact"/>
        <w:ind w:firstLine="520"/>
        <w:rPr>
          <w:rFonts w:ascii="宋体" w:hAnsi="宋体" w:cs="宋体"/>
          <w:bCs/>
          <w:sz w:val="24"/>
          <w:szCs w:val="24"/>
        </w:rPr>
      </w:pPr>
      <w:r>
        <w:rPr>
          <w:rFonts w:hint="eastAsia" w:ascii="宋体" w:hAnsi="宋体" w:cs="宋体"/>
          <w:bCs/>
          <w:sz w:val="24"/>
          <w:szCs w:val="24"/>
        </w:rPr>
        <w:t>2.付款方式</w:t>
      </w:r>
    </w:p>
    <w:p>
      <w:pPr>
        <w:pStyle w:val="45"/>
        <w:spacing w:line="300" w:lineRule="exact"/>
        <w:ind w:firstLine="520"/>
        <w:rPr>
          <w:rFonts w:ascii="宋体" w:hAnsi="宋体" w:cs="宋体"/>
          <w:bCs/>
          <w:sz w:val="24"/>
          <w:szCs w:val="24"/>
        </w:rPr>
      </w:pPr>
      <w:r>
        <w:rPr>
          <w:rFonts w:hint="eastAsia" w:ascii="宋体" w:hAnsi="宋体" w:cs="宋体"/>
          <w:bCs/>
          <w:sz w:val="24"/>
          <w:szCs w:val="24"/>
        </w:rPr>
        <w:t>全部设备验收合格后的七日内,甲方向乙方支付合同总金额的</w:t>
      </w:r>
      <w:r>
        <w:rPr>
          <w:rFonts w:hint="eastAsia" w:ascii="宋体" w:hAnsi="宋体" w:cs="宋体"/>
          <w:bCs/>
          <w:sz w:val="24"/>
          <w:szCs w:val="24"/>
          <w:u w:val="single"/>
        </w:rPr>
        <w:t xml:space="preserve">         </w:t>
      </w:r>
      <w:r>
        <w:rPr>
          <w:rFonts w:hint="eastAsia" w:ascii="宋体" w:hAnsi="宋体" w:cs="宋体"/>
          <w:bCs/>
          <w:sz w:val="24"/>
          <w:szCs w:val="24"/>
        </w:rPr>
        <w:t>元人民币整.若延期付款,甲方每天应向乙方缴纳延期额的千分之一作为罚金.</w:t>
      </w:r>
    </w:p>
    <w:p>
      <w:pPr>
        <w:pStyle w:val="45"/>
        <w:spacing w:line="300" w:lineRule="exact"/>
        <w:ind w:firstLine="520"/>
        <w:rPr>
          <w:rFonts w:ascii="宋体" w:hAnsi="宋体" w:cs="宋体"/>
          <w:bCs/>
          <w:sz w:val="24"/>
          <w:szCs w:val="24"/>
        </w:rPr>
      </w:pPr>
      <w:r>
        <w:rPr>
          <w:rFonts w:hint="eastAsia" w:ascii="宋体" w:hAnsi="宋体" w:cs="宋体"/>
          <w:bCs/>
          <w:sz w:val="24"/>
          <w:szCs w:val="24"/>
        </w:rPr>
        <w:t>二,交货时间及地点</w:t>
      </w:r>
    </w:p>
    <w:p>
      <w:pPr>
        <w:pStyle w:val="45"/>
        <w:spacing w:line="300" w:lineRule="exact"/>
        <w:ind w:firstLine="520"/>
        <w:rPr>
          <w:rFonts w:ascii="宋体" w:hAnsi="宋体" w:cs="宋体"/>
          <w:bCs/>
          <w:sz w:val="24"/>
          <w:szCs w:val="24"/>
        </w:rPr>
      </w:pPr>
      <w:r>
        <w:rPr>
          <w:rFonts w:hint="eastAsia" w:ascii="宋体" w:hAnsi="宋体" w:cs="宋体"/>
          <w:bCs/>
          <w:sz w:val="24"/>
          <w:szCs w:val="24"/>
        </w:rPr>
        <w:t>1.交货时间: (采购文件承诺时间).若延期交货,乙方每天应向甲方缴纳延期额的千分之一作为罚金.</w:t>
      </w:r>
    </w:p>
    <w:p>
      <w:pPr>
        <w:pStyle w:val="45"/>
        <w:spacing w:line="300" w:lineRule="exact"/>
        <w:ind w:firstLine="520"/>
        <w:rPr>
          <w:rFonts w:ascii="宋体" w:hAnsi="宋体" w:cs="宋体"/>
          <w:bCs/>
          <w:sz w:val="24"/>
          <w:szCs w:val="24"/>
        </w:rPr>
      </w:pPr>
      <w:r>
        <w:rPr>
          <w:rFonts w:hint="eastAsia" w:ascii="宋体" w:hAnsi="宋体" w:cs="宋体"/>
          <w:bCs/>
          <w:sz w:val="24"/>
          <w:szCs w:val="24"/>
        </w:rPr>
        <w:t>因不可抗拒力所导致的交货,服务及付款延迟等按照《中华人民共和国合同法》有关条文处理.</w:t>
      </w:r>
    </w:p>
    <w:p>
      <w:pPr>
        <w:pStyle w:val="45"/>
        <w:spacing w:line="300" w:lineRule="exact"/>
        <w:ind w:firstLine="520"/>
        <w:rPr>
          <w:rFonts w:ascii="宋体" w:hAnsi="宋体" w:cs="宋体"/>
          <w:bCs/>
          <w:sz w:val="24"/>
          <w:szCs w:val="24"/>
        </w:rPr>
      </w:pPr>
      <w:r>
        <w:rPr>
          <w:rFonts w:hint="eastAsia" w:ascii="宋体" w:hAnsi="宋体" w:cs="宋体"/>
          <w:bCs/>
          <w:sz w:val="24"/>
          <w:szCs w:val="24"/>
        </w:rPr>
        <w:t>2.交货地点:送货上门,安装调试.</w:t>
      </w:r>
    </w:p>
    <w:p>
      <w:pPr>
        <w:pStyle w:val="45"/>
        <w:spacing w:line="300" w:lineRule="exact"/>
        <w:ind w:firstLine="520"/>
        <w:rPr>
          <w:rFonts w:ascii="宋体" w:hAnsi="宋体" w:cs="宋体"/>
          <w:bCs/>
          <w:sz w:val="24"/>
          <w:szCs w:val="24"/>
        </w:rPr>
      </w:pPr>
      <w:r>
        <w:rPr>
          <w:rFonts w:hint="eastAsia" w:ascii="宋体" w:hAnsi="宋体" w:cs="宋体"/>
          <w:bCs/>
          <w:sz w:val="24"/>
          <w:szCs w:val="24"/>
        </w:rPr>
        <w:t>三,保修条款</w:t>
      </w:r>
    </w:p>
    <w:p>
      <w:pPr>
        <w:pStyle w:val="45"/>
        <w:spacing w:line="300" w:lineRule="exact"/>
        <w:ind w:firstLine="520"/>
        <w:rPr>
          <w:rFonts w:ascii="宋体" w:hAnsi="宋体" w:cs="宋体"/>
          <w:bCs/>
          <w:sz w:val="24"/>
          <w:szCs w:val="24"/>
        </w:rPr>
      </w:pPr>
      <w:r>
        <w:rPr>
          <w:rFonts w:hint="eastAsia" w:ascii="宋体" w:hAnsi="宋体" w:cs="宋体"/>
          <w:bCs/>
          <w:sz w:val="24"/>
          <w:szCs w:val="24"/>
        </w:rPr>
        <w:t>乙方针对本项目的售后服务保修措施详述(采购文件承诺内容).</w:t>
      </w:r>
    </w:p>
    <w:p>
      <w:pPr>
        <w:pStyle w:val="45"/>
        <w:spacing w:line="300" w:lineRule="exact"/>
        <w:ind w:firstLine="520"/>
        <w:rPr>
          <w:rFonts w:ascii="宋体" w:hAnsi="宋体" w:cs="宋体"/>
          <w:bCs/>
          <w:sz w:val="24"/>
          <w:szCs w:val="24"/>
        </w:rPr>
      </w:pPr>
      <w:r>
        <w:rPr>
          <w:rFonts w:hint="eastAsia" w:ascii="宋体" w:hAnsi="宋体" w:cs="宋体"/>
          <w:bCs/>
          <w:sz w:val="24"/>
          <w:szCs w:val="24"/>
        </w:rPr>
        <w:t>下例情况不属保修范围:</w:t>
      </w:r>
    </w:p>
    <w:p>
      <w:pPr>
        <w:pStyle w:val="45"/>
        <w:spacing w:line="300" w:lineRule="exact"/>
        <w:ind w:firstLine="520"/>
        <w:rPr>
          <w:rFonts w:ascii="宋体" w:hAnsi="宋体" w:cs="宋体"/>
          <w:bCs/>
          <w:sz w:val="24"/>
          <w:szCs w:val="24"/>
        </w:rPr>
      </w:pPr>
      <w:r>
        <w:rPr>
          <w:rFonts w:hint="eastAsia" w:ascii="宋体" w:hAnsi="宋体" w:cs="宋体"/>
          <w:bCs/>
          <w:sz w:val="24"/>
          <w:szCs w:val="24"/>
        </w:rPr>
        <w:t>1.不可抗力引起的损害;</w:t>
      </w:r>
    </w:p>
    <w:p>
      <w:pPr>
        <w:pStyle w:val="45"/>
        <w:spacing w:line="300" w:lineRule="exact"/>
        <w:ind w:firstLine="520"/>
        <w:rPr>
          <w:rFonts w:ascii="宋体" w:hAnsi="宋体" w:cs="宋体"/>
          <w:bCs/>
          <w:sz w:val="24"/>
          <w:szCs w:val="24"/>
        </w:rPr>
      </w:pPr>
      <w:r>
        <w:rPr>
          <w:rFonts w:hint="eastAsia" w:ascii="宋体" w:hAnsi="宋体" w:cs="宋体"/>
          <w:bCs/>
          <w:sz w:val="24"/>
          <w:szCs w:val="24"/>
        </w:rPr>
        <w:t>2.用户电力系统故障(如接地不良,电压超过规定范围等)引起的损坏;</w:t>
      </w:r>
    </w:p>
    <w:p>
      <w:pPr>
        <w:pStyle w:val="45"/>
        <w:spacing w:line="300" w:lineRule="exact"/>
        <w:ind w:firstLine="520"/>
        <w:rPr>
          <w:rFonts w:ascii="宋体" w:hAnsi="宋体" w:cs="宋体"/>
          <w:bCs/>
          <w:sz w:val="24"/>
          <w:szCs w:val="24"/>
        </w:rPr>
      </w:pPr>
      <w:r>
        <w:rPr>
          <w:rFonts w:hint="eastAsia" w:ascii="宋体" w:hAnsi="宋体" w:cs="宋体"/>
          <w:bCs/>
          <w:sz w:val="24"/>
          <w:szCs w:val="24"/>
        </w:rPr>
        <w:t>3.用户私自维修引起的损坏;</w:t>
      </w:r>
    </w:p>
    <w:p>
      <w:pPr>
        <w:pStyle w:val="45"/>
        <w:spacing w:line="300" w:lineRule="exact"/>
        <w:ind w:firstLine="520"/>
        <w:rPr>
          <w:rFonts w:ascii="宋体" w:hAnsi="宋体" w:cs="宋体"/>
          <w:bCs/>
          <w:sz w:val="24"/>
          <w:szCs w:val="24"/>
        </w:rPr>
      </w:pPr>
      <w:r>
        <w:rPr>
          <w:rFonts w:hint="eastAsia" w:ascii="宋体" w:hAnsi="宋体" w:cs="宋体"/>
          <w:bCs/>
          <w:sz w:val="24"/>
          <w:szCs w:val="24"/>
        </w:rPr>
        <w:t>4.用户自行造成的机械损坏(用户正常使用除外);</w:t>
      </w:r>
    </w:p>
    <w:p>
      <w:pPr>
        <w:pStyle w:val="45"/>
        <w:spacing w:line="300" w:lineRule="exact"/>
        <w:ind w:firstLine="520"/>
        <w:rPr>
          <w:rFonts w:ascii="宋体" w:hAnsi="宋体" w:cs="宋体"/>
          <w:bCs/>
          <w:sz w:val="24"/>
          <w:szCs w:val="24"/>
        </w:rPr>
      </w:pPr>
      <w:r>
        <w:rPr>
          <w:rFonts w:hint="eastAsia" w:ascii="宋体" w:hAnsi="宋体" w:cs="宋体"/>
          <w:bCs/>
          <w:sz w:val="24"/>
          <w:szCs w:val="24"/>
        </w:rPr>
        <w:t>5.其它不属于供应商负担的保修事宜.</w:t>
      </w:r>
    </w:p>
    <w:p>
      <w:pPr>
        <w:pStyle w:val="45"/>
        <w:spacing w:line="300" w:lineRule="exact"/>
        <w:ind w:firstLine="520"/>
        <w:rPr>
          <w:rFonts w:ascii="宋体" w:hAnsi="宋体" w:cs="宋体"/>
          <w:bCs/>
          <w:sz w:val="24"/>
          <w:szCs w:val="24"/>
        </w:rPr>
      </w:pPr>
      <w:r>
        <w:rPr>
          <w:rFonts w:hint="eastAsia" w:ascii="宋体" w:hAnsi="宋体" w:cs="宋体"/>
          <w:bCs/>
          <w:sz w:val="24"/>
          <w:szCs w:val="24"/>
        </w:rPr>
        <w:t>四,相关权利及义务</w:t>
      </w:r>
    </w:p>
    <w:p>
      <w:pPr>
        <w:pStyle w:val="45"/>
        <w:spacing w:line="300" w:lineRule="exact"/>
        <w:ind w:firstLine="520"/>
        <w:rPr>
          <w:rFonts w:ascii="宋体" w:hAnsi="宋体" w:cs="宋体"/>
          <w:bCs/>
          <w:sz w:val="24"/>
          <w:szCs w:val="24"/>
        </w:rPr>
      </w:pPr>
      <w:r>
        <w:rPr>
          <w:rFonts w:hint="eastAsia" w:ascii="宋体" w:hAnsi="宋体" w:cs="宋体"/>
          <w:bCs/>
          <w:sz w:val="24"/>
          <w:szCs w:val="24"/>
        </w:rPr>
        <w:t>1.甲方收到乙方设备后,乙方应及时验收,验收时可对不符合合同要求及评标样本的设备或产品拒绝接收;</w:t>
      </w:r>
    </w:p>
    <w:p>
      <w:pPr>
        <w:pStyle w:val="45"/>
        <w:spacing w:line="300" w:lineRule="exact"/>
        <w:ind w:firstLine="520"/>
        <w:rPr>
          <w:rFonts w:ascii="宋体" w:hAnsi="宋体" w:cs="宋体"/>
          <w:bCs/>
          <w:sz w:val="24"/>
          <w:szCs w:val="24"/>
        </w:rPr>
      </w:pPr>
      <w:r>
        <w:rPr>
          <w:rFonts w:hint="eastAsia" w:ascii="宋体" w:hAnsi="宋体" w:cs="宋体"/>
          <w:bCs/>
          <w:sz w:val="24"/>
          <w:szCs w:val="24"/>
        </w:rPr>
        <w:t>2.甲方有权监督乙方对所交付设备进行安装调试,并督导完成;</w:t>
      </w:r>
    </w:p>
    <w:p>
      <w:pPr>
        <w:pStyle w:val="45"/>
        <w:spacing w:line="300" w:lineRule="exact"/>
        <w:ind w:firstLine="520"/>
        <w:rPr>
          <w:rFonts w:ascii="宋体" w:hAnsi="宋体" w:cs="宋体"/>
          <w:bCs/>
          <w:sz w:val="24"/>
          <w:szCs w:val="24"/>
        </w:rPr>
      </w:pPr>
      <w:r>
        <w:rPr>
          <w:rFonts w:hint="eastAsia" w:ascii="宋体" w:hAnsi="宋体" w:cs="宋体"/>
          <w:bCs/>
          <w:sz w:val="24"/>
          <w:szCs w:val="24"/>
        </w:rPr>
        <w:t>3.甲方有权监督乙方的售后服务,并对乙方的售后服务不符合合同要求时加以指出乃至追究合同责任;</w:t>
      </w:r>
    </w:p>
    <w:p>
      <w:pPr>
        <w:pStyle w:val="45"/>
        <w:spacing w:line="300" w:lineRule="exact"/>
        <w:ind w:firstLine="520"/>
        <w:rPr>
          <w:rFonts w:ascii="宋体" w:hAnsi="宋体" w:cs="宋体"/>
          <w:bCs/>
          <w:sz w:val="24"/>
          <w:szCs w:val="24"/>
        </w:rPr>
      </w:pPr>
      <w:r>
        <w:rPr>
          <w:rFonts w:hint="eastAsia" w:ascii="宋体" w:hAnsi="宋体" w:cs="宋体"/>
          <w:bCs/>
          <w:sz w:val="24"/>
          <w:szCs w:val="24"/>
        </w:rPr>
        <w:t>4.甲方在合同规定期限内履行付款责任;</w:t>
      </w:r>
    </w:p>
    <w:p>
      <w:pPr>
        <w:pStyle w:val="45"/>
        <w:spacing w:line="300" w:lineRule="exact"/>
        <w:ind w:firstLine="520"/>
        <w:rPr>
          <w:rFonts w:ascii="宋体" w:hAnsi="宋体" w:cs="宋体"/>
          <w:bCs/>
          <w:sz w:val="24"/>
          <w:szCs w:val="24"/>
        </w:rPr>
      </w:pPr>
      <w:r>
        <w:rPr>
          <w:rFonts w:hint="eastAsia" w:ascii="宋体" w:hAnsi="宋体" w:cs="宋体"/>
          <w:bCs/>
          <w:sz w:val="24"/>
          <w:szCs w:val="24"/>
        </w:rPr>
        <w:t>5.甲方在乙方进行安装调试时应给予协助和协调各方关系,乙方应及时提出需要甲方协助和协调的内容,以便保证合同的正常履行;</w:t>
      </w:r>
    </w:p>
    <w:p>
      <w:pPr>
        <w:pStyle w:val="45"/>
        <w:spacing w:line="300" w:lineRule="exact"/>
        <w:ind w:firstLine="520"/>
        <w:rPr>
          <w:rFonts w:ascii="宋体" w:hAnsi="宋体" w:cs="宋体"/>
          <w:bCs/>
          <w:sz w:val="24"/>
          <w:szCs w:val="24"/>
        </w:rPr>
      </w:pPr>
      <w:r>
        <w:rPr>
          <w:rFonts w:hint="eastAsia" w:ascii="宋体" w:hAnsi="宋体" w:cs="宋体"/>
          <w:bCs/>
          <w:sz w:val="24"/>
          <w:szCs w:val="24"/>
        </w:rPr>
        <w:t>6.甲方对乙方的技术及商业机密予以保密;</w:t>
      </w:r>
    </w:p>
    <w:p>
      <w:pPr>
        <w:pStyle w:val="45"/>
        <w:spacing w:line="300" w:lineRule="exact"/>
        <w:ind w:firstLine="520"/>
        <w:rPr>
          <w:rFonts w:ascii="宋体" w:hAnsi="宋体" w:cs="宋体"/>
          <w:bCs/>
          <w:sz w:val="24"/>
          <w:szCs w:val="24"/>
        </w:rPr>
      </w:pPr>
      <w:r>
        <w:rPr>
          <w:rFonts w:hint="eastAsia" w:ascii="宋体" w:hAnsi="宋体" w:cs="宋体"/>
          <w:bCs/>
          <w:sz w:val="24"/>
          <w:szCs w:val="24"/>
        </w:rPr>
        <w:t>7.乙方有权按照合同,要求甲方支付相应款项;</w:t>
      </w:r>
    </w:p>
    <w:p>
      <w:pPr>
        <w:pStyle w:val="45"/>
        <w:spacing w:line="300" w:lineRule="exact"/>
        <w:ind w:firstLine="520"/>
        <w:rPr>
          <w:rFonts w:ascii="宋体" w:hAnsi="宋体" w:cs="宋体"/>
          <w:bCs/>
          <w:sz w:val="24"/>
          <w:szCs w:val="24"/>
        </w:rPr>
      </w:pPr>
      <w:r>
        <w:rPr>
          <w:rFonts w:hint="eastAsia" w:ascii="宋体" w:hAnsi="宋体" w:cs="宋体"/>
          <w:bCs/>
          <w:sz w:val="24"/>
          <w:szCs w:val="24"/>
        </w:rPr>
        <w:t>8.乙方有权在实施安装调试时,提出合乎情理的协助要求;</w:t>
      </w:r>
    </w:p>
    <w:p>
      <w:pPr>
        <w:pStyle w:val="45"/>
        <w:spacing w:line="300" w:lineRule="exact"/>
        <w:ind w:firstLine="520"/>
        <w:rPr>
          <w:rFonts w:ascii="宋体" w:hAnsi="宋体" w:cs="宋体"/>
          <w:bCs/>
          <w:sz w:val="24"/>
          <w:szCs w:val="24"/>
        </w:rPr>
      </w:pPr>
      <w:r>
        <w:rPr>
          <w:rFonts w:hint="eastAsia" w:ascii="宋体" w:hAnsi="宋体" w:cs="宋体"/>
          <w:bCs/>
          <w:sz w:val="24"/>
          <w:szCs w:val="24"/>
        </w:rPr>
        <w:t>9.双方指定联系人,所有保修过程均应由双方经手人签字纪录.</w:t>
      </w:r>
    </w:p>
    <w:p>
      <w:pPr>
        <w:pStyle w:val="45"/>
        <w:spacing w:line="300" w:lineRule="exact"/>
        <w:ind w:firstLine="520"/>
        <w:rPr>
          <w:rFonts w:ascii="宋体" w:hAnsi="宋体" w:cs="宋体"/>
          <w:bCs/>
          <w:sz w:val="24"/>
          <w:szCs w:val="24"/>
        </w:rPr>
      </w:pPr>
      <w:r>
        <w:rPr>
          <w:rFonts w:hint="eastAsia" w:ascii="宋体" w:hAnsi="宋体" w:cs="宋体"/>
          <w:bCs/>
          <w:sz w:val="24"/>
          <w:szCs w:val="24"/>
        </w:rPr>
        <w:t>五,争议</w:t>
      </w:r>
    </w:p>
    <w:p>
      <w:pPr>
        <w:pStyle w:val="45"/>
        <w:spacing w:line="300" w:lineRule="exact"/>
        <w:ind w:firstLine="520"/>
        <w:rPr>
          <w:rFonts w:ascii="宋体" w:hAnsi="宋体" w:cs="宋体"/>
          <w:bCs/>
          <w:sz w:val="24"/>
          <w:szCs w:val="24"/>
        </w:rPr>
      </w:pPr>
      <w:r>
        <w:rPr>
          <w:rFonts w:hint="eastAsia" w:ascii="宋体" w:hAnsi="宋体" w:cs="宋体"/>
          <w:bCs/>
          <w:sz w:val="24"/>
          <w:szCs w:val="24"/>
        </w:rPr>
        <w:t>双方本着友好合作的态度,对合同履行过程中发生的违约行为进行及时的协商解决,如不能协商解决可通过法律诉讼解决.</w:t>
      </w:r>
    </w:p>
    <w:p>
      <w:pPr>
        <w:pStyle w:val="45"/>
        <w:spacing w:line="300" w:lineRule="exact"/>
        <w:ind w:firstLine="520"/>
        <w:rPr>
          <w:rFonts w:ascii="宋体" w:hAnsi="宋体" w:cs="宋体"/>
          <w:bCs/>
          <w:sz w:val="24"/>
          <w:szCs w:val="24"/>
        </w:rPr>
      </w:pPr>
      <w:r>
        <w:rPr>
          <w:rFonts w:hint="eastAsia" w:ascii="宋体" w:hAnsi="宋体" w:cs="宋体"/>
          <w:bCs/>
          <w:sz w:val="24"/>
          <w:szCs w:val="24"/>
        </w:rPr>
        <w:t>六,其它</w:t>
      </w:r>
    </w:p>
    <w:p>
      <w:pPr>
        <w:pStyle w:val="45"/>
        <w:spacing w:line="300" w:lineRule="exact"/>
        <w:ind w:firstLine="520"/>
        <w:rPr>
          <w:rFonts w:ascii="宋体" w:hAnsi="宋体" w:cs="宋体"/>
          <w:bCs/>
          <w:sz w:val="24"/>
          <w:szCs w:val="24"/>
        </w:rPr>
      </w:pPr>
      <w:r>
        <w:rPr>
          <w:rFonts w:hint="eastAsia" w:ascii="宋体" w:hAnsi="宋体" w:cs="宋体"/>
          <w:bCs/>
          <w:sz w:val="24"/>
          <w:szCs w:val="24"/>
        </w:rPr>
        <w:t>1.本合同一式四份,甲乙双方各执两份,;</w:t>
      </w:r>
    </w:p>
    <w:p>
      <w:pPr>
        <w:pStyle w:val="45"/>
        <w:spacing w:line="300" w:lineRule="exact"/>
        <w:ind w:firstLine="520"/>
        <w:rPr>
          <w:rFonts w:ascii="宋体" w:hAnsi="宋体" w:cs="宋体"/>
          <w:bCs/>
          <w:sz w:val="24"/>
          <w:szCs w:val="24"/>
        </w:rPr>
      </w:pPr>
      <w:r>
        <w:rPr>
          <w:rFonts w:hint="eastAsia" w:ascii="宋体" w:hAnsi="宋体" w:cs="宋体"/>
          <w:bCs/>
          <w:sz w:val="24"/>
          <w:szCs w:val="24"/>
        </w:rPr>
        <w:t>2.本合同自签订之日起生效;</w:t>
      </w:r>
    </w:p>
    <w:p>
      <w:pPr>
        <w:pStyle w:val="45"/>
        <w:spacing w:line="300" w:lineRule="exact"/>
        <w:ind w:firstLine="520"/>
        <w:rPr>
          <w:rFonts w:ascii="宋体" w:hAnsi="宋体" w:cs="宋体"/>
          <w:bCs/>
          <w:sz w:val="24"/>
          <w:szCs w:val="24"/>
        </w:rPr>
      </w:pPr>
      <w:r>
        <w:rPr>
          <w:rFonts w:hint="eastAsia" w:ascii="宋体" w:hAnsi="宋体" w:cs="宋体"/>
          <w:bCs/>
          <w:sz w:val="24"/>
          <w:szCs w:val="24"/>
        </w:rPr>
        <w:t>3.本项目的招标文件,采购文件,中标通知书是合同的附件,与合同具有同等的法律效力;</w:t>
      </w:r>
    </w:p>
    <w:p>
      <w:pPr>
        <w:pStyle w:val="45"/>
        <w:spacing w:line="300" w:lineRule="exact"/>
        <w:ind w:firstLine="520"/>
        <w:rPr>
          <w:rFonts w:ascii="宋体" w:hAnsi="宋体" w:cs="宋体"/>
          <w:bCs/>
          <w:sz w:val="24"/>
          <w:szCs w:val="24"/>
        </w:rPr>
      </w:pPr>
      <w:r>
        <w:rPr>
          <w:rFonts w:hint="eastAsia" w:ascii="宋体" w:hAnsi="宋体" w:cs="宋体"/>
          <w:bCs/>
          <w:sz w:val="24"/>
          <w:szCs w:val="24"/>
        </w:rPr>
        <w:t>4.其它未尽事宜,由双方友好协商解决,并参照《中华人民共和国合同法》有关条款执行.</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甲方(印章):                      乙方(印章):</w:t>
      </w:r>
    </w:p>
    <w:p>
      <w:pPr>
        <w:pStyle w:val="45"/>
        <w:spacing w:line="300" w:lineRule="exact"/>
        <w:ind w:firstLine="520"/>
        <w:rPr>
          <w:rFonts w:ascii="宋体" w:hAnsi="宋体" w:cs="宋体"/>
          <w:bCs/>
          <w:sz w:val="24"/>
          <w:szCs w:val="24"/>
        </w:rPr>
      </w:pPr>
      <w:r>
        <w:rPr>
          <w:rFonts w:hint="eastAsia" w:ascii="宋体" w:hAnsi="宋体" w:cs="宋体"/>
          <w:bCs/>
          <w:sz w:val="24"/>
          <w:szCs w:val="24"/>
        </w:rPr>
        <w:t>甲方代表(签字):                  乙方代表(签字):</w:t>
      </w:r>
    </w:p>
    <w:p>
      <w:pPr>
        <w:pStyle w:val="45"/>
        <w:spacing w:line="300" w:lineRule="exact"/>
        <w:ind w:firstLine="520"/>
        <w:rPr>
          <w:rFonts w:ascii="宋体" w:hAnsi="宋体" w:cs="宋体"/>
          <w:bCs/>
          <w:sz w:val="24"/>
          <w:szCs w:val="24"/>
        </w:rPr>
      </w:pPr>
      <w:r>
        <w:rPr>
          <w:rFonts w:hint="eastAsia" w:ascii="宋体" w:hAnsi="宋体" w:cs="宋体"/>
          <w:bCs/>
          <w:sz w:val="24"/>
          <w:szCs w:val="24"/>
        </w:rPr>
        <w:t>地址:                               地址:</w:t>
      </w:r>
    </w:p>
    <w:p>
      <w:pPr>
        <w:pStyle w:val="45"/>
        <w:spacing w:line="300" w:lineRule="exact"/>
        <w:ind w:firstLine="520"/>
        <w:rPr>
          <w:rFonts w:ascii="宋体" w:hAnsi="宋体" w:cs="宋体"/>
          <w:bCs/>
          <w:sz w:val="24"/>
          <w:szCs w:val="24"/>
        </w:rPr>
      </w:pPr>
      <w:r>
        <w:rPr>
          <w:rFonts w:hint="eastAsia" w:ascii="宋体" w:hAnsi="宋体" w:cs="宋体"/>
          <w:bCs/>
          <w:sz w:val="24"/>
          <w:szCs w:val="24"/>
        </w:rPr>
        <w:t>电话:                               电话:</w:t>
      </w:r>
    </w:p>
    <w:p>
      <w:pPr>
        <w:pStyle w:val="45"/>
        <w:spacing w:line="300" w:lineRule="exact"/>
        <w:ind w:firstLine="520"/>
        <w:rPr>
          <w:rFonts w:ascii="宋体" w:hAnsi="宋体" w:cs="宋体"/>
          <w:bCs/>
          <w:sz w:val="24"/>
          <w:szCs w:val="24"/>
        </w:rPr>
      </w:pPr>
      <w:r>
        <w:rPr>
          <w:rFonts w:hint="eastAsia" w:ascii="宋体" w:hAnsi="宋体" w:cs="宋体"/>
          <w:bCs/>
          <w:sz w:val="24"/>
          <w:szCs w:val="24"/>
        </w:rPr>
        <w:t>日期:</w:t>
      </w:r>
    </w:p>
    <w:p>
      <w:pPr>
        <w:pStyle w:val="45"/>
        <w:spacing w:line="300" w:lineRule="exact"/>
        <w:ind w:firstLine="520"/>
        <w:rPr>
          <w:rFonts w:ascii="宋体" w:hAnsi="宋体" w:cs="宋体"/>
          <w:sz w:val="24"/>
          <w:szCs w:val="24"/>
        </w:rPr>
      </w:pPr>
    </w:p>
    <w:p>
      <w:pPr>
        <w:pStyle w:val="45"/>
        <w:ind w:firstLine="640"/>
        <w:rPr>
          <w:rFonts w:ascii="宋体" w:hAnsi="宋体" w:cs="宋体"/>
        </w:rPr>
        <w:sectPr>
          <w:footerReference r:id="rId3" w:type="default"/>
          <w:pgSz w:w="11907" w:h="16840"/>
          <w:pgMar w:top="1417" w:right="1417" w:bottom="1361" w:left="1417" w:header="737" w:footer="680" w:gutter="0"/>
          <w:pgNumType w:start="1"/>
          <w:cols w:space="720" w:num="1"/>
          <w:docGrid w:type="linesAndChars" w:linePitch="306" w:charSpace="-2"/>
        </w:sectPr>
      </w:pPr>
    </w:p>
    <w:bookmarkEnd w:id="56"/>
    <w:bookmarkEnd w:id="57"/>
    <w:bookmarkEnd w:id="58"/>
    <w:p>
      <w:pPr>
        <w:pStyle w:val="43"/>
        <w:rPr>
          <w:rFonts w:ascii="宋体" w:hAnsi="宋体"/>
          <w:sz w:val="36"/>
        </w:rPr>
      </w:pPr>
      <w:bookmarkStart w:id="59" w:name="_Toc520389624"/>
      <w:bookmarkEnd w:id="59"/>
      <w:bookmarkStart w:id="60" w:name="_Toc10529"/>
      <w:r>
        <w:rPr>
          <w:rFonts w:hint="eastAsia" w:ascii="宋体" w:hAnsi="宋体"/>
          <w:sz w:val="36"/>
        </w:rPr>
        <w:t>第五章  投标文件格式</w:t>
      </w:r>
      <w:bookmarkEnd w:id="60"/>
    </w:p>
    <w:p>
      <w:pPr>
        <w:jc w:val="right"/>
        <w:rPr>
          <w:rFonts w:ascii="宋体" w:hAnsi="宋体" w:cs="宋体"/>
        </w:rPr>
      </w:pPr>
      <w:r>
        <w:rPr>
          <w:rFonts w:hint="eastAsia" w:ascii="宋体" w:hAnsi="宋体" w:cs="宋体"/>
        </w:rPr>
        <w:t xml:space="preserve"> </w:t>
      </w:r>
    </w:p>
    <w:p>
      <w:pPr>
        <w:jc w:val="right"/>
        <w:rPr>
          <w:rFonts w:ascii="宋体" w:hAnsi="宋体" w:cs="宋体"/>
        </w:rPr>
      </w:pPr>
      <w:r>
        <w:rPr>
          <w:rFonts w:hint="eastAsia" w:ascii="宋体" w:hAnsi="宋体" w:cs="宋体"/>
        </w:rPr>
        <w:t xml:space="preserve"> </w:t>
      </w:r>
    </w:p>
    <w:p>
      <w:pPr>
        <w:jc w:val="right"/>
        <w:rPr>
          <w:rFonts w:ascii="宋体" w:hAnsi="宋体" w:cs="宋体"/>
          <w:sz w:val="24"/>
          <w:szCs w:val="24"/>
        </w:rPr>
      </w:pPr>
      <w:r>
        <w:rPr>
          <w:rFonts w:hint="eastAsia" w:ascii="宋体" w:hAnsi="宋体" w:cs="宋体"/>
          <w:sz w:val="24"/>
          <w:szCs w:val="24"/>
        </w:rPr>
        <w:t xml:space="preserve"> </w:t>
      </w:r>
    </w:p>
    <w:p>
      <w:pPr>
        <w:jc w:val="right"/>
        <w:rPr>
          <w:rFonts w:ascii="宋体" w:hAnsi="宋体" w:cs="宋体"/>
          <w:sz w:val="24"/>
          <w:szCs w:val="24"/>
        </w:rPr>
      </w:pPr>
      <w:r>
        <w:rPr>
          <w:rFonts w:hint="eastAsia" w:ascii="宋体" w:hAnsi="宋体" w:cs="宋体"/>
          <w:sz w:val="24"/>
          <w:szCs w:val="24"/>
        </w:rPr>
        <w:t xml:space="preserve"> </w:t>
      </w:r>
    </w:p>
    <w:p>
      <w:pPr>
        <w:spacing w:line="360" w:lineRule="auto"/>
        <w:jc w:val="center"/>
        <w:rPr>
          <w:rFonts w:ascii="宋体" w:hAnsi="宋体" w:cs="宋体"/>
          <w:b/>
          <w:bCs/>
          <w:sz w:val="40"/>
          <w:szCs w:val="40"/>
        </w:rPr>
      </w:pPr>
      <w:bookmarkStart w:id="61" w:name="_Toc144974856"/>
      <w:bookmarkEnd w:id="61"/>
      <w:bookmarkStart w:id="62" w:name="_Toc152042576"/>
      <w:bookmarkEnd w:id="62"/>
      <w:bookmarkStart w:id="63" w:name="_Toc152045787"/>
      <w:bookmarkEnd w:id="63"/>
      <w:bookmarkStart w:id="64" w:name="_Toc179632807"/>
      <w:bookmarkEnd w:id="64"/>
      <w:r>
        <w:rPr>
          <w:rFonts w:hint="eastAsia" w:ascii="宋体" w:hAnsi="宋体" w:cs="宋体"/>
          <w:b/>
          <w:bCs/>
          <w:sz w:val="28"/>
          <w:u w:val="single"/>
        </w:rPr>
        <w:t xml:space="preserve">                （项目名称、标段）</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spacing w:line="360" w:lineRule="auto"/>
        <w:jc w:val="center"/>
        <w:rPr>
          <w:rFonts w:ascii="宋体" w:hAnsi="宋体" w:cs="宋体"/>
          <w:b/>
          <w:sz w:val="72"/>
          <w:szCs w:val="84"/>
        </w:rPr>
      </w:pPr>
      <w:r>
        <w:rPr>
          <w:rFonts w:hint="eastAsia" w:ascii="宋体" w:hAnsi="宋体" w:cs="宋体"/>
          <w:b/>
          <w:sz w:val="72"/>
          <w:szCs w:val="84"/>
        </w:rPr>
        <w:t xml:space="preserve">投标文件 </w:t>
      </w:r>
    </w:p>
    <w:p>
      <w:pPr>
        <w:spacing w:line="360" w:lineRule="auto"/>
        <w:ind w:firstLine="2699" w:firstLineChars="896"/>
        <w:rPr>
          <w:rFonts w:ascii="宋体" w:hAnsi="宋体" w:cs="宋体"/>
          <w:b/>
          <w:sz w:val="30"/>
          <w:szCs w:val="30"/>
        </w:rPr>
      </w:pPr>
      <w:r>
        <w:rPr>
          <w:rFonts w:hint="eastAsia" w:ascii="宋体" w:hAnsi="宋体" w:cs="宋体"/>
          <w:b/>
          <w:sz w:val="30"/>
          <w:szCs w:val="30"/>
        </w:rPr>
        <w:t>采购编号：</w:t>
      </w:r>
    </w:p>
    <w:p>
      <w:pPr>
        <w:spacing w:line="360" w:lineRule="auto"/>
        <w:rPr>
          <w:rFonts w:ascii="宋体" w:hAnsi="宋体" w:cs="宋体"/>
          <w:sz w:val="32"/>
          <w:szCs w:val="32"/>
        </w:rPr>
      </w:pPr>
      <w:r>
        <w:rPr>
          <w:rFonts w:hint="eastAsia" w:ascii="宋体" w:hAnsi="宋体" w:cs="宋体"/>
          <w:sz w:val="32"/>
          <w:szCs w:val="32"/>
        </w:rPr>
        <w:t xml:space="preserve"> </w:t>
      </w:r>
    </w:p>
    <w:p>
      <w:pPr>
        <w:spacing w:line="360" w:lineRule="auto"/>
        <w:rPr>
          <w:rFonts w:ascii="宋体" w:hAnsi="宋体" w:cs="宋体"/>
          <w:sz w:val="32"/>
          <w:szCs w:val="32"/>
        </w:rPr>
      </w:pPr>
      <w:r>
        <w:rPr>
          <w:rFonts w:hint="eastAsia" w:ascii="宋体" w:hAnsi="宋体" w:cs="宋体"/>
          <w:sz w:val="32"/>
          <w:szCs w:val="32"/>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center"/>
        <w:rPr>
          <w:rFonts w:ascii="宋体" w:hAnsi="宋体" w:cs="宋体"/>
          <w:sz w:val="24"/>
          <w:szCs w:val="24"/>
          <w:u w:val="single"/>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jc w:val="center"/>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center"/>
        <w:rPr>
          <w:rFonts w:ascii="宋体" w:hAnsi="宋体" w:cs="宋体"/>
          <w:sz w:val="24"/>
          <w:szCs w:val="24"/>
        </w:rPr>
      </w:pPr>
      <w:r>
        <w:rPr>
          <w:rFonts w:hint="eastAsia" w:ascii="宋体" w:hAnsi="宋体" w:cs="宋体"/>
          <w:sz w:val="24"/>
          <w:szCs w:val="24"/>
        </w:rPr>
        <w:t>法定代表人或其委托代理人：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jc w:val="center"/>
        <w:rPr>
          <w:rFonts w:ascii="宋体" w:hAnsi="宋体" w:cs="宋体"/>
          <w:sz w:val="24"/>
          <w:szCs w:val="24"/>
          <w:u w:val="single"/>
        </w:rPr>
      </w:pPr>
    </w:p>
    <w:p>
      <w:pPr>
        <w:adjustRightInd w:val="0"/>
        <w:snapToGrid w:val="0"/>
        <w:spacing w:line="360" w:lineRule="auto"/>
        <w:jc w:val="center"/>
        <w:rPr>
          <w:rFonts w:ascii="宋体" w:hAnsi="宋体" w:cs="宋体"/>
          <w:sz w:val="24"/>
          <w:szCs w:val="24"/>
          <w:u w:val="single"/>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jc w:val="center"/>
        <w:rPr>
          <w:rFonts w:ascii="宋体" w:hAnsi="宋体" w:cs="宋体"/>
          <w:b/>
          <w:sz w:val="28"/>
        </w:rPr>
      </w:pPr>
      <w:r>
        <w:rPr>
          <w:rFonts w:hint="eastAsia" w:ascii="宋体" w:hAnsi="宋体" w:cs="宋体"/>
        </w:rPr>
        <w:br w:type="page"/>
      </w:r>
      <w:bookmarkStart w:id="65" w:name="_Toc520389625"/>
      <w:bookmarkEnd w:id="65"/>
      <w:r>
        <w:rPr>
          <w:rFonts w:hint="eastAsia" w:ascii="宋体" w:hAnsi="宋体" w:cs="宋体"/>
          <w:b/>
          <w:sz w:val="28"/>
        </w:rPr>
        <w:t>目    录</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一、投标函及投标函附录</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二、分项报价明细表</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三、法定代表人身份证明</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四、授权委托书</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五、技术部分</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六、资格审查资料</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七、服务方案及承诺</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八、反商业贿赂承诺书</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九、投标诚信承诺</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十、供应商认为需要提交的其他资料</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 </w:t>
      </w:r>
    </w:p>
    <w:p>
      <w:pPr>
        <w:widowControl/>
        <w:spacing w:line="360" w:lineRule="auto"/>
        <w:jc w:val="left"/>
        <w:rPr>
          <w:rFonts w:ascii="宋体" w:hAnsi="宋体" w:cs="宋体"/>
          <w:b/>
          <w:bCs/>
          <w:sz w:val="24"/>
          <w:szCs w:val="24"/>
        </w:rPr>
        <w:sectPr>
          <w:pgSz w:w="11910" w:h="16840"/>
          <w:pgMar w:top="1580" w:right="1020" w:bottom="1240" w:left="1020" w:header="0" w:footer="964" w:gutter="0"/>
          <w:cols w:space="720" w:num="1"/>
        </w:sectPr>
      </w:pPr>
    </w:p>
    <w:p>
      <w:pPr>
        <w:pStyle w:val="7"/>
        <w:jc w:val="center"/>
        <w:rPr>
          <w:rFonts w:ascii="宋体" w:hAnsi="宋体" w:cs="宋体"/>
        </w:rPr>
      </w:pPr>
      <w:r>
        <w:rPr>
          <w:rFonts w:hint="eastAsia" w:ascii="宋体" w:hAnsi="宋体" w:cs="宋体"/>
        </w:rPr>
        <w:t>一、投标函及投标函附录</w:t>
      </w:r>
    </w:p>
    <w:p>
      <w:pPr>
        <w:pStyle w:val="8"/>
        <w:jc w:val="center"/>
        <w:rPr>
          <w:rFonts w:ascii="宋体" w:hAnsi="宋体" w:cs="宋体"/>
        </w:rPr>
      </w:pPr>
      <w:bookmarkStart w:id="66" w:name="_Toc204047783"/>
      <w:bookmarkEnd w:id="66"/>
      <w:bookmarkStart w:id="67" w:name="_Toc202941540"/>
      <w:bookmarkEnd w:id="67"/>
      <w:bookmarkStart w:id="68" w:name="_Toc239431944"/>
      <w:bookmarkEnd w:id="68"/>
      <w:bookmarkStart w:id="69" w:name="_Toc391363047"/>
      <w:bookmarkEnd w:id="69"/>
      <w:bookmarkStart w:id="70" w:name="_Toc217565730"/>
      <w:bookmarkEnd w:id="70"/>
      <w:bookmarkStart w:id="71" w:name="_Toc240364513"/>
      <w:bookmarkEnd w:id="71"/>
      <w:bookmarkStart w:id="72" w:name="_Toc202941487"/>
      <w:bookmarkEnd w:id="72"/>
      <w:r>
        <w:rPr>
          <w:rFonts w:hint="eastAsia" w:ascii="宋体" w:hAnsi="宋体" w:cs="宋体"/>
        </w:rPr>
        <w:t>1、投标函</w:t>
      </w:r>
    </w:p>
    <w:p>
      <w:pPr>
        <w:pStyle w:val="21"/>
        <w:kinsoku w:val="0"/>
        <w:overflowPunct w:val="0"/>
        <w:spacing w:before="4" w:beforeAutospacing="0"/>
        <w:ind w:firstLine="301"/>
        <w:rPr>
          <w:rFonts w:ascii="宋体" w:hAnsi="宋体" w:cs="宋体"/>
          <w:b/>
          <w:bCs/>
          <w:sz w:val="13"/>
          <w:szCs w:val="13"/>
        </w:rPr>
      </w:pPr>
      <w:r>
        <w:rPr>
          <w:rFonts w:hint="eastAsia" w:ascii="宋体" w:hAnsi="宋体" w:cs="宋体"/>
          <w:b/>
          <w:bCs/>
          <w:sz w:val="13"/>
          <w:szCs w:val="13"/>
        </w:rPr>
        <w:t xml:space="preserve"> </w:t>
      </w:r>
    </w:p>
    <w:p>
      <w:pPr>
        <w:pStyle w:val="27"/>
        <w:spacing w:line="320" w:lineRule="exact"/>
        <w:ind w:left="0" w:leftChars="0"/>
        <w:rPr>
          <w:rFonts w:ascii="宋体" w:hAnsi="宋体" w:cs="宋体"/>
          <w:bCs/>
          <w:sz w:val="24"/>
          <w:u w:val="single"/>
        </w:rPr>
      </w:pPr>
      <w:r>
        <w:rPr>
          <w:rFonts w:hint="eastAsia" w:ascii="宋体" w:hAnsi="宋体" w:cs="宋体"/>
          <w:sz w:val="24"/>
          <w:szCs w:val="20"/>
        </w:rPr>
        <w:t xml:space="preserve"> </w:t>
      </w:r>
      <w:r>
        <w:rPr>
          <w:rFonts w:hint="eastAsia" w:ascii="宋体" w:hAnsi="宋体" w:cs="宋体"/>
          <w:sz w:val="24"/>
          <w:szCs w:val="20"/>
          <w:u w:val="single"/>
        </w:rPr>
        <w:t xml:space="preserve">                 </w:t>
      </w:r>
      <w:r>
        <w:rPr>
          <w:rFonts w:hint="eastAsia" w:ascii="宋体" w:hAnsi="宋体" w:cs="宋体"/>
          <w:bCs/>
          <w:sz w:val="24"/>
        </w:rPr>
        <w:t>（采购人名称）：</w:t>
      </w:r>
    </w:p>
    <w:p>
      <w:pPr>
        <w:spacing w:line="360" w:lineRule="auto"/>
        <w:ind w:right="-153" w:rightChars="-73" w:firstLine="480" w:firstLineChars="200"/>
        <w:rPr>
          <w:rFonts w:ascii="宋体" w:hAnsi="宋体" w:cs="宋体"/>
          <w:sz w:val="24"/>
          <w:szCs w:val="20"/>
        </w:rPr>
      </w:pPr>
      <w:r>
        <w:rPr>
          <w:rFonts w:hint="eastAsia" w:ascii="宋体" w:hAnsi="宋体" w:cs="宋体"/>
          <w:sz w:val="24"/>
        </w:rPr>
        <w:t xml:space="preserve"> </w:t>
      </w:r>
      <w:r>
        <w:rPr>
          <w:rFonts w:hint="eastAsia" w:ascii="宋体" w:hAnsi="宋体" w:cs="宋体"/>
          <w:sz w:val="24"/>
          <w:szCs w:val="20"/>
        </w:rPr>
        <w:t xml:space="preserve"> </w:t>
      </w:r>
      <w:r>
        <w:rPr>
          <w:rFonts w:hint="eastAsia" w:ascii="宋体" w:hAnsi="宋体" w:cs="宋体"/>
          <w:sz w:val="24"/>
          <w:szCs w:val="20"/>
          <w:u w:val="single"/>
        </w:rPr>
        <w:t xml:space="preserve">             </w:t>
      </w:r>
      <w:r>
        <w:rPr>
          <w:rFonts w:hint="eastAsia" w:ascii="宋体" w:hAnsi="宋体" w:cs="宋体"/>
          <w:sz w:val="24"/>
          <w:szCs w:val="20"/>
        </w:rPr>
        <w:t>(供应商全称)授权</w:t>
      </w:r>
      <w:r>
        <w:rPr>
          <w:rFonts w:hint="eastAsia" w:ascii="宋体" w:hAnsi="宋体" w:cs="宋体"/>
          <w:sz w:val="24"/>
          <w:szCs w:val="20"/>
          <w:u w:val="single"/>
        </w:rPr>
        <w:t xml:space="preserve">            </w:t>
      </w:r>
      <w:r>
        <w:rPr>
          <w:rFonts w:hint="eastAsia" w:ascii="宋体" w:hAnsi="宋体" w:cs="宋体"/>
          <w:sz w:val="24"/>
          <w:szCs w:val="20"/>
        </w:rPr>
        <w:t>(供应商代表姓名)为我方代表，参加贵方组织的</w:t>
      </w:r>
      <w:r>
        <w:rPr>
          <w:rFonts w:hint="eastAsia" w:ascii="宋体" w:hAnsi="宋体" w:cs="宋体"/>
          <w:sz w:val="24"/>
          <w:szCs w:val="20"/>
          <w:u w:val="single"/>
        </w:rPr>
        <w:t xml:space="preserve">              （项目名称、标段）</w:t>
      </w:r>
      <w:r>
        <w:rPr>
          <w:rFonts w:hint="eastAsia" w:ascii="宋体" w:hAnsi="宋体" w:cs="宋体"/>
          <w:sz w:val="24"/>
          <w:szCs w:val="20"/>
        </w:rPr>
        <w:t>招标的有关活动，并愿意以人民币（大写）</w:t>
      </w:r>
      <w:r>
        <w:rPr>
          <w:rFonts w:hint="eastAsia" w:ascii="宋体" w:hAnsi="宋体" w:cs="宋体"/>
          <w:sz w:val="24"/>
          <w:szCs w:val="20"/>
          <w:u w:val="single"/>
        </w:rPr>
        <w:t xml:space="preserve">         </w:t>
      </w:r>
      <w:r>
        <w:rPr>
          <w:rFonts w:hint="eastAsia" w:ascii="宋体" w:hAnsi="宋体" w:cs="宋体"/>
          <w:sz w:val="24"/>
          <w:szCs w:val="20"/>
        </w:rPr>
        <w:t>，（小写）</w:t>
      </w:r>
      <w:r>
        <w:rPr>
          <w:rFonts w:hint="eastAsia" w:ascii="宋体" w:hAnsi="宋体" w:cs="宋体"/>
          <w:sz w:val="24"/>
          <w:szCs w:val="20"/>
          <w:u w:val="single"/>
        </w:rPr>
        <w:t xml:space="preserve">         </w:t>
      </w:r>
      <w:r>
        <w:rPr>
          <w:rFonts w:hint="eastAsia" w:ascii="宋体" w:hAnsi="宋体" w:cs="宋体"/>
          <w:sz w:val="24"/>
          <w:szCs w:val="20"/>
        </w:rPr>
        <w:t>元的投标报价，供货期及安装</w:t>
      </w:r>
      <w:r>
        <w:rPr>
          <w:rFonts w:hint="eastAsia" w:ascii="宋体" w:hAnsi="宋体" w:cs="宋体"/>
          <w:sz w:val="24"/>
          <w:szCs w:val="20"/>
          <w:u w:val="single"/>
        </w:rPr>
        <w:t xml:space="preserve">      </w:t>
      </w:r>
      <w:r>
        <w:rPr>
          <w:rFonts w:hint="eastAsia" w:ascii="宋体" w:hAnsi="宋体" w:cs="宋体"/>
          <w:sz w:val="24"/>
          <w:szCs w:val="20"/>
        </w:rPr>
        <w:t>，质量标准</w:t>
      </w:r>
      <w:r>
        <w:rPr>
          <w:rFonts w:hint="eastAsia" w:ascii="宋体" w:hAnsi="宋体" w:cs="宋体"/>
          <w:sz w:val="24"/>
          <w:szCs w:val="20"/>
          <w:u w:val="single"/>
        </w:rPr>
        <w:t xml:space="preserve">      </w:t>
      </w:r>
      <w:r>
        <w:rPr>
          <w:rFonts w:hint="eastAsia" w:ascii="宋体" w:hAnsi="宋体" w:cs="宋体"/>
          <w:sz w:val="24"/>
          <w:szCs w:val="20"/>
        </w:rPr>
        <w:t xml:space="preserve">，并按合同约定实施和完成项目全部内容及任何缺陷，实现项目目的。为此： </w:t>
      </w:r>
    </w:p>
    <w:p>
      <w:pPr>
        <w:spacing w:line="360" w:lineRule="auto"/>
        <w:ind w:firstLine="480" w:firstLineChars="200"/>
        <w:rPr>
          <w:rFonts w:ascii="宋体" w:hAnsi="宋体" w:cs="宋体"/>
          <w:sz w:val="24"/>
          <w:szCs w:val="20"/>
        </w:rPr>
      </w:pPr>
      <w:r>
        <w:rPr>
          <w:rFonts w:hint="eastAsia" w:ascii="宋体" w:hAnsi="宋体" w:cs="宋体"/>
          <w:sz w:val="24"/>
          <w:szCs w:val="20"/>
        </w:rPr>
        <w:t>1. 我方同意所提交的投标文件投标有效期为</w:t>
      </w:r>
      <w:r>
        <w:rPr>
          <w:rFonts w:hint="eastAsia" w:ascii="宋体" w:hAnsi="宋体" w:cs="宋体"/>
          <w:sz w:val="24"/>
          <w:szCs w:val="20"/>
          <w:u w:val="single"/>
        </w:rPr>
        <w:t xml:space="preserve">  60  </w:t>
      </w:r>
      <w:r>
        <w:rPr>
          <w:rFonts w:hint="eastAsia" w:ascii="宋体" w:hAnsi="宋体" w:cs="宋体"/>
          <w:sz w:val="24"/>
          <w:szCs w:val="20"/>
        </w:rPr>
        <w:t>日历天，在此期间内如果中标，我方将受此约束。</w:t>
      </w:r>
    </w:p>
    <w:p>
      <w:pPr>
        <w:spacing w:line="360" w:lineRule="auto"/>
        <w:ind w:firstLine="480" w:firstLineChars="200"/>
        <w:rPr>
          <w:rFonts w:ascii="宋体" w:hAnsi="宋体" w:cs="宋体"/>
          <w:sz w:val="24"/>
          <w:szCs w:val="20"/>
        </w:rPr>
      </w:pPr>
      <w:r>
        <w:rPr>
          <w:rFonts w:hint="eastAsia" w:ascii="宋体" w:hAnsi="宋体" w:cs="宋体"/>
          <w:sz w:val="24"/>
          <w:szCs w:val="20"/>
        </w:rPr>
        <w:t>2. 提供供应商须知规定的全部投标文件，并对之负法律责任。</w:t>
      </w:r>
    </w:p>
    <w:p>
      <w:pPr>
        <w:spacing w:line="360" w:lineRule="auto"/>
        <w:ind w:firstLine="480" w:firstLineChars="200"/>
        <w:rPr>
          <w:rFonts w:ascii="宋体" w:hAnsi="宋体" w:cs="宋体"/>
          <w:sz w:val="24"/>
          <w:szCs w:val="20"/>
          <w:u w:val="single"/>
        </w:rPr>
      </w:pPr>
      <w:r>
        <w:rPr>
          <w:rFonts w:hint="eastAsia" w:ascii="宋体" w:hAnsi="宋体" w:cs="宋体"/>
          <w:sz w:val="24"/>
          <w:szCs w:val="20"/>
        </w:rPr>
        <w:t>3. 保证遵守招标文件的规定，忠实地执行双方所签订的合同，并承担合同规定的责任和义务。</w:t>
      </w:r>
    </w:p>
    <w:p>
      <w:pPr>
        <w:spacing w:line="360" w:lineRule="auto"/>
        <w:ind w:firstLine="480" w:firstLineChars="200"/>
        <w:rPr>
          <w:rFonts w:ascii="宋体" w:hAnsi="宋体" w:cs="宋体"/>
          <w:sz w:val="24"/>
          <w:szCs w:val="20"/>
        </w:rPr>
      </w:pPr>
      <w:r>
        <w:rPr>
          <w:rFonts w:hint="eastAsia" w:ascii="宋体" w:hAnsi="宋体" w:cs="宋体"/>
          <w:sz w:val="24"/>
          <w:szCs w:val="20"/>
        </w:rPr>
        <w:t>4. 我方愿意向贵方提供任何与本项投标有关的数据、情况和技术资料。若贵方需要，我方愿意提供我方作出的一切承诺的证明材料。</w:t>
      </w:r>
    </w:p>
    <w:p>
      <w:pPr>
        <w:spacing w:line="360" w:lineRule="auto"/>
        <w:ind w:firstLine="480" w:firstLineChars="200"/>
        <w:rPr>
          <w:rFonts w:ascii="宋体" w:hAnsi="宋体" w:cs="宋体"/>
          <w:sz w:val="24"/>
          <w:szCs w:val="20"/>
        </w:rPr>
      </w:pPr>
      <w:r>
        <w:rPr>
          <w:rFonts w:hint="eastAsia" w:ascii="宋体" w:hAnsi="宋体" w:cs="宋体"/>
          <w:sz w:val="24"/>
          <w:szCs w:val="20"/>
        </w:rPr>
        <w:t>5. 我方已详细审核全部招标文件，包括投标文件修改书（如有的话）、参考资料及有关附件，确认无误。</w:t>
      </w:r>
    </w:p>
    <w:p>
      <w:pPr>
        <w:spacing w:line="360" w:lineRule="auto"/>
        <w:ind w:firstLine="480" w:firstLineChars="200"/>
        <w:rPr>
          <w:rFonts w:ascii="宋体" w:hAnsi="宋体" w:cs="宋体"/>
          <w:sz w:val="24"/>
          <w:szCs w:val="20"/>
        </w:rPr>
      </w:pPr>
      <w:r>
        <w:rPr>
          <w:rFonts w:hint="eastAsia" w:ascii="宋体" w:hAnsi="宋体" w:cs="宋体"/>
          <w:sz w:val="24"/>
          <w:szCs w:val="20"/>
        </w:rPr>
        <w:t>6. 我方承诺：采购人若需追加采购本项目招标文件相关服务的，在不改变合同其他实质性条款的前提下，按相同或更优惠的折扣率保证提供。</w:t>
      </w:r>
    </w:p>
    <w:p>
      <w:pPr>
        <w:spacing w:line="360" w:lineRule="auto"/>
        <w:ind w:firstLine="480" w:firstLineChars="200"/>
        <w:rPr>
          <w:rFonts w:ascii="宋体" w:hAnsi="宋体" w:cs="宋体"/>
          <w:sz w:val="24"/>
          <w:szCs w:val="20"/>
        </w:rPr>
      </w:pPr>
      <w:r>
        <w:rPr>
          <w:rFonts w:hint="eastAsia" w:ascii="宋体" w:hAnsi="宋体" w:cs="宋体"/>
          <w:sz w:val="24"/>
          <w:szCs w:val="20"/>
        </w:rPr>
        <w:t xml:space="preserve">7. 我方承诺接受招标文件中合同条款且无任何异议。  </w:t>
      </w:r>
    </w:p>
    <w:p>
      <w:pPr>
        <w:pStyle w:val="21"/>
        <w:kinsoku w:val="0"/>
        <w:overflowPunct w:val="0"/>
        <w:ind w:firstLine="560"/>
        <w:rPr>
          <w:rFonts w:ascii="宋体" w:hAnsi="宋体" w:cs="宋体"/>
          <w:sz w:val="26"/>
          <w:szCs w:val="26"/>
        </w:rPr>
      </w:pPr>
    </w:p>
    <w:p>
      <w:pPr>
        <w:pStyle w:val="27"/>
        <w:spacing w:line="400" w:lineRule="exact"/>
        <w:ind w:left="0" w:leftChars="0" w:firstLine="240" w:firstLineChars="100"/>
        <w:rPr>
          <w:rFonts w:ascii="宋体" w:hAnsi="宋体" w:cs="宋体"/>
          <w:bCs/>
          <w:sz w:val="24"/>
          <w:u w:val="single"/>
        </w:rPr>
      </w:pPr>
      <w:r>
        <w:rPr>
          <w:rFonts w:hint="eastAsia" w:ascii="宋体" w:hAnsi="宋体" w:cs="宋体"/>
          <w:bCs/>
          <w:sz w:val="24"/>
        </w:rPr>
        <w:t>供应商：</w:t>
      </w:r>
      <w:r>
        <w:rPr>
          <w:rFonts w:hint="eastAsia" w:ascii="宋体" w:hAnsi="宋体" w:cs="宋体"/>
          <w:bCs/>
          <w:sz w:val="24"/>
          <w:u w:val="single"/>
        </w:rPr>
        <w:t xml:space="preserve">                            </w:t>
      </w:r>
      <w:r>
        <w:rPr>
          <w:rFonts w:hint="eastAsia" w:ascii="宋体" w:hAnsi="宋体" w:cs="宋体"/>
          <w:bCs/>
          <w:sz w:val="24"/>
        </w:rPr>
        <w:t>（</w:t>
      </w:r>
      <w:r>
        <w:rPr>
          <w:rFonts w:hint="eastAsia" w:ascii="宋体" w:hAnsi="宋体" w:cs="宋体"/>
          <w:sz w:val="24"/>
        </w:rPr>
        <w:t>电子签章</w:t>
      </w:r>
      <w:r>
        <w:rPr>
          <w:rFonts w:hint="eastAsia" w:ascii="宋体" w:hAnsi="宋体" w:cs="宋体"/>
          <w:bCs/>
          <w:sz w:val="24"/>
        </w:rPr>
        <w:t>）</w:t>
      </w:r>
    </w:p>
    <w:p>
      <w:pPr>
        <w:pStyle w:val="27"/>
        <w:spacing w:line="400" w:lineRule="exact"/>
        <w:ind w:left="0" w:leftChars="0" w:firstLine="360" w:firstLineChars="150"/>
        <w:rPr>
          <w:rFonts w:ascii="宋体" w:hAnsi="宋体" w:cs="宋体"/>
          <w:bCs/>
          <w:sz w:val="24"/>
        </w:rPr>
      </w:pPr>
      <w:r>
        <w:rPr>
          <w:rFonts w:hint="eastAsia" w:ascii="宋体" w:hAnsi="宋体" w:cs="宋体"/>
          <w:bCs/>
          <w:sz w:val="24"/>
        </w:rPr>
        <w:t>法定代表人或</w:t>
      </w:r>
      <w:r>
        <w:rPr>
          <w:rFonts w:hint="eastAsia" w:ascii="宋体" w:hAnsi="宋体" w:cs="宋体"/>
          <w:sz w:val="24"/>
        </w:rPr>
        <w:t>其</w:t>
      </w:r>
      <w:r>
        <w:rPr>
          <w:rFonts w:hint="eastAsia" w:ascii="宋体" w:hAnsi="宋体" w:cs="宋体"/>
          <w:bCs/>
          <w:sz w:val="24"/>
        </w:rPr>
        <w:t>委托代理人：</w:t>
      </w:r>
      <w:r>
        <w:rPr>
          <w:rFonts w:hint="eastAsia" w:ascii="宋体" w:hAnsi="宋体" w:cs="宋体"/>
          <w:bCs/>
          <w:sz w:val="24"/>
          <w:u w:val="single"/>
        </w:rPr>
        <w:t xml:space="preserve">               </w:t>
      </w:r>
      <w:r>
        <w:rPr>
          <w:rFonts w:hint="eastAsia" w:ascii="宋体" w:hAnsi="宋体" w:cs="宋体"/>
          <w:bCs/>
          <w:sz w:val="24"/>
        </w:rPr>
        <w:t xml:space="preserve"> （签字或盖章）</w:t>
      </w:r>
    </w:p>
    <w:p>
      <w:pPr>
        <w:pStyle w:val="27"/>
        <w:spacing w:line="400" w:lineRule="exact"/>
        <w:ind w:left="0" w:leftChars="0" w:firstLine="360" w:firstLineChars="150"/>
        <w:rPr>
          <w:rFonts w:ascii="宋体" w:hAnsi="宋体" w:cs="宋体"/>
          <w:bCs/>
          <w:sz w:val="24"/>
          <w:u w:val="single"/>
        </w:rPr>
      </w:pPr>
      <w:r>
        <w:rPr>
          <w:rFonts w:hint="eastAsia" w:ascii="宋体" w:hAnsi="宋体" w:cs="宋体"/>
          <w:bCs/>
          <w:sz w:val="24"/>
        </w:rPr>
        <w:t>地址：</w:t>
      </w:r>
      <w:r>
        <w:rPr>
          <w:rFonts w:hint="eastAsia" w:ascii="宋体" w:hAnsi="宋体" w:cs="宋体"/>
          <w:bCs/>
          <w:sz w:val="24"/>
          <w:u w:val="single"/>
        </w:rPr>
        <w:t xml:space="preserve">                         </w:t>
      </w:r>
    </w:p>
    <w:p>
      <w:pPr>
        <w:pStyle w:val="27"/>
        <w:spacing w:line="400" w:lineRule="exact"/>
        <w:ind w:left="0" w:leftChars="0" w:firstLine="360" w:firstLineChars="150"/>
        <w:rPr>
          <w:rFonts w:ascii="宋体" w:hAnsi="宋体" w:cs="宋体"/>
          <w:bCs/>
          <w:sz w:val="24"/>
          <w:u w:val="single"/>
        </w:rPr>
      </w:pPr>
      <w:r>
        <w:rPr>
          <w:rFonts w:hint="eastAsia" w:ascii="宋体" w:hAnsi="宋体" w:cs="宋体"/>
          <w:bCs/>
          <w:sz w:val="24"/>
        </w:rPr>
        <w:t>电话：</w:t>
      </w:r>
      <w:r>
        <w:rPr>
          <w:rFonts w:hint="eastAsia" w:ascii="宋体" w:hAnsi="宋体" w:cs="宋体"/>
          <w:bCs/>
          <w:sz w:val="24"/>
          <w:u w:val="single"/>
        </w:rPr>
        <w:t xml:space="preserve">                         </w:t>
      </w:r>
    </w:p>
    <w:p>
      <w:pPr>
        <w:pStyle w:val="27"/>
        <w:spacing w:line="400" w:lineRule="exact"/>
        <w:ind w:left="0" w:leftChars="0" w:firstLine="4" w:firstLineChars="2"/>
        <w:rPr>
          <w:rFonts w:ascii="宋体" w:hAnsi="宋体" w:cs="宋体"/>
          <w:bCs/>
          <w:sz w:val="24"/>
        </w:rPr>
      </w:pPr>
      <w:r>
        <w:rPr>
          <w:rFonts w:hint="eastAsia" w:ascii="宋体" w:hAnsi="宋体" w:cs="宋体"/>
          <w:bCs/>
          <w:sz w:val="24"/>
        </w:rPr>
        <w:t xml:space="preserve">   日  期：</w:t>
      </w:r>
      <w:r>
        <w:rPr>
          <w:rFonts w:hint="eastAsia" w:ascii="宋体" w:hAnsi="宋体" w:cs="宋体"/>
          <w:bCs/>
          <w:sz w:val="24"/>
          <w:u w:val="single"/>
        </w:rPr>
        <w:t xml:space="preserve">      </w:t>
      </w:r>
      <w:r>
        <w:rPr>
          <w:rFonts w:hint="eastAsia" w:ascii="宋体" w:hAnsi="宋体" w:cs="宋体"/>
          <w:bCs/>
          <w:sz w:val="24"/>
        </w:rPr>
        <w:t>年</w:t>
      </w:r>
      <w:r>
        <w:rPr>
          <w:rFonts w:hint="eastAsia" w:ascii="宋体" w:hAnsi="宋体" w:cs="宋体"/>
          <w:bCs/>
          <w:sz w:val="24"/>
          <w:u w:val="single"/>
        </w:rPr>
        <w:t xml:space="preserve">     </w:t>
      </w:r>
      <w:r>
        <w:rPr>
          <w:rFonts w:hint="eastAsia" w:ascii="宋体" w:hAnsi="宋体" w:cs="宋体"/>
          <w:bCs/>
          <w:sz w:val="24"/>
        </w:rPr>
        <w:t>月</w:t>
      </w:r>
      <w:r>
        <w:rPr>
          <w:rFonts w:hint="eastAsia" w:ascii="宋体" w:hAnsi="宋体" w:cs="宋体"/>
          <w:bCs/>
          <w:sz w:val="24"/>
          <w:u w:val="single"/>
        </w:rPr>
        <w:t xml:space="preserve">     </w:t>
      </w:r>
      <w:r>
        <w:rPr>
          <w:rFonts w:hint="eastAsia" w:ascii="宋体" w:hAnsi="宋体" w:cs="宋体"/>
          <w:bCs/>
          <w:sz w:val="24"/>
        </w:rPr>
        <w:t>日</w:t>
      </w:r>
    </w:p>
    <w:p>
      <w:pPr>
        <w:pStyle w:val="21"/>
        <w:kinsoku w:val="0"/>
        <w:overflowPunct w:val="0"/>
        <w:ind w:firstLine="560"/>
        <w:rPr>
          <w:rFonts w:ascii="宋体" w:hAnsi="宋体" w:cs="宋体"/>
          <w:b/>
          <w:bCs/>
          <w:sz w:val="32"/>
          <w:szCs w:val="32"/>
        </w:rPr>
        <w:sectPr>
          <w:pgSz w:w="11910" w:h="16840"/>
          <w:pgMar w:top="1580" w:right="1020" w:bottom="1240" w:left="1020" w:header="0" w:footer="1044" w:gutter="0"/>
          <w:cols w:space="720" w:num="1"/>
        </w:sectPr>
      </w:pPr>
    </w:p>
    <w:p>
      <w:pPr>
        <w:pStyle w:val="8"/>
        <w:jc w:val="center"/>
        <w:rPr>
          <w:rFonts w:ascii="宋体" w:hAnsi="宋体" w:cs="宋体"/>
        </w:rPr>
      </w:pPr>
      <w:bookmarkStart w:id="73" w:name="二、法定代表人身份证明"/>
      <w:bookmarkEnd w:id="73"/>
      <w:r>
        <w:rPr>
          <w:rFonts w:hint="eastAsia" w:ascii="宋体" w:hAnsi="宋体" w:cs="宋体"/>
        </w:rPr>
        <w:t>2、投标函附录</w:t>
      </w:r>
    </w:p>
    <w:p>
      <w:pPr>
        <w:pStyle w:val="21"/>
        <w:kinsoku w:val="0"/>
        <w:overflowPunct w:val="0"/>
        <w:spacing w:before="5" w:beforeAutospacing="0"/>
        <w:ind w:firstLine="241"/>
        <w:rPr>
          <w:rFonts w:ascii="宋体" w:hAnsi="宋体" w:cs="宋体"/>
          <w:b/>
          <w:bCs/>
          <w:sz w:val="10"/>
          <w:szCs w:val="10"/>
        </w:rPr>
      </w:pPr>
      <w:r>
        <w:rPr>
          <w:rFonts w:hint="eastAsia" w:ascii="宋体" w:hAnsi="宋体" w:cs="宋体"/>
          <w:b/>
          <w:bCs/>
          <w:sz w:val="10"/>
          <w:szCs w:val="10"/>
        </w:rPr>
        <w:t xml:space="preserve"> </w:t>
      </w:r>
    </w:p>
    <w:tbl>
      <w:tblPr>
        <w:tblStyle w:val="46"/>
        <w:tblW w:w="0" w:type="auto"/>
        <w:tblInd w:w="403" w:type="dxa"/>
        <w:tblLayout w:type="fixed"/>
        <w:tblCellMar>
          <w:top w:w="0" w:type="dxa"/>
          <w:left w:w="0" w:type="dxa"/>
          <w:bottom w:w="0" w:type="dxa"/>
          <w:right w:w="0" w:type="dxa"/>
        </w:tblCellMar>
      </w:tblPr>
      <w:tblGrid>
        <w:gridCol w:w="3008"/>
        <w:gridCol w:w="6267"/>
      </w:tblGrid>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项目名称、标段</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投标范围</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投标有效期</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1345"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投标报价</w:t>
            </w:r>
          </w:p>
        </w:tc>
        <w:tc>
          <w:tcPr>
            <w:tcW w:w="6267" w:type="dxa"/>
            <w:tcBorders>
              <w:top w:val="single" w:color="000000" w:sz="4" w:space="0"/>
              <w:left w:val="nil"/>
              <w:bottom w:val="single" w:color="000000" w:sz="4" w:space="0"/>
              <w:right w:val="single" w:color="000000" w:sz="4" w:space="0"/>
            </w:tcBorders>
            <w:vAlign w:val="center"/>
          </w:tcPr>
          <w:p>
            <w:pPr>
              <w:pStyle w:val="66"/>
              <w:kinsoku w:val="0"/>
              <w:overflowPunct w:val="0"/>
              <w:spacing w:before="1"/>
              <w:ind w:left="107"/>
              <w:jc w:val="both"/>
              <w:rPr>
                <w:rFonts w:hAnsi="宋体"/>
                <w:u w:val="single"/>
              </w:rPr>
            </w:pPr>
            <w:r>
              <w:rPr>
                <w:rFonts w:hint="eastAsia" w:hAnsi="宋体"/>
              </w:rPr>
              <w:t>大写：</w:t>
            </w:r>
            <w:r>
              <w:rPr>
                <w:rFonts w:hint="eastAsia" w:hAnsi="宋体"/>
                <w:u w:val="single"/>
              </w:rPr>
              <w:t xml:space="preserve">                   </w:t>
            </w:r>
          </w:p>
          <w:p>
            <w:pPr>
              <w:pStyle w:val="66"/>
              <w:kinsoku w:val="0"/>
              <w:overflowPunct w:val="0"/>
              <w:spacing w:before="153"/>
              <w:ind w:left="107"/>
              <w:jc w:val="both"/>
              <w:rPr>
                <w:rFonts w:hAnsi="宋体"/>
              </w:rPr>
            </w:pPr>
            <w:r>
              <w:rPr>
                <w:rFonts w:hint="eastAsia" w:hAnsi="宋体"/>
              </w:rPr>
              <w:t>小写:</w:t>
            </w:r>
            <w:r>
              <w:rPr>
                <w:rFonts w:hint="eastAsia" w:hAnsi="宋体"/>
                <w:u w:val="single"/>
              </w:rPr>
              <w:t xml:space="preserve">                      </w:t>
            </w:r>
            <w:r>
              <w:rPr>
                <w:rFonts w:hint="eastAsia" w:hAnsi="宋体"/>
              </w:rPr>
              <w:tab/>
            </w: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供货期及安装</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9"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b/>
                <w:bCs/>
              </w:rPr>
            </w:pPr>
            <w:r>
              <w:rPr>
                <w:rFonts w:hint="eastAsia" w:hAnsi="宋体"/>
              </w:rPr>
              <w:t>质保期</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质量标准</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r>
        <w:tblPrEx>
          <w:tblCellMar>
            <w:top w:w="0" w:type="dxa"/>
            <w:left w:w="0" w:type="dxa"/>
            <w:bottom w:w="0" w:type="dxa"/>
            <w:right w:w="0" w:type="dxa"/>
          </w:tblCellMar>
        </w:tblPrEx>
        <w:trPr>
          <w:trHeight w:val="938" w:hRule="atLeast"/>
        </w:trPr>
        <w:tc>
          <w:tcPr>
            <w:tcW w:w="3008"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884" w:right="873"/>
              <w:jc w:val="center"/>
              <w:rPr>
                <w:rFonts w:hAnsi="宋体"/>
              </w:rPr>
            </w:pPr>
            <w:r>
              <w:rPr>
                <w:rFonts w:hint="eastAsia" w:hAnsi="宋体"/>
              </w:rPr>
              <w:t>备注</w:t>
            </w:r>
          </w:p>
        </w:tc>
        <w:tc>
          <w:tcPr>
            <w:tcW w:w="6267" w:type="dxa"/>
            <w:tcBorders>
              <w:top w:val="single" w:color="000000" w:sz="4" w:space="0"/>
              <w:left w:val="nil"/>
              <w:bottom w:val="single" w:color="000000" w:sz="4" w:space="0"/>
              <w:right w:val="single" w:color="000000" w:sz="4" w:space="0"/>
            </w:tcBorders>
          </w:tcPr>
          <w:p>
            <w:pPr>
              <w:pStyle w:val="66"/>
              <w:kinsoku w:val="0"/>
              <w:overflowPunct w:val="0"/>
              <w:rPr>
                <w:rFonts w:hAnsi="宋体"/>
              </w:rPr>
            </w:pPr>
          </w:p>
        </w:tc>
      </w:tr>
    </w:tbl>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spacing w:before="5" w:beforeAutospacing="0"/>
        <w:ind w:firstLine="462"/>
        <w:rPr>
          <w:rFonts w:ascii="宋体" w:hAnsi="宋体" w:cs="宋体"/>
          <w:b/>
          <w:bCs/>
          <w:sz w:val="21"/>
          <w:szCs w:val="21"/>
        </w:rPr>
      </w:pPr>
      <w:r>
        <w:rPr>
          <w:rFonts w:hint="eastAsia" w:ascii="宋体" w:hAnsi="宋体" w:cs="宋体"/>
          <w:b/>
          <w:bCs/>
          <w:sz w:val="21"/>
          <w:szCs w:val="21"/>
        </w:rPr>
        <w:t xml:space="preserve"> </w:t>
      </w:r>
    </w:p>
    <w:p>
      <w:pPr>
        <w:pStyle w:val="21"/>
        <w:kinsoku w:val="0"/>
        <w:overflowPunct w:val="0"/>
        <w:spacing w:line="420" w:lineRule="auto"/>
        <w:ind w:right="637" w:firstLine="2640" w:firstLineChars="1100"/>
        <w:rPr>
          <w:rFonts w:ascii="宋体" w:hAnsi="宋体" w:cs="宋体"/>
        </w:rPr>
      </w:pPr>
      <w:r>
        <w:rPr>
          <w:rFonts w:hint="eastAsia" w:ascii="宋体" w:hAnsi="宋体" w:cs="宋体"/>
        </w:rPr>
        <w:t xml:space="preserve">供应商：  </w:t>
      </w:r>
      <w:r>
        <w:rPr>
          <w:rFonts w:hint="eastAsia" w:ascii="宋体" w:hAnsi="宋体" w:cs="宋体"/>
          <w:u w:val="single" w:color="000000"/>
        </w:rPr>
        <w:tab/>
      </w:r>
      <w:r>
        <w:rPr>
          <w:rFonts w:hint="eastAsia" w:ascii="宋体" w:hAnsi="宋体" w:cs="宋体"/>
          <w:u w:val="single" w:color="000000"/>
        </w:rPr>
        <w:t xml:space="preserve">         </w:t>
      </w:r>
      <w:r>
        <w:rPr>
          <w:rFonts w:hint="eastAsia" w:ascii="宋体" w:hAnsi="宋体" w:cs="宋体"/>
        </w:rPr>
        <w:t>（电子签章）</w:t>
      </w:r>
    </w:p>
    <w:p>
      <w:pPr>
        <w:pStyle w:val="21"/>
        <w:kinsoku w:val="0"/>
        <w:overflowPunct w:val="0"/>
        <w:spacing w:line="420" w:lineRule="auto"/>
        <w:ind w:right="637" w:firstLine="2520" w:firstLineChars="1050"/>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w:t>
      </w:r>
      <w:r>
        <w:rPr>
          <w:rFonts w:hint="eastAsia" w:ascii="宋体" w:hAnsi="宋体" w:cs="宋体"/>
          <w:bCs/>
        </w:rPr>
        <w:t>签字或盖章</w:t>
      </w:r>
      <w:r>
        <w:rPr>
          <w:rFonts w:hint="eastAsia" w:ascii="宋体" w:hAnsi="宋体" w:cs="宋体"/>
        </w:rPr>
        <w:t xml:space="preserve">） </w:t>
      </w:r>
    </w:p>
    <w:p>
      <w:pPr>
        <w:pStyle w:val="21"/>
        <w:kinsoku w:val="0"/>
        <w:overflowPunct w:val="0"/>
        <w:spacing w:line="420" w:lineRule="auto"/>
        <w:ind w:left="3708" w:right="637" w:firstLine="640"/>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line="420" w:lineRule="auto"/>
        <w:ind w:left="3708" w:right="637" w:firstLine="640"/>
        <w:rPr>
          <w:rFonts w:ascii="宋体" w:hAnsi="宋体" w:cs="宋体"/>
        </w:rPr>
      </w:pPr>
      <w:r>
        <w:rPr>
          <w:rFonts w:hint="eastAsia" w:ascii="宋体" w:hAnsi="宋体" w:cs="宋体"/>
        </w:rPr>
        <w:t xml:space="preserve"> </w:t>
      </w:r>
    </w:p>
    <w:p>
      <w:pPr>
        <w:pStyle w:val="7"/>
        <w:jc w:val="center"/>
        <w:rPr>
          <w:rFonts w:ascii="宋体" w:hAnsi="宋体" w:cs="宋体"/>
        </w:rPr>
      </w:pPr>
      <w:bookmarkStart w:id="74" w:name="_Toc520389628"/>
      <w:bookmarkEnd w:id="74"/>
      <w:bookmarkStart w:id="75" w:name="_Toc391363049"/>
      <w:bookmarkEnd w:id="75"/>
      <w:r>
        <w:rPr>
          <w:rFonts w:hint="eastAsia" w:ascii="宋体" w:hAnsi="宋体" w:cs="宋体"/>
        </w:rPr>
        <w:t>二、分项报价明细表</w:t>
      </w:r>
    </w:p>
    <w:p>
      <w:pPr>
        <w:spacing w:line="460" w:lineRule="exact"/>
        <w:ind w:right="480" w:firstLine="330" w:firstLineChars="150"/>
        <w:jc w:val="right"/>
        <w:rPr>
          <w:rFonts w:ascii="宋体" w:hAnsi="宋体" w:cs="宋体"/>
          <w:sz w:val="22"/>
          <w:u w:val="single"/>
        </w:rPr>
      </w:pPr>
      <w:r>
        <w:rPr>
          <w:rFonts w:hint="eastAsia" w:ascii="宋体" w:hAnsi="宋体" w:cs="宋体"/>
          <w:sz w:val="22"/>
        </w:rPr>
        <w:t>金额单位：人民币元</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3"/>
        <w:gridCol w:w="1318"/>
        <w:gridCol w:w="810"/>
        <w:gridCol w:w="1140"/>
        <w:gridCol w:w="692"/>
        <w:gridCol w:w="870"/>
        <w:gridCol w:w="840"/>
        <w:gridCol w:w="1350"/>
        <w:gridCol w:w="8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6" w:hRule="exac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序号</w:t>
            </w: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货物名称</w:t>
            </w: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品牌</w:t>
            </w: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规格型号</w:t>
            </w: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单位</w:t>
            </w: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数量</w:t>
            </w: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单价</w:t>
            </w: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金额</w:t>
            </w: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ind w:firstLine="105" w:firstLineChars="50"/>
              <w:jc w:val="center"/>
              <w:rPr>
                <w:rFonts w:ascii="宋体" w:hAnsi="宋体" w:cs="宋体"/>
              </w:rPr>
            </w:pPr>
            <w:r>
              <w:rPr>
                <w:rFonts w:hint="eastAsia" w:ascii="宋体" w:hAnsi="宋体" w:cs="宋体"/>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18"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1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1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692"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7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4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1350"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c>
          <w:tcPr>
            <w:tcW w:w="837" w:type="dxa"/>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2001" w:type="dxa"/>
            <w:gridSpan w:val="2"/>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r>
              <w:rPr>
                <w:rFonts w:hint="eastAsia" w:ascii="宋体" w:hAnsi="宋体" w:cs="宋体"/>
              </w:rPr>
              <w:t>总价</w:t>
            </w:r>
          </w:p>
        </w:tc>
        <w:tc>
          <w:tcPr>
            <w:tcW w:w="6539" w:type="dxa"/>
            <w:gridSpan w:val="7"/>
            <w:tcBorders>
              <w:top w:val="single" w:color="auto" w:sz="4" w:space="0"/>
              <w:left w:val="single" w:color="auto" w:sz="4" w:space="0"/>
              <w:bottom w:val="single" w:color="auto" w:sz="4" w:space="0"/>
              <w:right w:val="single" w:color="auto" w:sz="4" w:space="0"/>
            </w:tcBorders>
            <w:vAlign w:val="center"/>
          </w:tcPr>
          <w:p>
            <w:pPr>
              <w:snapToGrid w:val="0"/>
              <w:spacing w:line="400" w:lineRule="exact"/>
              <w:jc w:val="center"/>
              <w:rPr>
                <w:rFonts w:ascii="宋体" w:hAnsi="宋体" w:cs="宋体"/>
              </w:rPr>
            </w:pPr>
          </w:p>
        </w:tc>
      </w:tr>
    </w:tbl>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sz w:val="24"/>
        </w:rPr>
      </w:pPr>
    </w:p>
    <w:p>
      <w:pPr>
        <w:spacing w:line="400" w:lineRule="exact"/>
        <w:ind w:left="840" w:hanging="840" w:hangingChars="350"/>
        <w:rPr>
          <w:rFonts w:ascii="宋体" w:hAnsi="宋体" w:cs="宋体"/>
          <w:bCs/>
          <w:sz w:val="24"/>
        </w:rPr>
      </w:pPr>
      <w:r>
        <w:rPr>
          <w:rFonts w:hint="eastAsia" w:ascii="宋体" w:hAnsi="宋体" w:cs="宋体"/>
          <w:sz w:val="24"/>
        </w:rPr>
        <w:t>注：1、供应商必须按“</w:t>
      </w:r>
      <w:r>
        <w:rPr>
          <w:rFonts w:hint="eastAsia" w:ascii="宋体" w:hAnsi="宋体" w:cs="宋体"/>
          <w:bCs/>
          <w:sz w:val="24"/>
        </w:rPr>
        <w:t>分项报价明细表”的格式</w:t>
      </w:r>
      <w:r>
        <w:rPr>
          <w:rFonts w:hint="eastAsia" w:ascii="宋体" w:hAnsi="宋体" w:cs="宋体"/>
          <w:sz w:val="24"/>
        </w:rPr>
        <w:t>详细报出投标总价的各个组成部分的报价，否则作无效投标处理。</w:t>
      </w:r>
    </w:p>
    <w:p>
      <w:pPr>
        <w:spacing w:line="400" w:lineRule="exact"/>
        <w:jc w:val="left"/>
        <w:rPr>
          <w:rFonts w:ascii="宋体" w:hAnsi="宋体" w:cs="宋体"/>
          <w:b/>
          <w:bCs/>
          <w:sz w:val="24"/>
        </w:rPr>
      </w:pPr>
      <w:r>
        <w:rPr>
          <w:rFonts w:hint="eastAsia" w:ascii="宋体" w:hAnsi="宋体" w:cs="宋体"/>
          <w:bCs/>
          <w:sz w:val="24"/>
        </w:rPr>
        <w:t xml:space="preserve">    2、</w:t>
      </w:r>
      <w:r>
        <w:rPr>
          <w:rFonts w:hint="eastAsia" w:ascii="宋体" w:hAnsi="宋体" w:cs="宋体"/>
          <w:sz w:val="24"/>
        </w:rPr>
        <w:t>“</w:t>
      </w:r>
      <w:r>
        <w:rPr>
          <w:rFonts w:hint="eastAsia" w:ascii="宋体" w:hAnsi="宋体" w:cs="宋体"/>
          <w:bCs/>
          <w:sz w:val="24"/>
        </w:rPr>
        <w:t>分项报价明细表”各分项报价合计应当与“投标函附录”报价合计相等。</w:t>
      </w:r>
    </w:p>
    <w:p>
      <w:pPr>
        <w:pStyle w:val="21"/>
        <w:kinsoku w:val="0"/>
        <w:wordWrap w:val="0"/>
        <w:overflowPunct w:val="0"/>
        <w:spacing w:line="420" w:lineRule="auto"/>
        <w:ind w:right="637"/>
        <w:jc w:val="right"/>
        <w:rPr>
          <w:rFonts w:ascii="宋体" w:hAnsi="宋体" w:cs="宋体"/>
        </w:rPr>
      </w:pPr>
      <w:r>
        <w:rPr>
          <w:rFonts w:hint="eastAsia" w:ascii="宋体" w:hAnsi="宋体" w:cs="宋体"/>
        </w:rPr>
        <w:t>供应商：</w:t>
      </w:r>
      <w:r>
        <w:rPr>
          <w:rFonts w:hint="eastAsia" w:ascii="宋体" w:hAnsi="宋体" w:cs="宋体"/>
          <w:u w:val="single" w:color="000000"/>
        </w:rPr>
        <w:t xml:space="preserve">              </w:t>
      </w:r>
      <w:r>
        <w:rPr>
          <w:rFonts w:hint="eastAsia" w:ascii="宋体" w:hAnsi="宋体" w:cs="宋体"/>
        </w:rPr>
        <w:t xml:space="preserve">（电子签章） </w:t>
      </w:r>
    </w:p>
    <w:p>
      <w:pPr>
        <w:pStyle w:val="21"/>
        <w:kinsoku w:val="0"/>
        <w:overflowPunct w:val="0"/>
        <w:spacing w:line="420" w:lineRule="auto"/>
        <w:ind w:right="637"/>
        <w:jc w:val="right"/>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w:t>
      </w:r>
      <w:r>
        <w:rPr>
          <w:rFonts w:hint="eastAsia" w:ascii="宋体" w:hAnsi="宋体" w:cs="宋体"/>
          <w:bCs/>
        </w:rPr>
        <w:t>签字或盖章</w:t>
      </w:r>
      <w:r>
        <w:rPr>
          <w:rFonts w:hint="eastAsia" w:ascii="宋体" w:hAnsi="宋体" w:cs="宋体"/>
        </w:rPr>
        <w:t xml:space="preserve">） </w:t>
      </w:r>
    </w:p>
    <w:p>
      <w:pPr>
        <w:pStyle w:val="21"/>
        <w:kinsoku w:val="0"/>
        <w:overflowPunct w:val="0"/>
        <w:spacing w:line="420" w:lineRule="auto"/>
        <w:ind w:left="3708" w:right="637" w:firstLine="1447" w:firstLineChars="603"/>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line="420" w:lineRule="auto"/>
        <w:ind w:left="3708" w:right="637" w:firstLine="640"/>
        <w:rPr>
          <w:rFonts w:ascii="宋体" w:hAnsi="宋体" w:cs="宋体"/>
        </w:rPr>
      </w:pPr>
    </w:p>
    <w:p>
      <w:pPr>
        <w:pStyle w:val="21"/>
        <w:kinsoku w:val="0"/>
        <w:overflowPunct w:val="0"/>
        <w:spacing w:line="420" w:lineRule="auto"/>
        <w:ind w:left="3708" w:right="637" w:firstLine="640"/>
        <w:rPr>
          <w:rFonts w:ascii="宋体" w:hAnsi="宋体" w:cs="宋体"/>
        </w:rPr>
      </w:pPr>
    </w:p>
    <w:p>
      <w:pPr>
        <w:pStyle w:val="7"/>
        <w:jc w:val="center"/>
        <w:rPr>
          <w:rFonts w:ascii="宋体" w:hAnsi="宋体" w:cs="宋体"/>
        </w:rPr>
      </w:pPr>
      <w:r>
        <w:rPr>
          <w:rFonts w:hint="eastAsia" w:ascii="宋体" w:hAnsi="宋体" w:cs="宋体"/>
        </w:rPr>
        <w:t>三、法定代表人身份证明</w:t>
      </w:r>
    </w:p>
    <w:p>
      <w:pPr>
        <w:jc w:val="right"/>
        <w:rPr>
          <w:rFonts w:ascii="宋体" w:hAnsi="宋体" w:cs="宋体"/>
          <w:sz w:val="24"/>
          <w:szCs w:val="24"/>
        </w:rPr>
      </w:pPr>
      <w:r>
        <w:rPr>
          <w:rFonts w:hint="eastAsia" w:ascii="宋体" w:hAnsi="宋体" w:cs="宋体"/>
          <w:sz w:val="24"/>
          <w:szCs w:val="24"/>
        </w:rPr>
        <w:t>（注：适用于法人直接参与投标）</w:t>
      </w:r>
    </w:p>
    <w:p>
      <w:pPr>
        <w:pStyle w:val="44"/>
        <w:ind w:firstLine="240"/>
        <w:rPr>
          <w:rFonts w:ascii="宋体" w:hAnsi="宋体" w:cs="宋体"/>
        </w:rPr>
      </w:pPr>
    </w:p>
    <w:p>
      <w:pPr>
        <w:rPr>
          <w:rFonts w:ascii="宋体" w:hAnsi="宋体" w:cs="宋体"/>
          <w:sz w:val="24"/>
          <w:szCs w:val="24"/>
        </w:rPr>
      </w:pPr>
    </w:p>
    <w:p>
      <w:pPr>
        <w:pStyle w:val="44"/>
        <w:ind w:firstLine="240"/>
        <w:rPr>
          <w:rFonts w:ascii="宋体" w:hAnsi="宋体" w:cs="宋体"/>
        </w:rPr>
      </w:pPr>
    </w:p>
    <w:p>
      <w:pPr>
        <w:adjustRightInd w:val="0"/>
        <w:snapToGrid w:val="0"/>
        <w:spacing w:line="360" w:lineRule="auto"/>
        <w:ind w:firstLine="523" w:firstLineChars="218"/>
        <w:rPr>
          <w:rFonts w:ascii="宋体" w:hAnsi="宋体" w:cs="宋体"/>
          <w:sz w:val="24"/>
          <w:szCs w:val="24"/>
        </w:rPr>
      </w:pPr>
      <w:bookmarkStart w:id="76" w:name="_Toc520389629"/>
      <w:bookmarkEnd w:id="76"/>
      <w:r>
        <w:rPr>
          <w:rFonts w:hint="eastAsia" w:ascii="宋体" w:hAnsi="宋体" w:cs="宋体"/>
          <w:sz w:val="24"/>
          <w:szCs w:val="24"/>
        </w:rPr>
        <w:t>供应商名称：</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单位性质：</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地址：</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成立时间：</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adjustRightInd w:val="0"/>
        <w:snapToGrid w:val="0"/>
        <w:spacing w:line="360" w:lineRule="auto"/>
        <w:ind w:firstLine="523" w:firstLineChars="218"/>
        <w:rPr>
          <w:rFonts w:ascii="宋体" w:hAnsi="宋体" w:cs="宋体"/>
          <w:sz w:val="24"/>
          <w:szCs w:val="24"/>
          <w:u w:val="single"/>
        </w:rPr>
      </w:pPr>
      <w:r>
        <w:rPr>
          <w:rFonts w:hint="eastAsia" w:ascii="宋体" w:hAnsi="宋体" w:cs="宋体"/>
          <w:sz w:val="24"/>
          <w:szCs w:val="24"/>
        </w:rPr>
        <w:t>经营期限：</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姓名：</w:t>
      </w:r>
      <w:r>
        <w:rPr>
          <w:rFonts w:hint="eastAsia" w:ascii="宋体" w:hAnsi="宋体" w:cs="宋体"/>
          <w:sz w:val="24"/>
          <w:szCs w:val="24"/>
          <w:u w:val="single"/>
        </w:rPr>
        <w:t xml:space="preserve">      </w:t>
      </w:r>
      <w:r>
        <w:rPr>
          <w:rFonts w:hint="eastAsia" w:ascii="宋体" w:hAnsi="宋体" w:cs="宋体"/>
          <w:sz w:val="24"/>
          <w:szCs w:val="24"/>
        </w:rPr>
        <w:t xml:space="preserve"> 性别：</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年龄：</w:t>
      </w:r>
      <w:r>
        <w:rPr>
          <w:rFonts w:hint="eastAsia" w:ascii="宋体" w:hAnsi="宋体" w:cs="宋体"/>
          <w:sz w:val="24"/>
          <w:szCs w:val="24"/>
          <w:u w:val="single"/>
        </w:rPr>
        <w:t xml:space="preserve"> </w:t>
      </w:r>
      <w:r>
        <w:rPr>
          <w:rFonts w:hint="eastAsia" w:ascii="宋体" w:hAnsi="宋体" w:cs="宋体"/>
          <w:sz w:val="24"/>
          <w:szCs w:val="24"/>
          <w:u w:val="single"/>
        </w:rPr>
        <w:tab/>
      </w:r>
      <w:r>
        <w:rPr>
          <w:rFonts w:hint="eastAsia" w:ascii="宋体" w:hAnsi="宋体" w:cs="宋体"/>
          <w:sz w:val="24"/>
          <w:szCs w:val="24"/>
        </w:rPr>
        <w:t>职务：</w:t>
      </w:r>
      <w:r>
        <w:rPr>
          <w:rFonts w:hint="eastAsia" w:ascii="宋体" w:hAnsi="宋体" w:cs="宋体"/>
          <w:sz w:val="24"/>
          <w:szCs w:val="24"/>
          <w:u w:val="single"/>
        </w:rPr>
        <w:t xml:space="preserve">      </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系</w:t>
      </w:r>
      <w:r>
        <w:rPr>
          <w:rFonts w:hint="eastAsia" w:ascii="宋体" w:hAnsi="宋体" w:cs="宋体"/>
          <w:sz w:val="24"/>
          <w:szCs w:val="24"/>
          <w:u w:val="single"/>
        </w:rPr>
        <w:t xml:space="preserve">                  </w:t>
      </w:r>
      <w:r>
        <w:rPr>
          <w:rFonts w:hint="eastAsia" w:ascii="宋体" w:hAnsi="宋体" w:cs="宋体"/>
          <w:sz w:val="24"/>
          <w:szCs w:val="24"/>
        </w:rPr>
        <w:t>（供应商名称）的法定代表人。</w:t>
      </w:r>
    </w:p>
    <w:p>
      <w:pPr>
        <w:adjustRightInd w:val="0"/>
        <w:snapToGrid w:val="0"/>
        <w:spacing w:line="360" w:lineRule="auto"/>
        <w:ind w:firstLine="523" w:firstLineChars="218"/>
        <w:rPr>
          <w:rFonts w:ascii="宋体" w:hAnsi="宋体" w:cs="宋体"/>
          <w:sz w:val="24"/>
          <w:szCs w:val="24"/>
        </w:rPr>
      </w:pPr>
      <w:r>
        <w:rPr>
          <w:rFonts w:hint="eastAsia" w:ascii="宋体" w:hAnsi="宋体" w:cs="宋体"/>
          <w:sz w:val="24"/>
          <w:szCs w:val="24"/>
        </w:rPr>
        <w:t>特此证明。</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right"/>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jc w:val="right"/>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jc w:val="righ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widowControl/>
        <w:jc w:val="left"/>
        <w:rPr>
          <w:rFonts w:ascii="宋体" w:hAnsi="宋体" w:cs="宋体"/>
          <w:b/>
          <w:bCs/>
          <w:kern w:val="0"/>
          <w:sz w:val="24"/>
          <w:szCs w:val="24"/>
        </w:rPr>
        <w:sectPr>
          <w:pgSz w:w="11906" w:h="16838"/>
          <w:pgMar w:top="1418" w:right="1247" w:bottom="1361" w:left="1418" w:header="720" w:footer="720" w:gutter="0"/>
          <w:cols w:space="720" w:num="1"/>
          <w:docGrid w:type="lines" w:linePitch="312" w:charSpace="0"/>
        </w:sectPr>
      </w:pPr>
    </w:p>
    <w:p>
      <w:pPr>
        <w:pStyle w:val="7"/>
        <w:jc w:val="center"/>
        <w:rPr>
          <w:rFonts w:ascii="宋体" w:hAnsi="宋体" w:cs="宋体"/>
        </w:rPr>
      </w:pPr>
      <w:bookmarkStart w:id="77" w:name="_Toc391363051"/>
      <w:bookmarkEnd w:id="77"/>
      <w:bookmarkStart w:id="78" w:name="_Toc202941490"/>
      <w:bookmarkEnd w:id="78"/>
      <w:r>
        <w:rPr>
          <w:rFonts w:hint="eastAsia" w:ascii="宋体" w:hAnsi="宋体" w:cs="宋体"/>
        </w:rPr>
        <w:t>四、授权委托书</w:t>
      </w:r>
    </w:p>
    <w:p>
      <w:pPr>
        <w:jc w:val="right"/>
        <w:rPr>
          <w:rFonts w:ascii="宋体" w:hAnsi="宋体" w:cs="宋体"/>
          <w:sz w:val="24"/>
          <w:szCs w:val="24"/>
        </w:rPr>
      </w:pPr>
      <w:r>
        <w:rPr>
          <w:rFonts w:hint="eastAsia" w:ascii="宋体" w:hAnsi="宋体" w:cs="宋体"/>
          <w:sz w:val="24"/>
          <w:szCs w:val="24"/>
        </w:rPr>
        <w:t>（注：适用于授权委托人投标）</w:t>
      </w:r>
    </w:p>
    <w:p>
      <w:pPr>
        <w:adjustRightInd w:val="0"/>
        <w:snapToGrid w:val="0"/>
        <w:spacing w:line="360" w:lineRule="auto"/>
        <w:ind w:firstLine="480" w:firstLineChars="200"/>
        <w:rPr>
          <w:rFonts w:ascii="宋体" w:hAnsi="宋体" w:cs="宋体"/>
          <w:sz w:val="24"/>
          <w:szCs w:val="24"/>
        </w:rPr>
      </w:pP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本人</w:t>
      </w:r>
      <w:r>
        <w:rPr>
          <w:rFonts w:hint="eastAsia" w:ascii="宋体" w:hAnsi="宋体" w:cs="宋体"/>
          <w:sz w:val="24"/>
          <w:szCs w:val="24"/>
          <w:u w:val="single"/>
        </w:rPr>
        <w:t xml:space="preserve">       </w:t>
      </w:r>
      <w:r>
        <w:rPr>
          <w:rFonts w:hint="eastAsia" w:ascii="宋体" w:hAnsi="宋体" w:cs="宋体"/>
          <w:sz w:val="24"/>
          <w:szCs w:val="24"/>
        </w:rPr>
        <w:t>（姓名）系</w:t>
      </w:r>
      <w:r>
        <w:rPr>
          <w:rFonts w:hint="eastAsia" w:ascii="宋体" w:hAnsi="宋体" w:cs="宋体"/>
          <w:sz w:val="24"/>
          <w:szCs w:val="24"/>
          <w:u w:val="single"/>
        </w:rPr>
        <w:t xml:space="preserve">            </w:t>
      </w:r>
      <w:r>
        <w:rPr>
          <w:rFonts w:hint="eastAsia" w:ascii="宋体" w:hAnsi="宋体" w:cs="宋体"/>
          <w:sz w:val="24"/>
          <w:szCs w:val="24"/>
        </w:rPr>
        <w:t>（供应商名称）的法定代表人，现委托</w:t>
      </w:r>
      <w:r>
        <w:rPr>
          <w:rFonts w:hint="eastAsia" w:ascii="宋体" w:hAnsi="宋体" w:cs="宋体"/>
          <w:sz w:val="24"/>
          <w:szCs w:val="24"/>
          <w:u w:val="single"/>
        </w:rPr>
        <w:t xml:space="preserve">      </w:t>
      </w:r>
      <w:r>
        <w:rPr>
          <w:rFonts w:hint="eastAsia" w:ascii="宋体" w:hAnsi="宋体" w:cs="宋体"/>
          <w:sz w:val="24"/>
          <w:szCs w:val="24"/>
        </w:rPr>
        <w:t>（姓名）为我方代理人。代理人根据授权，以我方名义签署、澄清、说明、补正、递交、撤回、 修改</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（项目名称、标段）投标文件、签订合同和处理有关事宜，其法律后果由我方承担。</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委托期限：</w:t>
      </w:r>
      <w:r>
        <w:rPr>
          <w:rFonts w:hint="eastAsia" w:ascii="宋体" w:hAnsi="宋体" w:cs="宋体"/>
          <w:sz w:val="24"/>
          <w:szCs w:val="24"/>
          <w:u w:val="single"/>
        </w:rPr>
        <w:t xml:space="preserve">                 </w:t>
      </w:r>
      <w:r>
        <w:rPr>
          <w:rFonts w:hint="eastAsia" w:ascii="宋体" w:hAnsi="宋体" w:cs="宋体"/>
          <w:sz w:val="24"/>
          <w:szCs w:val="24"/>
        </w:rPr>
        <w:t xml:space="preserve">。 代理人无转委托权。 </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附：法定代表人身份证和授权委托人身份证</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供应商：</w:t>
      </w:r>
      <w:r>
        <w:rPr>
          <w:rFonts w:hint="eastAsia" w:ascii="宋体" w:hAnsi="宋体" w:cs="宋体"/>
          <w:sz w:val="24"/>
          <w:szCs w:val="24"/>
          <w:u w:val="single"/>
        </w:rPr>
        <w:t xml:space="preserve">                </w:t>
      </w:r>
      <w:r>
        <w:rPr>
          <w:rFonts w:hint="eastAsia" w:ascii="宋体" w:hAnsi="宋体" w:cs="宋体"/>
          <w:sz w:val="24"/>
          <w:szCs w:val="24"/>
        </w:rPr>
        <w:t>（电子签章）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法定代表人：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委托代理人：</w:t>
      </w:r>
      <w:r>
        <w:rPr>
          <w:rFonts w:hint="eastAsia" w:ascii="宋体" w:hAnsi="宋体" w:cs="宋体"/>
          <w:sz w:val="24"/>
          <w:szCs w:val="24"/>
          <w:u w:val="single"/>
        </w:rPr>
        <w:t xml:space="preserve">                </w:t>
      </w:r>
      <w:r>
        <w:rPr>
          <w:rFonts w:hint="eastAsia" w:ascii="宋体" w:hAnsi="宋体" w:cs="宋体"/>
          <w:sz w:val="24"/>
          <w:szCs w:val="24"/>
        </w:rPr>
        <w:t>（签字或盖章）</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rPr>
        <w:t>身份证号码：</w:t>
      </w:r>
      <w:r>
        <w:rPr>
          <w:rFonts w:hint="eastAsia" w:ascii="宋体" w:hAnsi="宋体" w:cs="宋体"/>
          <w:sz w:val="24"/>
          <w:szCs w:val="24"/>
          <w:u w:val="single"/>
        </w:rPr>
        <w:t xml:space="preserve">                        </w:t>
      </w:r>
    </w:p>
    <w:p>
      <w:pPr>
        <w:adjustRightInd w:val="0"/>
        <w:snapToGrid w:val="0"/>
        <w:spacing w:line="360" w:lineRule="auto"/>
        <w:ind w:firstLine="628" w:firstLineChars="262"/>
        <w:rPr>
          <w:rFonts w:ascii="宋体" w:hAnsi="宋体" w:cs="宋体"/>
          <w:sz w:val="24"/>
          <w:szCs w:val="24"/>
        </w:rPr>
      </w:pPr>
      <w:r>
        <w:rPr>
          <w:rFonts w:hint="eastAsia" w:ascii="宋体" w:hAnsi="宋体" w:cs="宋体"/>
          <w:sz w:val="24"/>
          <w:szCs w:val="24"/>
          <w:u w:val="single"/>
        </w:rPr>
        <w:tab/>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pPr>
        <w:pStyle w:val="7"/>
        <w:jc w:val="center"/>
        <w:rPr>
          <w:rFonts w:ascii="宋体" w:hAnsi="宋体" w:cs="宋体"/>
        </w:rPr>
      </w:pPr>
      <w:bookmarkStart w:id="79" w:name="_Toc391363052"/>
      <w:bookmarkEnd w:id="79"/>
      <w:r>
        <w:rPr>
          <w:rFonts w:hint="eastAsia" w:ascii="宋体" w:hAnsi="宋体" w:cs="宋体"/>
          <w:b w:val="0"/>
          <w:bCs w:val="0"/>
          <w:i/>
          <w:iCs/>
          <w:sz w:val="24"/>
          <w:szCs w:val="24"/>
        </w:rPr>
        <w:br w:type="page"/>
      </w:r>
      <w:bookmarkStart w:id="80" w:name="_Toc520389631"/>
      <w:bookmarkEnd w:id="80"/>
      <w:r>
        <w:rPr>
          <w:rFonts w:hint="eastAsia" w:ascii="宋体" w:hAnsi="宋体" w:cs="宋体"/>
        </w:rPr>
        <w:t>五、技术部分</w:t>
      </w:r>
    </w:p>
    <w:p>
      <w:pPr>
        <w:pStyle w:val="8"/>
        <w:jc w:val="center"/>
        <w:rPr>
          <w:rFonts w:ascii="宋体" w:hAnsi="宋体" w:cs="宋体"/>
        </w:rPr>
      </w:pPr>
      <w:r>
        <w:rPr>
          <w:rFonts w:hint="eastAsia" w:ascii="宋体" w:hAnsi="宋体" w:cs="宋体"/>
        </w:rPr>
        <w:t>技术规格响应/偏离表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1635"/>
        <w:gridCol w:w="1634"/>
        <w:gridCol w:w="1635"/>
        <w:gridCol w:w="2180"/>
        <w:gridCol w:w="1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6"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序号</w:t>
            </w: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货物名称</w:t>
            </w: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招标规格</w:t>
            </w: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投标规格</w:t>
            </w: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偏离情况说明</w:t>
            </w: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925" w:type="dxa"/>
            <w:tcBorders>
              <w:top w:val="single" w:color="auto" w:sz="4" w:space="0"/>
              <w:left w:val="single" w:color="auto" w:sz="4" w:space="0"/>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4"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635"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218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c>
          <w:tcPr>
            <w:tcW w:w="1270" w:type="dxa"/>
            <w:tcBorders>
              <w:top w:val="single" w:color="auto" w:sz="4" w:space="0"/>
              <w:left w:val="nil"/>
              <w:bottom w:val="single" w:color="auto" w:sz="4" w:space="0"/>
              <w:right w:val="single" w:color="auto" w:sz="4" w:space="0"/>
            </w:tcBorders>
            <w:vAlign w:val="center"/>
          </w:tcPr>
          <w:p>
            <w:pPr>
              <w:spacing w:line="432" w:lineRule="auto"/>
              <w:jc w:val="center"/>
              <w:rPr>
                <w:rFonts w:ascii="宋体" w:hAnsi="宋体" w:cs="宋体"/>
                <w:sz w:val="24"/>
                <w:szCs w:val="24"/>
              </w:rPr>
            </w:pPr>
          </w:p>
        </w:tc>
      </w:tr>
    </w:tbl>
    <w:p>
      <w:pPr>
        <w:spacing w:line="580" w:lineRule="exact"/>
        <w:rPr>
          <w:rFonts w:ascii="宋体" w:hAnsi="宋体" w:cs="宋体"/>
          <w:spacing w:val="-4"/>
          <w:sz w:val="24"/>
          <w:szCs w:val="24"/>
        </w:rPr>
      </w:pPr>
      <w:r>
        <w:rPr>
          <w:rFonts w:hint="eastAsia" w:ascii="宋体" w:hAnsi="宋体" w:cs="宋体"/>
          <w:spacing w:val="-4"/>
          <w:sz w:val="24"/>
          <w:szCs w:val="24"/>
        </w:rPr>
        <w:t>供应商：</w:t>
      </w:r>
      <w:r>
        <w:rPr>
          <w:rFonts w:hint="eastAsia" w:ascii="宋体" w:hAnsi="宋体" w:cs="宋体"/>
          <w:spacing w:val="-4"/>
          <w:sz w:val="24"/>
          <w:szCs w:val="24"/>
          <w:u w:val="single"/>
        </w:rPr>
        <w:t xml:space="preserve">                    </w:t>
      </w:r>
      <w:r>
        <w:rPr>
          <w:rFonts w:hint="eastAsia" w:ascii="宋体" w:hAnsi="宋体" w:cs="宋体"/>
          <w:spacing w:val="-4"/>
          <w:sz w:val="24"/>
          <w:szCs w:val="24"/>
        </w:rPr>
        <w:t>（</w:t>
      </w:r>
      <w:r>
        <w:rPr>
          <w:rFonts w:hint="eastAsia" w:ascii="宋体" w:hAnsi="宋体" w:cs="宋体"/>
          <w:sz w:val="24"/>
          <w:szCs w:val="24"/>
        </w:rPr>
        <w:t>电子签章</w:t>
      </w:r>
      <w:r>
        <w:rPr>
          <w:rFonts w:hint="eastAsia" w:ascii="宋体" w:hAnsi="宋体" w:cs="宋体"/>
          <w:spacing w:val="-4"/>
          <w:sz w:val="24"/>
          <w:szCs w:val="24"/>
        </w:rPr>
        <w:t>）</w:t>
      </w:r>
    </w:p>
    <w:p>
      <w:pPr>
        <w:spacing w:line="580" w:lineRule="exact"/>
        <w:rPr>
          <w:rFonts w:ascii="宋体" w:hAnsi="宋体" w:cs="宋体"/>
          <w:spacing w:val="-4"/>
          <w:sz w:val="24"/>
          <w:szCs w:val="24"/>
        </w:rPr>
      </w:pPr>
      <w:r>
        <w:rPr>
          <w:rFonts w:hint="eastAsia" w:ascii="宋体" w:hAnsi="宋体" w:cs="宋体"/>
          <w:spacing w:val="-4"/>
          <w:sz w:val="24"/>
          <w:szCs w:val="24"/>
        </w:rPr>
        <w:t>法定代表人或其委托代理人：</w:t>
      </w:r>
      <w:r>
        <w:rPr>
          <w:rFonts w:hint="eastAsia" w:ascii="宋体" w:hAnsi="宋体" w:cs="宋体"/>
          <w:spacing w:val="-4"/>
          <w:sz w:val="24"/>
          <w:szCs w:val="24"/>
          <w:u w:val="single"/>
        </w:rPr>
        <w:t xml:space="preserve">                    </w:t>
      </w:r>
      <w:r>
        <w:rPr>
          <w:rFonts w:hint="eastAsia" w:ascii="宋体" w:hAnsi="宋体" w:cs="宋体"/>
          <w:spacing w:val="-4"/>
          <w:sz w:val="24"/>
          <w:szCs w:val="24"/>
        </w:rPr>
        <w:t>（签字或盖章）</w:t>
      </w:r>
    </w:p>
    <w:p>
      <w:pPr>
        <w:spacing w:line="580" w:lineRule="exact"/>
        <w:ind w:firstLine="4176" w:firstLineChars="1800"/>
        <w:rPr>
          <w:rFonts w:ascii="宋体" w:hAnsi="宋体" w:cs="宋体"/>
          <w:spacing w:val="-4"/>
          <w:sz w:val="24"/>
          <w:szCs w:val="24"/>
        </w:rPr>
      </w:pPr>
      <w:r>
        <w:rPr>
          <w:rFonts w:hint="eastAsia" w:ascii="宋体" w:hAnsi="宋体" w:cs="宋体"/>
          <w:spacing w:val="-4"/>
          <w:sz w:val="24"/>
          <w:szCs w:val="24"/>
        </w:rPr>
        <w:t xml:space="preserve"> </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spacing w:line="432" w:lineRule="auto"/>
        <w:rPr>
          <w:rFonts w:ascii="宋体" w:hAnsi="宋体" w:cs="宋体"/>
          <w:sz w:val="24"/>
          <w:szCs w:val="24"/>
        </w:rPr>
      </w:pPr>
      <w:r>
        <w:rPr>
          <w:rFonts w:hint="eastAsia" w:ascii="宋体" w:hAnsi="宋体" w:cs="宋体"/>
          <w:sz w:val="24"/>
          <w:szCs w:val="24"/>
        </w:rPr>
        <w:t>注：1.响应/偏离内容应根据招标文件中的技术规格条款逐条对应填写。</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pStyle w:val="21"/>
        <w:kinsoku w:val="0"/>
        <w:overflowPunct w:val="0"/>
        <w:ind w:firstLine="602"/>
        <w:rPr>
          <w:rFonts w:ascii="宋体" w:hAnsi="宋体" w:cs="宋体"/>
          <w:b/>
          <w:bCs/>
          <w:sz w:val="28"/>
          <w:szCs w:val="28"/>
        </w:rPr>
      </w:pPr>
      <w:r>
        <w:rPr>
          <w:rFonts w:hint="eastAsia" w:ascii="宋体" w:hAnsi="宋体" w:cs="宋体"/>
          <w:b/>
          <w:bCs/>
          <w:sz w:val="28"/>
          <w:szCs w:val="28"/>
        </w:rPr>
        <w:t xml:space="preserve"> </w:t>
      </w:r>
    </w:p>
    <w:p>
      <w:pPr>
        <w:widowControl/>
        <w:jc w:val="left"/>
        <w:rPr>
          <w:rFonts w:ascii="宋体" w:hAnsi="宋体" w:cs="宋体"/>
          <w:b/>
          <w:bCs/>
          <w:kern w:val="0"/>
          <w:sz w:val="32"/>
          <w:szCs w:val="32"/>
        </w:rPr>
      </w:pPr>
    </w:p>
    <w:p>
      <w:pPr>
        <w:pStyle w:val="7"/>
        <w:jc w:val="center"/>
        <w:rPr>
          <w:rFonts w:ascii="宋体" w:hAnsi="宋体" w:cs="宋体"/>
        </w:rPr>
      </w:pPr>
      <w:r>
        <w:rPr>
          <w:rFonts w:hint="eastAsia" w:ascii="宋体" w:hAnsi="宋体" w:cs="宋体"/>
        </w:rPr>
        <w:t>六、资格审查资料</w:t>
      </w:r>
    </w:p>
    <w:p>
      <w:pPr>
        <w:pStyle w:val="8"/>
        <w:jc w:val="center"/>
        <w:rPr>
          <w:rFonts w:ascii="宋体" w:hAnsi="宋体" w:cs="宋体"/>
        </w:rPr>
      </w:pPr>
      <w:r>
        <w:rPr>
          <w:rFonts w:hint="eastAsia" w:ascii="宋体" w:hAnsi="宋体" w:cs="宋体"/>
        </w:rPr>
        <w:t xml:space="preserve"> 1、企业基本信息表</w:t>
      </w:r>
    </w:p>
    <w:p>
      <w:pPr>
        <w:pStyle w:val="21"/>
        <w:kinsoku w:val="0"/>
        <w:overflowPunct w:val="0"/>
        <w:spacing w:before="3" w:beforeAutospacing="0" w:after="1"/>
        <w:ind w:firstLine="241"/>
        <w:rPr>
          <w:rFonts w:ascii="宋体" w:hAnsi="宋体" w:cs="宋体"/>
          <w:b/>
          <w:bCs/>
          <w:sz w:val="10"/>
          <w:szCs w:val="10"/>
        </w:rPr>
      </w:pPr>
      <w:r>
        <w:rPr>
          <w:rFonts w:hint="eastAsia" w:ascii="宋体" w:hAnsi="宋体" w:cs="宋体"/>
          <w:b/>
          <w:bCs/>
          <w:sz w:val="10"/>
          <w:szCs w:val="10"/>
        </w:rPr>
        <w:t xml:space="preserve"> </w:t>
      </w:r>
    </w:p>
    <w:tbl>
      <w:tblPr>
        <w:tblStyle w:val="46"/>
        <w:tblW w:w="0" w:type="auto"/>
        <w:tblInd w:w="479" w:type="dxa"/>
        <w:tblLayout w:type="fixed"/>
        <w:tblCellMar>
          <w:top w:w="0" w:type="dxa"/>
          <w:left w:w="0" w:type="dxa"/>
          <w:bottom w:w="0" w:type="dxa"/>
          <w:right w:w="0" w:type="dxa"/>
        </w:tblCellMar>
      </w:tblPr>
      <w:tblGrid>
        <w:gridCol w:w="2185"/>
        <w:gridCol w:w="6939"/>
      </w:tblGrid>
      <w:tr>
        <w:tblPrEx>
          <w:tblCellMar>
            <w:top w:w="0" w:type="dxa"/>
            <w:left w:w="0" w:type="dxa"/>
            <w:bottom w:w="0" w:type="dxa"/>
            <w:right w:w="0" w:type="dxa"/>
          </w:tblCellMar>
        </w:tblPrEx>
        <w:trPr>
          <w:trHeight w:val="80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spacing w:before="1"/>
              <w:ind w:left="112" w:right="102"/>
              <w:jc w:val="center"/>
              <w:rPr>
                <w:rFonts w:hAnsi="宋体"/>
              </w:rPr>
            </w:pPr>
            <w:r>
              <w:rPr>
                <w:rFonts w:hint="eastAsia" w:hAnsi="宋体"/>
              </w:rPr>
              <w:t>供应商名称</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详细住所</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1"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spacing w:before="1"/>
              <w:ind w:left="112" w:right="102"/>
              <w:jc w:val="center"/>
              <w:rPr>
                <w:rFonts w:hAnsi="宋体"/>
              </w:rPr>
            </w:pPr>
            <w:r>
              <w:rPr>
                <w:rFonts w:hint="eastAsia" w:hAnsi="宋体"/>
              </w:rPr>
              <w:t>企业类型</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90"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营业期限</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786"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法定代表人</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905"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传真或邮箱</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r>
        <w:tblPrEx>
          <w:tblCellMar>
            <w:top w:w="0" w:type="dxa"/>
            <w:left w:w="0" w:type="dxa"/>
            <w:bottom w:w="0" w:type="dxa"/>
            <w:right w:w="0" w:type="dxa"/>
          </w:tblCellMar>
        </w:tblPrEx>
        <w:trPr>
          <w:trHeight w:val="1095" w:hRule="atLeast"/>
        </w:trPr>
        <w:tc>
          <w:tcPr>
            <w:tcW w:w="2185" w:type="dxa"/>
            <w:tcBorders>
              <w:top w:val="single" w:color="000000" w:sz="4" w:space="0"/>
              <w:left w:val="single" w:color="000000" w:sz="4" w:space="0"/>
              <w:bottom w:val="single" w:color="000000" w:sz="4" w:space="0"/>
              <w:right w:val="single" w:color="000000" w:sz="4" w:space="0"/>
            </w:tcBorders>
            <w:vAlign w:val="center"/>
          </w:tcPr>
          <w:p>
            <w:pPr>
              <w:pStyle w:val="66"/>
              <w:kinsoku w:val="0"/>
              <w:overflowPunct w:val="0"/>
              <w:ind w:left="112" w:right="102"/>
              <w:jc w:val="center"/>
              <w:rPr>
                <w:rFonts w:hAnsi="宋体"/>
              </w:rPr>
            </w:pPr>
            <w:r>
              <w:rPr>
                <w:rFonts w:hint="eastAsia" w:hAnsi="宋体"/>
              </w:rPr>
              <w:t>企业联系人及电话</w:t>
            </w:r>
          </w:p>
        </w:tc>
        <w:tc>
          <w:tcPr>
            <w:tcW w:w="6939" w:type="dxa"/>
            <w:tcBorders>
              <w:top w:val="single" w:color="000000" w:sz="4" w:space="0"/>
              <w:left w:val="nil"/>
              <w:bottom w:val="single" w:color="000000" w:sz="4" w:space="0"/>
              <w:right w:val="single" w:color="000000" w:sz="4" w:space="0"/>
            </w:tcBorders>
            <w:vAlign w:val="center"/>
          </w:tcPr>
          <w:p>
            <w:pPr>
              <w:pStyle w:val="66"/>
              <w:kinsoku w:val="0"/>
              <w:overflowPunct w:val="0"/>
              <w:jc w:val="center"/>
              <w:rPr>
                <w:rFonts w:hAnsi="宋体"/>
              </w:rPr>
            </w:pPr>
          </w:p>
        </w:tc>
      </w:tr>
    </w:tbl>
    <w:p>
      <w:pPr>
        <w:pStyle w:val="21"/>
        <w:kinsoku w:val="0"/>
        <w:overflowPunct w:val="0"/>
        <w:spacing w:before="80" w:beforeAutospacing="0"/>
        <w:ind w:left="398" w:firstLine="640"/>
        <w:rPr>
          <w:rFonts w:ascii="宋体" w:hAnsi="宋体" w:cs="宋体"/>
        </w:rPr>
      </w:pPr>
      <w:r>
        <w:rPr>
          <w:rFonts w:hint="eastAsia" w:ascii="宋体" w:hAnsi="宋体" w:cs="宋体"/>
        </w:rPr>
        <w:t>注：后附营业执照等有关资格审查材料</w:t>
      </w:r>
    </w:p>
    <w:p>
      <w:pPr>
        <w:pStyle w:val="21"/>
        <w:kinsoku w:val="0"/>
        <w:overflowPunct w:val="0"/>
        <w:spacing w:before="4" w:beforeAutospacing="0"/>
        <w:ind w:firstLine="460"/>
        <w:rPr>
          <w:rFonts w:ascii="宋体" w:hAnsi="宋体" w:cs="宋体"/>
          <w:sz w:val="21"/>
          <w:szCs w:val="21"/>
        </w:rPr>
      </w:pPr>
      <w:r>
        <w:rPr>
          <w:rFonts w:hint="eastAsia" w:ascii="宋体" w:hAnsi="宋体" w:cs="宋体"/>
          <w:sz w:val="21"/>
          <w:szCs w:val="21"/>
        </w:rPr>
        <w:t xml:space="preserve">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供应商：</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 xml:space="preserve">（电子签章） </w:t>
      </w:r>
    </w:p>
    <w:p>
      <w:pPr>
        <w:pStyle w:val="21"/>
        <w:kinsoku w:val="0"/>
        <w:overflowPunct w:val="0"/>
        <w:spacing w:before="74" w:beforeAutospacing="0" w:line="420" w:lineRule="auto"/>
        <w:ind w:left="3708" w:right="637"/>
        <w:rPr>
          <w:rFonts w:ascii="宋体" w:hAnsi="宋体" w:cs="宋体"/>
        </w:rPr>
      </w:pPr>
      <w:r>
        <w:rPr>
          <w:rFonts w:hint="eastAsia" w:ascii="宋体" w:hAnsi="宋体" w:cs="宋体"/>
        </w:rPr>
        <w:t>法定代表人或其委托代理人：</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u w:val="single" w:color="000000"/>
        </w:rPr>
        <w:tab/>
      </w:r>
      <w:r>
        <w:rPr>
          <w:rFonts w:hint="eastAsia" w:ascii="宋体" w:hAnsi="宋体" w:cs="宋体"/>
        </w:rPr>
        <w:t xml:space="preserve">（签字）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日</w:t>
      </w:r>
      <w:r>
        <w:rPr>
          <w:rFonts w:hint="eastAsia" w:ascii="宋体" w:hAnsi="宋体" w:cs="宋体"/>
        </w:rPr>
        <w:tab/>
      </w:r>
      <w:r>
        <w:rPr>
          <w:rFonts w:hint="eastAsia" w:ascii="宋体" w:hAnsi="宋体" w:cs="宋体"/>
        </w:rPr>
        <w:t>期：</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年</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月</w:t>
      </w:r>
      <w:r>
        <w:rPr>
          <w:rFonts w:hint="eastAsia" w:ascii="宋体" w:hAnsi="宋体" w:cs="宋体"/>
          <w:u w:val="single" w:color="000000"/>
        </w:rPr>
        <w:t xml:space="preserve"> </w:t>
      </w:r>
      <w:r>
        <w:rPr>
          <w:rFonts w:hint="eastAsia" w:ascii="宋体" w:hAnsi="宋体" w:cs="宋体"/>
          <w:u w:val="single" w:color="000000"/>
        </w:rPr>
        <w:tab/>
      </w:r>
      <w:r>
        <w:rPr>
          <w:rFonts w:hint="eastAsia" w:ascii="宋体" w:hAnsi="宋体" w:cs="宋体"/>
        </w:rPr>
        <w:t>日</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left="3708" w:right="637"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right="636" w:rightChars="303" w:firstLine="640"/>
        <w:rPr>
          <w:rFonts w:ascii="宋体" w:hAnsi="宋体" w:cs="宋体"/>
        </w:rPr>
      </w:pPr>
      <w:r>
        <w:rPr>
          <w:rFonts w:hint="eastAsia" w:ascii="宋体" w:hAnsi="宋体" w:cs="宋体"/>
        </w:rPr>
        <w:t xml:space="preserve"> </w:t>
      </w:r>
    </w:p>
    <w:p>
      <w:pPr>
        <w:pStyle w:val="21"/>
        <w:kinsoku w:val="0"/>
        <w:overflowPunct w:val="0"/>
        <w:spacing w:before="74" w:beforeAutospacing="0" w:line="420" w:lineRule="auto"/>
        <w:ind w:left="3708" w:right="637" w:firstLine="640"/>
        <w:jc w:val="left"/>
        <w:rPr>
          <w:rFonts w:ascii="宋体" w:hAnsi="宋体" w:cs="宋体"/>
        </w:rPr>
      </w:pPr>
      <w:r>
        <w:rPr>
          <w:rFonts w:hint="eastAsia" w:ascii="宋体" w:hAnsi="宋体" w:cs="宋体"/>
        </w:rPr>
        <w:t xml:space="preserve"> </w:t>
      </w:r>
    </w:p>
    <w:p>
      <w:pPr>
        <w:pStyle w:val="8"/>
        <w:jc w:val="center"/>
        <w:rPr>
          <w:rFonts w:ascii="宋体" w:hAnsi="宋体" w:cs="宋体"/>
        </w:rPr>
      </w:pPr>
      <w:r>
        <w:rPr>
          <w:rFonts w:hint="eastAsia" w:ascii="宋体" w:hAnsi="宋体" w:cs="宋体"/>
        </w:rPr>
        <w:t>2、资料审查要求</w:t>
      </w: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21"/>
        <w:kinsoku w:val="0"/>
        <w:overflowPunct w:val="0"/>
        <w:spacing w:before="74" w:beforeAutospacing="0" w:line="420" w:lineRule="auto"/>
        <w:ind w:left="3708" w:right="637" w:firstLine="640"/>
        <w:jc w:val="left"/>
        <w:rPr>
          <w:rFonts w:ascii="宋体" w:hAnsi="宋体" w:cs="宋体"/>
        </w:rPr>
      </w:pPr>
    </w:p>
    <w:p>
      <w:pPr>
        <w:pStyle w:val="45"/>
        <w:ind w:firstLine="640"/>
        <w:rPr>
          <w:rFonts w:ascii="宋体" w:hAnsi="宋体" w:cs="宋体"/>
        </w:rPr>
        <w:sectPr>
          <w:pgSz w:w="11910" w:h="16840"/>
          <w:pgMar w:top="1580" w:right="1020" w:bottom="1380" w:left="1020" w:header="0" w:footer="1200" w:gutter="0"/>
          <w:cols w:space="720" w:num="1"/>
        </w:sectPr>
      </w:pPr>
    </w:p>
    <w:p>
      <w:pPr>
        <w:pStyle w:val="7"/>
        <w:jc w:val="center"/>
        <w:rPr>
          <w:rFonts w:ascii="宋体" w:hAnsi="宋体" w:cs="宋体"/>
        </w:rPr>
      </w:pPr>
      <w:bookmarkStart w:id="81" w:name="_bookmark11"/>
      <w:bookmarkEnd w:id="81"/>
      <w:bookmarkStart w:id="82" w:name="八、资格审查资料"/>
      <w:bookmarkEnd w:id="82"/>
      <w:bookmarkStart w:id="83" w:name="七、服务方案"/>
      <w:bookmarkEnd w:id="83"/>
      <w:r>
        <w:rPr>
          <w:rFonts w:hint="eastAsia" w:ascii="宋体" w:hAnsi="宋体" w:cs="宋体"/>
        </w:rPr>
        <w:t>七、服务方案及承诺</w:t>
      </w:r>
    </w:p>
    <w:p>
      <w:pPr>
        <w:rPr>
          <w:rFonts w:ascii="宋体" w:hAnsi="宋体" w:cs="宋体"/>
        </w:rPr>
      </w:pPr>
    </w:p>
    <w:p>
      <w:pPr>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pStyle w:val="45"/>
        <w:ind w:firstLine="640"/>
        <w:rPr>
          <w:rFonts w:ascii="宋体" w:hAnsi="宋体" w:cs="宋体"/>
        </w:rPr>
      </w:pPr>
    </w:p>
    <w:p>
      <w:pPr>
        <w:widowControl/>
        <w:jc w:val="left"/>
        <w:rPr>
          <w:rFonts w:ascii="宋体" w:hAnsi="宋体" w:cs="宋体"/>
          <w:b/>
          <w:bCs/>
          <w:kern w:val="0"/>
          <w:sz w:val="32"/>
          <w:szCs w:val="32"/>
        </w:rPr>
        <w:sectPr>
          <w:pgSz w:w="11910" w:h="16840"/>
          <w:pgMar w:top="1320" w:right="1020" w:bottom="1380" w:left="1020" w:header="0" w:footer="1200" w:gutter="0"/>
          <w:cols w:space="720" w:num="1"/>
        </w:sectPr>
      </w:pPr>
      <w:bookmarkStart w:id="84" w:name="_bookmark12"/>
      <w:bookmarkEnd w:id="84"/>
      <w:bookmarkStart w:id="85" w:name="_bookmark13"/>
      <w:bookmarkEnd w:id="85"/>
    </w:p>
    <w:p>
      <w:pPr>
        <w:pStyle w:val="7"/>
        <w:jc w:val="center"/>
        <w:rPr>
          <w:rFonts w:ascii="宋体" w:hAnsi="宋体" w:cs="宋体"/>
        </w:rPr>
      </w:pPr>
      <w:bookmarkStart w:id="86" w:name="_bookmark16"/>
      <w:bookmarkEnd w:id="86"/>
      <w:bookmarkStart w:id="87" w:name="十一、投标承诺函"/>
      <w:bookmarkEnd w:id="87"/>
      <w:bookmarkStart w:id="88" w:name="_Toc404096944"/>
      <w:r>
        <w:rPr>
          <w:rFonts w:hint="eastAsia" w:ascii="宋体" w:hAnsi="宋体" w:cs="宋体"/>
        </w:rPr>
        <w:t>八、反商业贿赂承诺书</w:t>
      </w:r>
      <w:bookmarkEnd w:id="88"/>
    </w:p>
    <w:p>
      <w:pPr>
        <w:rPr>
          <w:rFonts w:ascii="宋体" w:hAnsi="宋体" w:cs="宋体"/>
        </w:rPr>
      </w:pPr>
    </w:p>
    <w:p>
      <w:pPr>
        <w:spacing w:line="480" w:lineRule="auto"/>
        <w:rPr>
          <w:rFonts w:ascii="宋体" w:hAnsi="宋体" w:cs="宋体"/>
          <w:sz w:val="24"/>
        </w:rPr>
      </w:pPr>
      <w:r>
        <w:rPr>
          <w:rFonts w:hint="eastAsia" w:ascii="宋体" w:hAnsi="宋体" w:cs="宋体"/>
          <w:sz w:val="24"/>
        </w:rPr>
        <w:t>我公司承诺：</w:t>
      </w:r>
    </w:p>
    <w:p>
      <w:pPr>
        <w:spacing w:line="480" w:lineRule="auto"/>
        <w:ind w:firstLine="480" w:firstLineChars="200"/>
        <w:rPr>
          <w:rFonts w:ascii="宋体" w:hAnsi="宋体" w:cs="宋体"/>
          <w:sz w:val="24"/>
        </w:rPr>
      </w:pPr>
      <w:r>
        <w:rPr>
          <w:rFonts w:hint="eastAsia" w:ascii="宋体" w:hAnsi="宋体" w:cs="宋体"/>
          <w:sz w:val="24"/>
        </w:rPr>
        <w:t>在</w:t>
      </w:r>
      <w:r>
        <w:rPr>
          <w:rFonts w:hint="eastAsia" w:ascii="宋体" w:hAnsi="宋体" w:cs="宋体"/>
          <w:sz w:val="24"/>
          <w:u w:val="single"/>
        </w:rPr>
        <w:t xml:space="preserve">              （项目名称、标段）   </w:t>
      </w:r>
      <w:r>
        <w:rPr>
          <w:rFonts w:hint="eastAsia" w:ascii="宋体" w:hAnsi="宋体" w:cs="宋体"/>
          <w:sz w:val="24"/>
        </w:rPr>
        <w:t>招标活动中，我公司保证做到：</w:t>
      </w:r>
    </w:p>
    <w:p>
      <w:pPr>
        <w:spacing w:line="480" w:lineRule="auto"/>
        <w:ind w:firstLine="480" w:firstLineChars="200"/>
        <w:rPr>
          <w:rFonts w:ascii="宋体" w:hAnsi="宋体" w:cs="宋体"/>
          <w:sz w:val="24"/>
        </w:rPr>
      </w:pPr>
      <w:r>
        <w:rPr>
          <w:rFonts w:hint="eastAsia" w:ascii="宋体" w:hAnsi="宋体" w:cs="宋体"/>
          <w:sz w:val="24"/>
        </w:rPr>
        <w:t>一、公平竞争参加本次招标活动。</w:t>
      </w:r>
    </w:p>
    <w:p>
      <w:pPr>
        <w:spacing w:line="480" w:lineRule="auto"/>
        <w:ind w:firstLine="480" w:firstLineChars="200"/>
        <w:rPr>
          <w:rFonts w:ascii="宋体" w:hAnsi="宋体" w:cs="宋体"/>
          <w:sz w:val="24"/>
        </w:rPr>
      </w:pPr>
      <w:r>
        <w:rPr>
          <w:rFonts w:hint="eastAsia" w:ascii="宋体" w:hAnsi="宋体" w:cs="宋体"/>
          <w:sz w:val="24"/>
        </w:rPr>
        <w:t>二、杜绝任何形式的商业贿赂行为。不向国家工作人员、政府采购代理机构工作人员、评审专家及亲属提供礼品礼金、有价证券、购物券、回扣、佣金、咨询费、劳务费、资助费、宣传费、宴请；不为其报销各种消费凭证，不支付其旅游、娱乐等费用。</w:t>
      </w:r>
    </w:p>
    <w:p>
      <w:pPr>
        <w:spacing w:line="480" w:lineRule="auto"/>
        <w:ind w:firstLine="480" w:firstLineChars="200"/>
        <w:rPr>
          <w:rFonts w:ascii="宋体" w:hAnsi="宋体" w:cs="宋体"/>
          <w:sz w:val="24"/>
        </w:rPr>
      </w:pPr>
      <w:r>
        <w:rPr>
          <w:rFonts w:hint="eastAsia" w:ascii="宋体" w:hAnsi="宋体" w:cs="宋体"/>
          <w:sz w:val="24"/>
        </w:rPr>
        <w:t>三、若出现上述行为，我公司及参与投标的工作人员愿意接受按照国家法律法规等有关规定给予的处罚。</w:t>
      </w:r>
    </w:p>
    <w:p>
      <w:pPr>
        <w:spacing w:line="48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480" w:firstLineChars="200"/>
        <w:rPr>
          <w:rFonts w:ascii="宋体" w:hAnsi="宋体" w:cs="宋体"/>
          <w:sz w:val="24"/>
        </w:rPr>
      </w:pPr>
    </w:p>
    <w:p>
      <w:pPr>
        <w:spacing w:line="360" w:lineRule="auto"/>
        <w:ind w:firstLine="3312" w:firstLineChars="1380"/>
        <w:rPr>
          <w:rFonts w:ascii="宋体" w:hAnsi="宋体" w:cs="宋体"/>
          <w:sz w:val="24"/>
          <w:u w:val="single"/>
        </w:rPr>
      </w:pPr>
      <w:r>
        <w:rPr>
          <w:rFonts w:hint="eastAsia" w:ascii="宋体" w:hAnsi="宋体" w:cs="宋体"/>
          <w:sz w:val="24"/>
        </w:rPr>
        <w:t>供应商名称（</w:t>
      </w:r>
      <w:r>
        <w:rPr>
          <w:rFonts w:hint="eastAsia" w:ascii="宋体" w:hAnsi="宋体" w:cs="宋体"/>
          <w:sz w:val="24"/>
          <w:szCs w:val="24"/>
        </w:rPr>
        <w:t>电子签章</w:t>
      </w:r>
      <w:r>
        <w:rPr>
          <w:rFonts w:hint="eastAsia" w:ascii="宋体" w:hAnsi="宋体" w:cs="宋体"/>
          <w:sz w:val="24"/>
        </w:rPr>
        <w:t>）：</w:t>
      </w:r>
      <w:r>
        <w:rPr>
          <w:rFonts w:hint="eastAsia" w:ascii="宋体" w:hAnsi="宋体" w:cs="宋体"/>
          <w:sz w:val="24"/>
          <w:u w:val="single"/>
        </w:rPr>
        <w:t xml:space="preserve">                   </w:t>
      </w:r>
    </w:p>
    <w:p>
      <w:pPr>
        <w:spacing w:line="360" w:lineRule="auto"/>
        <w:ind w:firstLine="3312" w:firstLineChars="1380"/>
        <w:rPr>
          <w:rFonts w:ascii="宋体" w:hAnsi="宋体" w:cs="宋体"/>
          <w:sz w:val="24"/>
          <w:u w:val="single"/>
        </w:rPr>
      </w:pPr>
      <w:r>
        <w:rPr>
          <w:rFonts w:hint="eastAsia" w:ascii="宋体" w:hAnsi="宋体" w:cs="宋体"/>
          <w:sz w:val="24"/>
        </w:rPr>
        <w:t>法定代表人（签字或盖章） :</w:t>
      </w:r>
      <w:r>
        <w:rPr>
          <w:rFonts w:hint="eastAsia" w:ascii="宋体" w:hAnsi="宋体" w:cs="宋体"/>
          <w:sz w:val="24"/>
          <w:u w:val="single"/>
        </w:rPr>
        <w:t xml:space="preserve">                        </w:t>
      </w:r>
    </w:p>
    <w:p>
      <w:pPr>
        <w:spacing w:line="360" w:lineRule="auto"/>
        <w:ind w:firstLine="3360" w:firstLineChars="1400"/>
        <w:rPr>
          <w:rFonts w:ascii="宋体" w:hAnsi="宋体" w:cs="宋体"/>
          <w:sz w:val="24"/>
        </w:rPr>
      </w:pPr>
      <w:r>
        <w:rPr>
          <w:rFonts w:hint="eastAsia" w:ascii="宋体" w:hAnsi="宋体" w:cs="宋体"/>
          <w:sz w:val="24"/>
        </w:rPr>
        <w:t>委托代理人（签字或盖章）:</w:t>
      </w:r>
      <w:r>
        <w:rPr>
          <w:rFonts w:hint="eastAsia" w:ascii="宋体" w:hAnsi="宋体" w:cs="宋体"/>
          <w:sz w:val="24"/>
          <w:u w:val="single"/>
        </w:rPr>
        <w:t xml:space="preserve">                       </w:t>
      </w:r>
    </w:p>
    <w:p>
      <w:pPr>
        <w:spacing w:line="360" w:lineRule="auto"/>
        <w:ind w:firstLine="3360" w:firstLineChars="14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pStyle w:val="45"/>
        <w:ind w:firstLine="640"/>
        <w:rPr>
          <w:rFonts w:ascii="宋体" w:hAnsi="宋体" w:cs="宋体"/>
        </w:rPr>
      </w:pPr>
    </w:p>
    <w:p>
      <w:pPr>
        <w:pStyle w:val="45"/>
        <w:ind w:firstLine="640"/>
        <w:rPr>
          <w:rFonts w:ascii="宋体" w:hAnsi="宋体" w:cs="宋体"/>
        </w:rPr>
      </w:pPr>
    </w:p>
    <w:p>
      <w:pPr>
        <w:rPr>
          <w:rFonts w:ascii="宋体" w:hAnsi="宋体" w:cs="宋体"/>
        </w:rPr>
      </w:pPr>
    </w:p>
    <w:p>
      <w:pPr>
        <w:pStyle w:val="45"/>
        <w:ind w:firstLine="640"/>
        <w:rPr>
          <w:rFonts w:ascii="宋体" w:hAnsi="宋体" w:cs="宋体"/>
        </w:rPr>
      </w:pPr>
    </w:p>
    <w:p>
      <w:pPr>
        <w:pStyle w:val="7"/>
        <w:jc w:val="center"/>
        <w:rPr>
          <w:rFonts w:ascii="宋体" w:hAnsi="宋体" w:cs="宋体"/>
        </w:rPr>
      </w:pPr>
      <w:r>
        <w:rPr>
          <w:rFonts w:hint="eastAsia" w:ascii="宋体" w:hAnsi="宋体" w:cs="宋体"/>
        </w:rPr>
        <w:t>九、投标诚信承诺</w:t>
      </w:r>
    </w:p>
    <w:p>
      <w:pPr>
        <w:spacing w:line="400" w:lineRule="exact"/>
        <w:rPr>
          <w:rFonts w:ascii="宋体" w:hAnsi="宋体" w:cs="宋体"/>
          <w:sz w:val="24"/>
          <w:u w:val="single"/>
        </w:rPr>
      </w:pPr>
      <w:r>
        <w:rPr>
          <w:rFonts w:hint="eastAsia" w:ascii="宋体" w:hAnsi="宋体" w:cs="宋体"/>
          <w:sz w:val="24"/>
        </w:rPr>
        <w:t>致：</w:t>
      </w:r>
      <w:r>
        <w:rPr>
          <w:rFonts w:hint="eastAsia" w:ascii="宋体" w:hAnsi="宋体" w:cs="宋体"/>
          <w:sz w:val="24"/>
          <w:u w:val="single"/>
        </w:rPr>
        <w:t xml:space="preserve">       （采购人）      </w:t>
      </w:r>
    </w:p>
    <w:p>
      <w:pPr>
        <w:spacing w:line="400" w:lineRule="exact"/>
        <w:ind w:firstLine="480" w:firstLineChars="200"/>
        <w:rPr>
          <w:rFonts w:ascii="宋体" w:hAnsi="宋体" w:cs="宋体"/>
          <w:sz w:val="24"/>
        </w:rPr>
      </w:pPr>
      <w:r>
        <w:rPr>
          <w:rFonts w:hint="eastAsia" w:ascii="宋体" w:hAnsi="宋体" w:cs="宋体"/>
          <w:sz w:val="24"/>
        </w:rPr>
        <w:t xml:space="preserve">   本着认真、诚信、严谨的态度，我公司决定参加贵单位关于</w:t>
      </w:r>
      <w:r>
        <w:rPr>
          <w:rFonts w:hint="eastAsia" w:ascii="宋体" w:hAnsi="宋体" w:cs="宋体"/>
          <w:sz w:val="24"/>
          <w:u w:val="single"/>
        </w:rPr>
        <w:t xml:space="preserve">        （项目名称、标段）  </w:t>
      </w:r>
      <w:r>
        <w:rPr>
          <w:rFonts w:hint="eastAsia" w:ascii="宋体" w:hAnsi="宋体" w:cs="宋体"/>
          <w:sz w:val="24"/>
        </w:rPr>
        <w:t>的投标。我公司承诺如下：</w:t>
      </w:r>
    </w:p>
    <w:p>
      <w:pPr>
        <w:spacing w:line="400" w:lineRule="exact"/>
        <w:ind w:firstLine="480" w:firstLineChars="200"/>
        <w:rPr>
          <w:rFonts w:ascii="宋体" w:hAnsi="宋体" w:cs="宋体"/>
          <w:sz w:val="24"/>
        </w:rPr>
      </w:pPr>
      <w:r>
        <w:rPr>
          <w:rFonts w:hint="eastAsia" w:ascii="宋体" w:hAnsi="宋体" w:cs="宋体"/>
          <w:sz w:val="24"/>
        </w:rPr>
        <w:t>一、在投标过程中，我公司将严格遵守国家相关法律法规及省、市规定，遵循招标文件的要求。</w:t>
      </w:r>
    </w:p>
    <w:p>
      <w:pPr>
        <w:spacing w:line="400" w:lineRule="exact"/>
        <w:ind w:firstLine="480" w:firstLineChars="200"/>
        <w:rPr>
          <w:rFonts w:ascii="宋体" w:hAnsi="宋体" w:cs="宋体"/>
          <w:sz w:val="24"/>
        </w:rPr>
      </w:pPr>
      <w:r>
        <w:rPr>
          <w:rFonts w:hint="eastAsia" w:ascii="宋体" w:hAnsi="宋体" w:cs="宋体"/>
          <w:sz w:val="24"/>
        </w:rPr>
        <w:t>二、在报名及投标过程中，我公司保证按招标公告和招标文件要求提供的所有备审资料合法、真实、有效。</w:t>
      </w:r>
    </w:p>
    <w:p>
      <w:pPr>
        <w:spacing w:line="400" w:lineRule="exact"/>
        <w:ind w:firstLine="480" w:firstLineChars="200"/>
        <w:rPr>
          <w:rFonts w:ascii="宋体" w:hAnsi="宋体" w:cs="宋体"/>
          <w:sz w:val="24"/>
        </w:rPr>
      </w:pPr>
      <w:r>
        <w:rPr>
          <w:rFonts w:hint="eastAsia" w:ascii="宋体" w:hAnsi="宋体" w:cs="宋体"/>
          <w:sz w:val="24"/>
        </w:rPr>
        <w:t>三、报名通过后，我公司将认真组织参与本次招标活动。除不可抗力或法定情形外，保证不放弃本次投标,按招标文件要求参加开标会议。如若放弃投标，我公司愿意弥补招标活动损失，并接受相关部门处罚。</w:t>
      </w:r>
    </w:p>
    <w:p>
      <w:pPr>
        <w:spacing w:line="400" w:lineRule="exact"/>
        <w:ind w:firstLine="480" w:firstLineChars="200"/>
        <w:rPr>
          <w:rFonts w:ascii="宋体" w:hAnsi="宋体" w:cs="宋体"/>
          <w:sz w:val="24"/>
        </w:rPr>
      </w:pPr>
      <w:r>
        <w:rPr>
          <w:rFonts w:hint="eastAsia" w:ascii="宋体" w:hAnsi="宋体" w:cs="宋体"/>
          <w:sz w:val="24"/>
        </w:rPr>
        <w:t>四、在投标过程中，我公司保证公平竞争，不与采购人、其它供应商、代理机构、评标专家等就本项目串通投标。</w:t>
      </w:r>
    </w:p>
    <w:p>
      <w:pPr>
        <w:spacing w:line="400" w:lineRule="exact"/>
        <w:ind w:firstLine="480" w:firstLineChars="200"/>
        <w:rPr>
          <w:rFonts w:ascii="宋体" w:hAnsi="宋体" w:cs="宋体"/>
          <w:sz w:val="24"/>
        </w:rPr>
      </w:pPr>
      <w:r>
        <w:rPr>
          <w:rFonts w:hint="eastAsia" w:ascii="宋体" w:hAnsi="宋体" w:cs="宋体"/>
          <w:sz w:val="24"/>
        </w:rPr>
        <w:t>五、我公司如被确定为中标候选人，保证不出现违法放弃中标行为，违法放弃中标行为包括但不限于以下情形：</w:t>
      </w:r>
    </w:p>
    <w:p>
      <w:pPr>
        <w:spacing w:line="400" w:lineRule="exact"/>
        <w:ind w:firstLine="480" w:firstLineChars="200"/>
        <w:rPr>
          <w:rFonts w:ascii="宋体" w:hAnsi="宋体" w:cs="宋体"/>
          <w:sz w:val="24"/>
        </w:rPr>
      </w:pPr>
      <w:r>
        <w:rPr>
          <w:rFonts w:hint="eastAsia" w:ascii="宋体" w:hAnsi="宋体" w:cs="宋体"/>
          <w:sz w:val="24"/>
        </w:rPr>
        <w:t>1.  除不可抗力因素和采购人的责任等免责条件外，中标候选人拒绝按规定接受中标的；</w:t>
      </w:r>
    </w:p>
    <w:p>
      <w:pPr>
        <w:spacing w:line="400" w:lineRule="exact"/>
        <w:ind w:firstLine="480" w:firstLineChars="200"/>
        <w:rPr>
          <w:rFonts w:ascii="宋体" w:hAnsi="宋体" w:cs="宋体"/>
          <w:sz w:val="24"/>
        </w:rPr>
      </w:pPr>
      <w:r>
        <w:rPr>
          <w:rFonts w:hint="eastAsia" w:ascii="宋体" w:hAnsi="宋体" w:cs="宋体"/>
          <w:sz w:val="24"/>
        </w:rPr>
        <w:t>2.   除不可抗力因素和采购人的责任等免责条件外，中标人拒绝依据招标文件、投标文件和中标通知书与采购人签订书面合同的；</w:t>
      </w:r>
    </w:p>
    <w:p>
      <w:pPr>
        <w:spacing w:line="400" w:lineRule="exact"/>
        <w:ind w:firstLine="480" w:firstLineChars="200"/>
        <w:rPr>
          <w:rFonts w:ascii="宋体" w:hAnsi="宋体" w:cs="宋体"/>
          <w:sz w:val="24"/>
        </w:rPr>
      </w:pPr>
      <w:r>
        <w:rPr>
          <w:rFonts w:hint="eastAsia" w:ascii="宋体" w:hAnsi="宋体" w:cs="宋体"/>
          <w:sz w:val="24"/>
        </w:rPr>
        <w:t>3.  建设行政主管部门认定的其他违法放弃中标行为。</w:t>
      </w:r>
    </w:p>
    <w:p>
      <w:pPr>
        <w:spacing w:line="400" w:lineRule="exact"/>
        <w:ind w:firstLine="480" w:firstLineChars="200"/>
        <w:rPr>
          <w:rFonts w:ascii="宋体" w:hAnsi="宋体" w:cs="宋体"/>
          <w:sz w:val="24"/>
        </w:rPr>
      </w:pPr>
      <w:r>
        <w:rPr>
          <w:rFonts w:hint="eastAsia" w:ascii="宋体" w:hAnsi="宋体" w:cs="宋体"/>
          <w:sz w:val="24"/>
        </w:rPr>
        <w:t>六、我公司如有第五条所述行为，愿意接受被认定为违法放弃中标，并接受以下处罚：违法放弃中标的，交纳其投标报价与依序递补中标候选人投标报价差额作为对招标活动损失的补偿，并按《中华人民共和国招标投标法》第六十条及相关法律法规和规章的规定，取消2至5年参加必须招标项目的投标资格。</w:t>
      </w:r>
    </w:p>
    <w:p>
      <w:pPr>
        <w:spacing w:line="400" w:lineRule="exact"/>
        <w:ind w:firstLine="480" w:firstLineChars="200"/>
        <w:rPr>
          <w:rFonts w:ascii="宋体" w:hAnsi="宋体" w:cs="宋体"/>
          <w:sz w:val="24"/>
        </w:rPr>
      </w:pPr>
      <w:r>
        <w:rPr>
          <w:rFonts w:hint="eastAsia" w:ascii="宋体" w:hAnsi="宋体" w:cs="宋体"/>
          <w:sz w:val="24"/>
        </w:rPr>
        <w:t>七、我公司愿意配合相关部门关于本项目的调查，如有违法违规行为愿意接受处罚。</w:t>
      </w:r>
    </w:p>
    <w:p>
      <w:pPr>
        <w:spacing w:line="400" w:lineRule="exact"/>
        <w:ind w:firstLine="480" w:firstLineChars="200"/>
        <w:rPr>
          <w:rFonts w:ascii="宋体" w:hAnsi="宋体" w:cs="宋体"/>
          <w:sz w:val="24"/>
        </w:rPr>
      </w:pPr>
      <w:r>
        <w:rPr>
          <w:rFonts w:hint="eastAsia" w:ascii="宋体" w:hAnsi="宋体" w:cs="宋体"/>
          <w:sz w:val="24"/>
        </w:rPr>
        <w:t>八、如果我公司对招标工作有询问、质疑、投诉，保证按法律法规相关规定进行，决不恶意投诉。</w:t>
      </w:r>
    </w:p>
    <w:p>
      <w:pPr>
        <w:spacing w:line="400" w:lineRule="exact"/>
        <w:ind w:firstLine="480" w:firstLineChars="200"/>
        <w:rPr>
          <w:rFonts w:ascii="宋体" w:hAnsi="宋体" w:cs="宋体"/>
          <w:sz w:val="24"/>
        </w:rPr>
      </w:pPr>
      <w:r>
        <w:rPr>
          <w:rFonts w:hint="eastAsia" w:ascii="宋体" w:hAnsi="宋体" w:cs="宋体"/>
          <w:sz w:val="24"/>
        </w:rPr>
        <w:t>以上承诺为我公司真实意愿。</w:t>
      </w:r>
    </w:p>
    <w:p>
      <w:pPr>
        <w:spacing w:line="360" w:lineRule="auto"/>
        <w:rPr>
          <w:rFonts w:ascii="宋体" w:hAnsi="宋体" w:cs="宋体"/>
          <w:sz w:val="24"/>
        </w:rPr>
      </w:pPr>
    </w:p>
    <w:p>
      <w:pPr>
        <w:spacing w:line="360" w:lineRule="auto"/>
        <w:ind w:firstLine="2160" w:firstLineChars="900"/>
        <w:rPr>
          <w:rFonts w:ascii="宋体" w:hAnsi="宋体" w:cs="宋体"/>
          <w:sz w:val="24"/>
          <w:u w:val="single"/>
        </w:rPr>
      </w:pPr>
      <w:r>
        <w:rPr>
          <w:rFonts w:hint="eastAsia" w:ascii="宋体" w:hAnsi="宋体" w:cs="宋体"/>
          <w:sz w:val="24"/>
        </w:rPr>
        <w:t>供应商：</w:t>
      </w:r>
      <w:r>
        <w:rPr>
          <w:rFonts w:hint="eastAsia" w:ascii="宋体" w:hAnsi="宋体" w:cs="宋体"/>
          <w:sz w:val="24"/>
          <w:u w:val="single"/>
        </w:rPr>
        <w:t xml:space="preserve">                       </w:t>
      </w:r>
      <w:r>
        <w:rPr>
          <w:rFonts w:hint="eastAsia" w:ascii="宋体" w:hAnsi="宋体" w:cs="宋体"/>
          <w:sz w:val="24"/>
        </w:rPr>
        <w:t>（</w:t>
      </w:r>
      <w:r>
        <w:rPr>
          <w:rFonts w:hint="eastAsia" w:ascii="宋体" w:hAnsi="宋体" w:cs="宋体"/>
          <w:sz w:val="24"/>
          <w:szCs w:val="24"/>
        </w:rPr>
        <w:t>电子签章</w:t>
      </w:r>
      <w:r>
        <w:rPr>
          <w:rFonts w:hint="eastAsia" w:ascii="宋体" w:hAnsi="宋体" w:cs="宋体"/>
          <w:sz w:val="24"/>
        </w:rPr>
        <w:t xml:space="preserve">）  </w:t>
      </w:r>
    </w:p>
    <w:p>
      <w:pPr>
        <w:spacing w:line="360" w:lineRule="auto"/>
        <w:ind w:firstLine="1680" w:firstLineChars="700"/>
        <w:rPr>
          <w:rFonts w:ascii="宋体" w:hAnsi="宋体" w:cs="宋体"/>
          <w:sz w:val="24"/>
          <w:u w:val="single"/>
        </w:rPr>
      </w:pPr>
      <w:r>
        <w:rPr>
          <w:rFonts w:hint="eastAsia" w:ascii="宋体" w:hAnsi="宋体" w:cs="宋体"/>
          <w:sz w:val="24"/>
        </w:rPr>
        <w:t>法定代表人或</w:t>
      </w:r>
      <w:r>
        <w:rPr>
          <w:rFonts w:hint="eastAsia" w:ascii="宋体" w:hAnsi="宋体" w:cs="宋体"/>
          <w:sz w:val="24"/>
          <w:szCs w:val="24"/>
        </w:rPr>
        <w:t>其</w:t>
      </w:r>
      <w:r>
        <w:rPr>
          <w:rFonts w:hint="eastAsia" w:ascii="宋体" w:hAnsi="宋体" w:cs="宋体"/>
          <w:sz w:val="24"/>
        </w:rPr>
        <w:t>委托代理人：</w:t>
      </w:r>
      <w:r>
        <w:rPr>
          <w:rFonts w:hint="eastAsia" w:ascii="宋体" w:hAnsi="宋体" w:cs="宋体"/>
          <w:sz w:val="24"/>
          <w:u w:val="single"/>
        </w:rPr>
        <w:t xml:space="preserve">          </w:t>
      </w:r>
      <w:r>
        <w:rPr>
          <w:rFonts w:hint="eastAsia" w:ascii="宋体" w:hAnsi="宋体" w:cs="宋体"/>
          <w:sz w:val="24"/>
        </w:rPr>
        <w:t>（签字或盖章）</w:t>
      </w:r>
    </w:p>
    <w:p>
      <w:pPr>
        <w:spacing w:line="360" w:lineRule="auto"/>
        <w:ind w:firstLine="4080" w:firstLineChars="1700"/>
        <w:rPr>
          <w:rFonts w:ascii="宋体" w:hAnsi="宋体" w:cs="宋体"/>
          <w:sz w:val="24"/>
        </w:rPr>
      </w:pPr>
      <w:r>
        <w:rPr>
          <w:rFonts w:hint="eastAsia" w:ascii="宋体" w:hAnsi="宋体" w:cs="宋体"/>
          <w:sz w:val="24"/>
        </w:rPr>
        <w:t>日   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pPr>
        <w:pStyle w:val="7"/>
        <w:jc w:val="center"/>
        <w:rPr>
          <w:rFonts w:ascii="宋体" w:hAnsi="宋体" w:cs="宋体"/>
        </w:rPr>
      </w:pPr>
      <w:r>
        <w:rPr>
          <w:rFonts w:hint="eastAsia" w:ascii="宋体" w:hAnsi="宋体" w:cs="宋体"/>
        </w:rPr>
        <w:t xml:space="preserve">十、供应商认为需要提交的其他资料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r>
        <w:rPr>
          <w:rFonts w:hint="eastAsia" w:ascii="宋体" w:hAnsi="宋体" w:cs="宋体"/>
        </w:rPr>
        <w:t xml:space="preserve"> </w:t>
      </w:r>
    </w:p>
    <w:p>
      <w:pPr>
        <w:pStyle w:val="45"/>
        <w:ind w:firstLine="640"/>
        <w:rPr>
          <w:rFonts w:ascii="宋体" w:hAnsi="宋体" w:cs="宋体"/>
        </w:rPr>
      </w:pPr>
    </w:p>
    <w:p>
      <w:pPr>
        <w:rPr>
          <w:rFonts w:ascii="宋体" w:hAnsi="宋体" w:cs="宋体"/>
        </w:rPr>
      </w:pPr>
    </w:p>
    <w:p>
      <w:pPr>
        <w:pStyle w:val="45"/>
        <w:ind w:firstLine="640"/>
        <w:rPr>
          <w:rFonts w:ascii="宋体" w:hAnsi="宋体" w:cs="宋体"/>
        </w:rPr>
      </w:pPr>
    </w:p>
    <w:p>
      <w:pPr>
        <w:rPr>
          <w:rFonts w:ascii="宋体" w:hAnsi="宋体" w:cs="宋体"/>
        </w:rPr>
      </w:pPr>
    </w:p>
    <w:p>
      <w:pPr>
        <w:pStyle w:val="21"/>
        <w:spacing w:before="59"/>
        <w:ind w:right="189"/>
        <w:rPr>
          <w:rFonts w:ascii="宋体" w:hAnsi="宋体" w:cs="宋体"/>
          <w:b/>
          <w:bCs/>
        </w:rPr>
      </w:pPr>
      <w:bookmarkStart w:id="89" w:name="_Toc6326_WPSOffice_Level2"/>
      <w:r>
        <w:rPr>
          <w:rFonts w:hint="eastAsia" w:ascii="宋体" w:hAnsi="宋体" w:cs="宋体"/>
          <w:b/>
          <w:bCs/>
        </w:rPr>
        <w:t>附一：</w:t>
      </w:r>
    </w:p>
    <w:p>
      <w:pPr>
        <w:pStyle w:val="21"/>
        <w:spacing w:before="59"/>
        <w:ind w:right="189"/>
        <w:jc w:val="center"/>
        <w:rPr>
          <w:rFonts w:ascii="宋体" w:hAnsi="宋体" w:cs="宋体"/>
          <w:b/>
          <w:bCs/>
        </w:rPr>
      </w:pPr>
      <w:r>
        <w:rPr>
          <w:rFonts w:hint="eastAsia" w:ascii="宋体" w:hAnsi="宋体" w:cs="宋体"/>
          <w:b/>
          <w:bCs/>
        </w:rPr>
        <w:t>中小微企业声明函</w:t>
      </w:r>
      <w:bookmarkEnd w:id="89"/>
    </w:p>
    <w:p>
      <w:pPr>
        <w:pStyle w:val="21"/>
        <w:spacing w:before="1"/>
        <w:ind w:right="189"/>
        <w:jc w:val="center"/>
        <w:rPr>
          <w:rFonts w:ascii="宋体" w:hAnsi="宋体" w:cs="宋体"/>
          <w:b/>
        </w:rPr>
      </w:pPr>
      <w:r>
        <w:rPr>
          <w:rFonts w:hint="eastAsia" w:ascii="宋体" w:hAnsi="宋体" w:cs="宋体"/>
        </w:rPr>
        <w:t>（属于中小微企业的填写，不属于的无需填写此项内容）</w:t>
      </w:r>
      <w:bookmarkStart w:id="90" w:name="OLE_LINK14"/>
      <w:bookmarkStart w:id="91" w:name="OLE_LINK13"/>
    </w:p>
    <w:p>
      <w:pPr>
        <w:spacing w:line="440" w:lineRule="exact"/>
        <w:ind w:firstLine="480" w:firstLineChars="200"/>
        <w:rPr>
          <w:rFonts w:ascii="宋体" w:hAnsi="宋体" w:cs="宋体"/>
          <w:sz w:val="24"/>
        </w:rPr>
      </w:pPr>
      <w:r>
        <w:rPr>
          <w:rFonts w:hint="eastAsia" w:ascii="宋体" w:hAnsi="宋体" w:cs="宋体"/>
          <w:sz w:val="24"/>
        </w:rPr>
        <w:t>本公司(联合体)郑重声明，根据《财政部关于进一步加大政府采购支持中小企业力度的通知》(财库(2022)19号)的规定，本公司参加</w:t>
      </w:r>
      <w:r>
        <w:rPr>
          <w:rFonts w:hint="eastAsia" w:ascii="宋体" w:hAnsi="宋体" w:cs="宋体"/>
          <w:sz w:val="24"/>
          <w:u w:val="single"/>
        </w:rPr>
        <w:t xml:space="preserve">      </w:t>
      </w:r>
      <w:r>
        <w:rPr>
          <w:rFonts w:hint="eastAsia" w:ascii="宋体" w:hAnsi="宋体" w:cs="宋体"/>
          <w:sz w:val="24"/>
        </w:rPr>
        <w:t>(单位名称)的</w:t>
      </w:r>
      <w:r>
        <w:rPr>
          <w:rFonts w:hint="eastAsia" w:ascii="宋体" w:hAnsi="宋体" w:cs="宋体"/>
          <w:sz w:val="24"/>
          <w:u w:val="single"/>
        </w:rPr>
        <w:t xml:space="preserve">      </w:t>
      </w:r>
      <w:r>
        <w:rPr>
          <w:rFonts w:hint="eastAsia" w:ascii="宋体" w:hAnsi="宋体" w:cs="宋体"/>
          <w:sz w:val="24"/>
        </w:rPr>
        <w:t>(项目名称)采购活动，提供的货物全部由符合政策要求的中小企业制造。相关企业(含联合体中的中小企业、签订分包意向协议的中小企业)的具体情况如下：</w:t>
      </w:r>
    </w:p>
    <w:p>
      <w:pPr>
        <w:spacing w:line="440" w:lineRule="exact"/>
        <w:ind w:firstLine="480" w:firstLineChars="200"/>
        <w:rPr>
          <w:rFonts w:ascii="宋体" w:hAnsi="宋体" w:cs="宋体"/>
          <w:sz w:val="24"/>
        </w:rPr>
      </w:pPr>
      <w:r>
        <w:rPr>
          <w:rFonts w:hint="eastAsia" w:ascii="宋体" w:hAnsi="宋体" w:cs="宋体"/>
          <w:sz w:val="24"/>
        </w:rPr>
        <w:t>1.(标的名称)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（采购文件中明确的所属行业）行业；制造商为</w:t>
      </w:r>
      <w:r>
        <w:rPr>
          <w:rFonts w:hint="eastAsia" w:ascii="宋体" w:hAnsi="宋体" w:cs="宋体"/>
          <w:sz w:val="24"/>
          <w:u w:val="single"/>
        </w:rPr>
        <w:t xml:space="preserve">       </w:t>
      </w:r>
      <w:r>
        <w:rPr>
          <w:rFonts w:hint="eastAsia" w:ascii="宋体" w:hAnsi="宋体" w:cs="宋体"/>
          <w:sz w:val="24"/>
        </w:rPr>
        <w:t>(企业名称)，从业人员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万元，属于（中型企业、小型企业、微型企业)：</w:t>
      </w:r>
    </w:p>
    <w:p>
      <w:pPr>
        <w:spacing w:line="440" w:lineRule="exact"/>
        <w:ind w:firstLine="480" w:firstLineChars="200"/>
        <w:rPr>
          <w:rFonts w:ascii="宋体" w:hAnsi="宋体" w:cs="宋体"/>
          <w:sz w:val="24"/>
        </w:rPr>
      </w:pPr>
      <w:r>
        <w:rPr>
          <w:rFonts w:hint="eastAsia" w:ascii="宋体" w:hAnsi="宋体" w:cs="宋体"/>
          <w:sz w:val="24"/>
        </w:rPr>
        <w:t>2.(标的名称）</w:t>
      </w:r>
      <w:r>
        <w:rPr>
          <w:rFonts w:hint="eastAsia" w:ascii="宋体" w:hAnsi="宋体" w:cs="宋体"/>
          <w:sz w:val="24"/>
          <w:u w:val="single"/>
        </w:rPr>
        <w:t xml:space="preserve">       </w:t>
      </w:r>
      <w:r>
        <w:rPr>
          <w:rFonts w:hint="eastAsia" w:ascii="宋体" w:hAnsi="宋体" w:cs="宋体"/>
          <w:sz w:val="24"/>
        </w:rPr>
        <w:t>，属于</w:t>
      </w:r>
      <w:r>
        <w:rPr>
          <w:rFonts w:hint="eastAsia" w:ascii="宋体" w:hAnsi="宋体" w:cs="宋体"/>
          <w:sz w:val="24"/>
          <w:u w:val="single"/>
        </w:rPr>
        <w:t xml:space="preserve">      </w:t>
      </w:r>
      <w:r>
        <w:rPr>
          <w:rFonts w:hint="eastAsia" w:ascii="宋体" w:hAnsi="宋体" w:cs="宋体"/>
          <w:sz w:val="24"/>
        </w:rPr>
        <w:t>（采购文件中明确的所属行业)行业；制造商为</w:t>
      </w:r>
      <w:r>
        <w:rPr>
          <w:rFonts w:hint="eastAsia" w:ascii="宋体" w:hAnsi="宋体" w:cs="宋体"/>
          <w:sz w:val="24"/>
          <w:u w:val="single"/>
        </w:rPr>
        <w:t xml:space="preserve">      </w:t>
      </w:r>
      <w:r>
        <w:rPr>
          <w:rFonts w:hint="eastAsia" w:ascii="宋体" w:hAnsi="宋体" w:cs="宋体"/>
          <w:sz w:val="24"/>
        </w:rPr>
        <w:t>(企业名称），从业人员</w:t>
      </w:r>
      <w:r>
        <w:rPr>
          <w:rFonts w:hint="eastAsia" w:ascii="宋体" w:hAnsi="宋体" w:cs="宋体"/>
          <w:sz w:val="24"/>
          <w:u w:val="single"/>
        </w:rPr>
        <w:t xml:space="preserve">     </w:t>
      </w:r>
      <w:r>
        <w:rPr>
          <w:rFonts w:hint="eastAsia" w:ascii="宋体" w:hAnsi="宋体" w:cs="宋体"/>
          <w:sz w:val="24"/>
        </w:rPr>
        <w:t>人，营业收入为</w:t>
      </w:r>
      <w:r>
        <w:rPr>
          <w:rFonts w:hint="eastAsia" w:ascii="宋体" w:hAnsi="宋体" w:cs="宋体"/>
          <w:sz w:val="24"/>
          <w:u w:val="single"/>
        </w:rPr>
        <w:t xml:space="preserve">     </w:t>
      </w:r>
      <w:r>
        <w:rPr>
          <w:rFonts w:hint="eastAsia" w:ascii="宋体" w:hAnsi="宋体" w:cs="宋体"/>
          <w:sz w:val="24"/>
        </w:rPr>
        <w:t>万元，资产总额为</w:t>
      </w:r>
      <w:r>
        <w:rPr>
          <w:rFonts w:hint="eastAsia" w:ascii="宋体" w:hAnsi="宋体" w:cs="宋体"/>
          <w:sz w:val="24"/>
          <w:u w:val="single"/>
        </w:rPr>
        <w:t xml:space="preserve">       </w:t>
      </w:r>
      <w:r>
        <w:rPr>
          <w:rFonts w:hint="eastAsia" w:ascii="宋体" w:hAnsi="宋体" w:cs="宋体"/>
          <w:sz w:val="24"/>
        </w:rPr>
        <w:t>万元，属于《中型企业、小型企业、微型企业）；</w:t>
      </w:r>
    </w:p>
    <w:p>
      <w:pPr>
        <w:spacing w:line="440" w:lineRule="exact"/>
        <w:ind w:firstLine="480" w:firstLineChars="200"/>
        <w:rPr>
          <w:rFonts w:ascii="宋体" w:hAnsi="宋体" w:cs="宋体"/>
          <w:sz w:val="24"/>
        </w:rPr>
      </w:pPr>
      <w:r>
        <w:rPr>
          <w:rFonts w:hint="eastAsia" w:ascii="宋体" w:hAnsi="宋体" w:cs="宋体"/>
          <w:sz w:val="24"/>
        </w:rPr>
        <w:t>........</w:t>
      </w:r>
    </w:p>
    <w:p>
      <w:pPr>
        <w:spacing w:line="440" w:lineRule="exact"/>
        <w:ind w:firstLine="480" w:firstLineChars="200"/>
        <w:rPr>
          <w:rFonts w:ascii="宋体" w:hAnsi="宋体" w:cs="宋体"/>
          <w:sz w:val="24"/>
        </w:rPr>
      </w:pPr>
      <w:r>
        <w:rPr>
          <w:rFonts w:hint="eastAsia" w:ascii="宋体" w:hAnsi="宋体" w:cs="宋体"/>
          <w:sz w:val="24"/>
        </w:rPr>
        <w:t>以上企业，不属于大企业的分支机构，不存在控股股东为大企业的情形，也不存在与大企业的负责人为同一人的情形。</w:t>
      </w:r>
    </w:p>
    <w:p>
      <w:pPr>
        <w:spacing w:line="440" w:lineRule="exact"/>
        <w:ind w:firstLine="480" w:firstLineChars="200"/>
        <w:rPr>
          <w:rFonts w:ascii="宋体" w:hAnsi="宋体" w:cs="宋体"/>
          <w:sz w:val="24"/>
        </w:rPr>
      </w:pPr>
      <w:r>
        <w:rPr>
          <w:rFonts w:hint="eastAsia" w:ascii="宋体" w:hAnsi="宋体" w:cs="宋体"/>
          <w:sz w:val="24"/>
        </w:rPr>
        <w:t>本企业对上述声明内容的真实性负责。如有虚假，将依法承担相应责任。</w:t>
      </w:r>
    </w:p>
    <w:p>
      <w:pPr>
        <w:spacing w:line="440" w:lineRule="exact"/>
        <w:rPr>
          <w:rFonts w:ascii="宋体" w:hAnsi="宋体" w:cs="宋体"/>
          <w:sz w:val="24"/>
        </w:rPr>
      </w:pPr>
    </w:p>
    <w:p>
      <w:pPr>
        <w:pStyle w:val="7"/>
        <w:rPr>
          <w:rFonts w:ascii="宋体" w:hAnsi="宋体" w:cs="宋体"/>
        </w:rPr>
      </w:pPr>
    </w:p>
    <w:p>
      <w:pPr>
        <w:rPr>
          <w:rFonts w:ascii="宋体" w:hAnsi="宋体" w:cs="宋体"/>
        </w:rPr>
      </w:pPr>
    </w:p>
    <w:p>
      <w:pPr>
        <w:spacing w:line="440" w:lineRule="exact"/>
        <w:jc w:val="center"/>
        <w:rPr>
          <w:rFonts w:ascii="宋体" w:hAnsi="宋体" w:cs="宋体"/>
          <w:sz w:val="24"/>
        </w:rPr>
      </w:pPr>
      <w:r>
        <w:rPr>
          <w:rFonts w:hint="eastAsia" w:ascii="宋体" w:hAnsi="宋体" w:cs="宋体"/>
          <w:sz w:val="24"/>
        </w:rPr>
        <w:t xml:space="preserve">    供应商(</w:t>
      </w:r>
      <w:r>
        <w:rPr>
          <w:rFonts w:hint="eastAsia" w:ascii="宋体" w:hAnsi="宋体" w:cs="宋体"/>
          <w:sz w:val="24"/>
          <w:szCs w:val="24"/>
        </w:rPr>
        <w:t>公章</w:t>
      </w:r>
      <w:r>
        <w:rPr>
          <w:rFonts w:hint="eastAsia" w:ascii="宋体" w:hAnsi="宋体" w:cs="宋体"/>
          <w:sz w:val="24"/>
        </w:rPr>
        <w:t>)：</w:t>
      </w:r>
    </w:p>
    <w:p>
      <w:pPr>
        <w:spacing w:line="440" w:lineRule="exact"/>
        <w:jc w:val="center"/>
        <w:rPr>
          <w:rFonts w:ascii="宋体" w:hAnsi="宋体" w:cs="宋体"/>
          <w:sz w:val="24"/>
        </w:rPr>
      </w:pPr>
      <w:r>
        <w:rPr>
          <w:rFonts w:hint="eastAsia" w:ascii="宋体" w:hAnsi="宋体" w:cs="宋体"/>
          <w:sz w:val="24"/>
        </w:rPr>
        <w:t xml:space="preserve">    日   期：</w:t>
      </w:r>
    </w:p>
    <w:p>
      <w:pPr>
        <w:pStyle w:val="9"/>
        <w:ind w:firstLine="480"/>
        <w:rPr>
          <w:rFonts w:ascii="宋体" w:hAnsi="宋体" w:cs="宋体"/>
          <w:sz w:val="24"/>
        </w:rPr>
      </w:pPr>
    </w:p>
    <w:p>
      <w:pPr>
        <w:pStyle w:val="21"/>
        <w:rPr>
          <w:rFonts w:ascii="宋体" w:hAnsi="宋体" w:cs="宋体"/>
          <w:b/>
          <w:bCs/>
        </w:rPr>
      </w:pPr>
    </w:p>
    <w:p>
      <w:pPr>
        <w:pStyle w:val="21"/>
        <w:rPr>
          <w:rFonts w:ascii="宋体" w:hAnsi="宋体" w:cs="宋体"/>
          <w:b/>
          <w:bCs/>
        </w:rPr>
      </w:pPr>
      <w:r>
        <w:rPr>
          <w:rFonts w:hint="eastAsia" w:ascii="宋体" w:hAnsi="宋体" w:cs="宋体"/>
          <w:b/>
          <w:bCs/>
        </w:rPr>
        <w:t>附注：从业人员、营业收入、资产总额填报上一年度数据，无上一年度数据的新成立企业可不填报。</w:t>
      </w:r>
    </w:p>
    <w:p>
      <w:pPr>
        <w:pStyle w:val="5"/>
        <w:rPr>
          <w:rFonts w:ascii="宋体" w:hAnsi="宋体" w:eastAsia="宋体" w:cs="宋体"/>
          <w:sz w:val="24"/>
          <w:szCs w:val="24"/>
        </w:rPr>
      </w:pPr>
      <w:r>
        <w:rPr>
          <w:rFonts w:hint="eastAsia" w:ascii="宋体" w:hAnsi="宋体" w:eastAsia="宋体" w:cs="宋体"/>
          <w:sz w:val="24"/>
          <w:szCs w:val="24"/>
        </w:rPr>
        <w:br w:type="page"/>
      </w:r>
      <w:bookmarkStart w:id="92" w:name="_Toc8980_WPSOffice_Level2"/>
      <w:bookmarkStart w:id="93" w:name="_Toc21965"/>
      <w:bookmarkStart w:id="94" w:name="_Toc14325"/>
      <w:r>
        <w:rPr>
          <w:rFonts w:hint="eastAsia" w:ascii="宋体" w:hAnsi="宋体" w:eastAsia="宋体" w:cs="宋体"/>
          <w:sz w:val="24"/>
          <w:szCs w:val="24"/>
        </w:rPr>
        <w:t>附二：</w:t>
      </w:r>
    </w:p>
    <w:p>
      <w:pPr>
        <w:pStyle w:val="5"/>
        <w:jc w:val="center"/>
        <w:rPr>
          <w:rFonts w:ascii="宋体" w:hAnsi="宋体" w:eastAsia="宋体" w:cs="宋体"/>
          <w:sz w:val="24"/>
          <w:szCs w:val="24"/>
        </w:rPr>
      </w:pPr>
      <w:r>
        <w:rPr>
          <w:rFonts w:hint="eastAsia" w:ascii="宋体" w:hAnsi="宋体" w:eastAsia="宋体" w:cs="宋体"/>
          <w:sz w:val="24"/>
          <w:szCs w:val="24"/>
        </w:rPr>
        <w:t>残疾人福利性单位声明函（如有）</w:t>
      </w:r>
      <w:bookmarkEnd w:id="92"/>
      <w:bookmarkEnd w:id="93"/>
      <w:bookmarkEnd w:id="94"/>
    </w:p>
    <w:p>
      <w:pPr>
        <w:rPr>
          <w:rFonts w:ascii="宋体" w:hAnsi="宋体" w:cs="宋体"/>
        </w:rPr>
      </w:pPr>
    </w:p>
    <w:bookmarkEnd w:id="90"/>
    <w:bookmarkEnd w:id="91"/>
    <w:p>
      <w:pPr>
        <w:rPr>
          <w:rFonts w:ascii="宋体" w:hAnsi="宋体" w:cs="宋体"/>
          <w:b/>
          <w:spacing w:val="6"/>
        </w:rPr>
      </w:pPr>
    </w:p>
    <w:p>
      <w:pPr>
        <w:ind w:firstLine="444" w:firstLineChars="200"/>
        <w:rPr>
          <w:rFonts w:ascii="宋体" w:hAnsi="宋体" w:cs="宋体"/>
          <w:spacing w:val="6"/>
        </w:rPr>
      </w:pPr>
      <w:r>
        <w:rPr>
          <w:rFonts w:hint="eastAsia" w:ascii="宋体" w:hAnsi="宋体" w:cs="宋体"/>
          <w:spacing w:val="6"/>
        </w:rPr>
        <w:t>本单位郑重声明，根据《财政部 民政部 中国残疾人联合会关于促进残疾人就业政府采购政策的通知》（财库</w:t>
      </w:r>
      <w:r>
        <w:rPr>
          <w:rFonts w:hint="eastAsia" w:ascii="宋体" w:hAnsi="宋体" w:cs="宋体"/>
        </w:rPr>
        <w:t>〔2017〕 141</w:t>
      </w:r>
      <w:r>
        <w:rPr>
          <w:rFonts w:hint="eastAsia" w:ascii="宋体" w:hAnsi="宋体" w:cs="宋体"/>
          <w:spacing w:val="6"/>
        </w:rPr>
        <w:t>号）的规定，本单位为符合条件的残疾人福利性单位，且本单位参加</w:t>
      </w:r>
      <w:r>
        <w:rPr>
          <w:rFonts w:hint="eastAsia" w:ascii="宋体" w:hAnsi="宋体" w:cs="宋体"/>
          <w:spacing w:val="6"/>
          <w:u w:val="single"/>
        </w:rPr>
        <w:t xml:space="preserve">       </w:t>
      </w:r>
      <w:r>
        <w:rPr>
          <w:rFonts w:hint="eastAsia" w:ascii="宋体" w:hAnsi="宋体" w:cs="宋体"/>
          <w:spacing w:val="6"/>
        </w:rPr>
        <w:t>单位的</w:t>
      </w:r>
      <w:r>
        <w:rPr>
          <w:rFonts w:hint="eastAsia" w:ascii="宋体" w:hAnsi="宋体" w:cs="宋体"/>
          <w:spacing w:val="6"/>
          <w:u w:val="single"/>
        </w:rPr>
        <w:t xml:space="preserve">      </w:t>
      </w:r>
      <w:r>
        <w:rPr>
          <w:rFonts w:hint="eastAsia" w:ascii="宋体" w:hAnsi="宋体" w:cs="宋体"/>
          <w:spacing w:val="6"/>
        </w:rPr>
        <w:t>项目采购活动提供本单位制造的货物（由本单位承担工程/提供服务），或者提供其他残疾人福利性单位制造的货物（不包括使用非残疾人福利性单位注册商标的货物）。</w:t>
      </w:r>
    </w:p>
    <w:p>
      <w:pPr>
        <w:ind w:firstLine="444" w:firstLineChars="200"/>
        <w:rPr>
          <w:rFonts w:ascii="宋体" w:hAnsi="宋体" w:cs="宋体"/>
          <w:spacing w:val="6"/>
        </w:rPr>
      </w:pPr>
      <w:r>
        <w:rPr>
          <w:rFonts w:hint="eastAsia" w:ascii="宋体" w:hAnsi="宋体" w:cs="宋体"/>
          <w:spacing w:val="6"/>
        </w:rPr>
        <w:t>本单位对上述声明的真实性负责。如有虚假，将依法承担相应责任。</w:t>
      </w:r>
    </w:p>
    <w:p>
      <w:pPr>
        <w:spacing w:line="460" w:lineRule="exact"/>
        <w:jc w:val="center"/>
        <w:rPr>
          <w:rFonts w:ascii="宋体" w:hAnsi="宋体" w:cs="宋体"/>
        </w:rPr>
      </w:pPr>
      <w:r>
        <w:rPr>
          <w:rFonts w:hint="eastAsia" w:ascii="宋体" w:hAnsi="宋体" w:cs="宋体"/>
        </w:rPr>
        <w:t xml:space="preserve">                                                 </w:t>
      </w:r>
      <w:bookmarkStart w:id="95" w:name="_Toc13152_WPSOffice_Level2"/>
      <w:r>
        <w:rPr>
          <w:rFonts w:hint="eastAsia" w:ascii="宋体" w:hAnsi="宋体" w:cs="宋体"/>
        </w:rPr>
        <w:t>供应商（公章）：</w:t>
      </w:r>
      <w:bookmarkEnd w:id="95"/>
    </w:p>
    <w:p>
      <w:pPr>
        <w:jc w:val="center"/>
        <w:rPr>
          <w:rFonts w:ascii="宋体" w:hAnsi="宋体" w:cs="宋体"/>
          <w:spacing w:val="6"/>
        </w:rPr>
      </w:pPr>
    </w:p>
    <w:p>
      <w:pPr>
        <w:jc w:val="center"/>
        <w:rPr>
          <w:rFonts w:ascii="宋体" w:hAnsi="宋体" w:cs="宋体"/>
        </w:rPr>
      </w:pPr>
      <w:r>
        <w:rPr>
          <w:rFonts w:hint="eastAsia" w:ascii="宋体" w:hAnsi="宋体" w:cs="宋体"/>
        </w:rPr>
        <w:t xml:space="preserve">                                                 </w:t>
      </w:r>
      <w:bookmarkStart w:id="96" w:name="_Toc2487_WPSOffice_Level2"/>
      <w:r>
        <w:rPr>
          <w:rFonts w:hint="eastAsia" w:ascii="宋体" w:hAnsi="宋体" w:cs="宋体"/>
        </w:rPr>
        <w:t xml:space="preserve">日期： </w:t>
      </w:r>
      <w:bookmarkEnd w:id="96"/>
    </w:p>
    <w:p>
      <w:pPr>
        <w:rPr>
          <w:rFonts w:ascii="宋体" w:hAnsi="宋体" w:cs="宋体"/>
        </w:rPr>
      </w:pPr>
    </w:p>
    <w:p>
      <w:pPr>
        <w:widowControl/>
        <w:rPr>
          <w:rFonts w:ascii="宋体" w:hAnsi="宋体" w:cs="宋体"/>
          <w:b/>
        </w:rPr>
      </w:pPr>
      <w:r>
        <w:rPr>
          <w:rFonts w:hint="eastAsia" w:ascii="宋体" w:hAnsi="宋体" w:cs="宋体"/>
          <w:b/>
        </w:rPr>
        <w:t>（提醒：如果响应人</w:t>
      </w:r>
      <w:r>
        <w:rPr>
          <w:rFonts w:hint="eastAsia" w:ascii="宋体" w:hAnsi="宋体" w:cs="宋体"/>
          <w:b/>
          <w:spacing w:val="10"/>
        </w:rPr>
        <w:t>不是残疾人福利性单位</w:t>
      </w:r>
      <w:r>
        <w:rPr>
          <w:rFonts w:hint="eastAsia" w:ascii="宋体" w:hAnsi="宋体" w:cs="宋体"/>
          <w:b/>
        </w:rPr>
        <w:t>，则不需要提供《残疾人福利性单位声明函》。否则，因此导致虚假投标的后果由响应人自行承担。）</w:t>
      </w:r>
    </w:p>
    <w:p>
      <w:pPr>
        <w:rPr>
          <w:rFonts w:ascii="宋体" w:hAnsi="宋体" w:cs="宋体"/>
        </w:rPr>
      </w:pPr>
      <w:r>
        <w:rPr>
          <w:rFonts w:hint="eastAsia" w:ascii="宋体" w:hAnsi="宋体" w:cs="宋体"/>
        </w:rPr>
        <w:t>《财政部民政部中国残疾人联合会关于促进残疾人就业政府采购政策的通知》（财库（2017〔141〕号）的规定：</w:t>
      </w:r>
    </w:p>
    <w:p>
      <w:pPr>
        <w:ind w:firstLine="420" w:firstLineChars="200"/>
        <w:rPr>
          <w:rFonts w:ascii="宋体" w:hAnsi="宋体" w:cs="宋体"/>
        </w:rPr>
      </w:pPr>
      <w:r>
        <w:rPr>
          <w:rFonts w:hint="eastAsia" w:ascii="宋体" w:hAnsi="宋体" w:cs="宋体"/>
        </w:rPr>
        <w:t>1. 享受政府采购支持政策的残疾人福利性单位应当同时满足以下条件：</w:t>
      </w:r>
    </w:p>
    <w:p>
      <w:pPr>
        <w:rPr>
          <w:rFonts w:ascii="宋体" w:hAnsi="宋体" w:cs="宋体"/>
        </w:rPr>
      </w:pPr>
      <w:r>
        <w:rPr>
          <w:rFonts w:hint="eastAsia" w:ascii="宋体" w:hAnsi="宋体" w:cs="宋体"/>
        </w:rPr>
        <w:t>（1）安置的残疾人占本单位在职职工人数的比例不低于25%（含25%），并且安置的残疾人人数不少于10人（含10人）；</w:t>
      </w:r>
    </w:p>
    <w:p>
      <w:pPr>
        <w:rPr>
          <w:rFonts w:ascii="宋体" w:hAnsi="宋体" w:cs="宋体"/>
        </w:rPr>
      </w:pPr>
      <w:r>
        <w:rPr>
          <w:rFonts w:hint="eastAsia" w:ascii="宋体" w:hAnsi="宋体" w:cs="宋体"/>
        </w:rPr>
        <w:t>（2）依法与安置的每位残疾人签订了一年以上（含一年）的劳动合同或服务协议；</w:t>
      </w:r>
    </w:p>
    <w:p>
      <w:pPr>
        <w:rPr>
          <w:rFonts w:ascii="宋体" w:hAnsi="宋体" w:cs="宋体"/>
        </w:rPr>
      </w:pPr>
      <w:r>
        <w:rPr>
          <w:rFonts w:hint="eastAsia" w:ascii="宋体" w:hAnsi="宋体" w:cs="宋体"/>
        </w:rPr>
        <w:t>（3）为安置的每位残疾人按月足额缴纳了基本养老保险、基本医疗保险、失业保险、工伤保险和生育保险等社会保险费；</w:t>
      </w:r>
    </w:p>
    <w:p>
      <w:pPr>
        <w:rPr>
          <w:rFonts w:ascii="宋体" w:hAnsi="宋体" w:cs="宋体"/>
        </w:rPr>
      </w:pPr>
      <w:r>
        <w:rPr>
          <w:rFonts w:hint="eastAsia" w:ascii="宋体" w:hAnsi="宋体" w:cs="宋体"/>
        </w:rPr>
        <w:t>（4）通过银行等金融机构向安置的每位残疾人，按月支付了不低于单位所在区县适用的经省级人民政府批准的月最低工资标准的工资；</w:t>
      </w:r>
    </w:p>
    <w:p>
      <w:pPr>
        <w:rPr>
          <w:rFonts w:ascii="宋体" w:hAnsi="宋体" w:cs="宋体"/>
        </w:rPr>
      </w:pPr>
      <w:r>
        <w:rPr>
          <w:rFonts w:hint="eastAsia" w:ascii="宋体" w:hAnsi="宋体" w:cs="宋体"/>
        </w:rPr>
        <w:t>（5）提供本单位制造的货物、承担的工程或者服务（以下简称产品），或者提供其他残疾人福利性单位制造的货物（不包括使用非残疾人福利性单位注册商标的货物）。</w:t>
      </w:r>
    </w:p>
    <w:p>
      <w:pPr>
        <w:ind w:firstLine="420" w:firstLineChars="200"/>
        <w:rPr>
          <w:rFonts w:ascii="宋体" w:hAnsi="宋体" w:cs="宋体"/>
          <w:b/>
        </w:rPr>
      </w:pPr>
      <w:r>
        <w:rPr>
          <w:rFonts w:hint="eastAsia" w:ascii="宋体" w:hAnsi="宋体" w:cs="宋体"/>
        </w:rPr>
        <w:t>2. 中标人为残疾人福利性单位的，采购人或者其委托的采购代理机构应当随中标、成交结果同时公告其《残疾人福利性单位声明函》，接受社会监督。</w:t>
      </w: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jc w:val="center"/>
        <w:rPr>
          <w:rFonts w:ascii="宋体" w:hAnsi="宋体" w:cs="宋体"/>
        </w:rPr>
      </w:pPr>
    </w:p>
    <w:p>
      <w:pPr>
        <w:rPr>
          <w:rFonts w:ascii="宋体" w:hAnsi="宋体" w:cs="宋体"/>
        </w:rPr>
      </w:pPr>
    </w:p>
    <w:sectPr>
      <w:headerReference r:id="rId4" w:type="default"/>
      <w:footerReference r:id="rId5" w:type="default"/>
      <w:footerReference r:id="rId6" w:type="even"/>
      <w:pgSz w:w="11906" w:h="16838"/>
      <w:pgMar w:top="1440" w:right="1800" w:bottom="1440" w:left="1800" w:header="851" w:footer="839"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auto"/>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16" w:usb3="00000000" w:csb0="00040001" w:csb1="00000000"/>
  </w:font>
  <w:font w:name="楷体">
    <w:panose1 w:val="02010609060101010101"/>
    <w:charset w:val="86"/>
    <w:family w:val="modern"/>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Arial Unicode MS">
    <w:panose1 w:val="020B0604020202020204"/>
    <w:charset w:val="86"/>
    <w:family w:val="roman"/>
    <w:pitch w:val="default"/>
    <w:sig w:usb0="FFFFFFFF" w:usb1="E9FFFFFF" w:usb2="0000003F" w:usb3="00000000" w:csb0="603F01FF" w:csb1="FFFF0000"/>
  </w:font>
  <w:font w:name="仿宋">
    <w:panose1 w:val="02010609060101010101"/>
    <w:charset w:val="86"/>
    <w:family w:val="modern"/>
    <w:pitch w:val="default"/>
    <w:sig w:usb0="800002BF" w:usb1="38CF7CFA" w:usb2="00000016" w:usb3="00000000" w:csb0="00040001" w:csb1="00000000"/>
  </w:font>
  <w:font w:name="PMingLiU">
    <w:altName w:val="Microsoft JhengHei UI"/>
    <w:panose1 w:val="02010601000101010101"/>
    <w:charset w:val="88"/>
    <w:family w:val="auto"/>
    <w:pitch w:val="default"/>
    <w:sig w:usb0="00000000" w:usb1="00000000" w:usb2="00000010" w:usb3="00000000" w:csb0="00100000" w:csb1="00000000"/>
  </w:font>
  <w:font w:name="Tahoma">
    <w:panose1 w:val="020B0604030504040204"/>
    <w:charset w:val="00"/>
    <w:family w:val="auto"/>
    <w:pitch w:val="default"/>
    <w:sig w:usb0="E1002EFF" w:usb1="C000605B" w:usb2="00000029" w:usb3="00000000" w:csb0="200101FF" w:csb1="20280000"/>
  </w:font>
  <w:font w:name="隶书">
    <w:panose1 w:val="02010509060101010101"/>
    <w:charset w:val="86"/>
    <w:family w:val="modern"/>
    <w:pitch w:val="default"/>
    <w:sig w:usb0="00000001" w:usb1="080E0000" w:usb2="00000000" w:usb3="00000000" w:csb0="00040000" w:csb1="00000000"/>
  </w:font>
  <w:font w:name="楷体_GB2312">
    <w:altName w:val="楷体"/>
    <w:panose1 w:val="00000000000000000000"/>
    <w:charset w:val="86"/>
    <w:family w:val="modern"/>
    <w:pitch w:val="default"/>
    <w:sig w:usb0="00000000" w:usb1="00000000" w:usb2="00000016" w:usb3="00000000" w:csb0="00040001" w:csb1="00000000"/>
  </w:font>
  <w:font w:name="Verdana">
    <w:panose1 w:val="020B0604030504040204"/>
    <w:charset w:val="00"/>
    <w:family w:val="swiss"/>
    <w:pitch w:val="default"/>
    <w:sig w:usb0="A00006FF" w:usb1="4000205B" w:usb2="00000010" w:usb3="00000000" w:csb0="2000019F" w:csb1="00000000"/>
  </w:font>
  <w:font w:name="Garamond">
    <w:panose1 w:val="02020404030301010803"/>
    <w:charset w:val="00"/>
    <w:family w:val="roman"/>
    <w:pitch w:val="default"/>
    <w:sig w:usb0="00000287" w:usb1="00000000" w:usb2="00000000" w:usb3="00000000" w:csb0="0000009F" w:csb1="DFD7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6vHQyQEAAJkDAAAOAAAAAAAAAAEAIAAAAB4BAABkcnMvZTJvRG9j&#10;LnhtbFBLBQYAAAAABgAGAFkBAABZBQAAAAA=&#10;">
              <v:fill on="f" focussize="0,0"/>
              <v:stroke on="f"/>
              <v:imagedata o:title=""/>
              <o:lock v:ext="edit" aspectratio="f"/>
              <v:textbox inset="0mm,0mm,0mm,0mm" style="mso-fit-shape-to-text:t;">
                <w:txbxContent>
                  <w:p>
                    <w:pPr>
                      <w:pStyle w:val="29"/>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tabs>
        <w:tab w:val="center" w:pos="4153"/>
        <w:tab w:val="right" w:pos="8306"/>
      </w:tabs>
      <w:rPr>
        <w:rStyle w:val="50"/>
      </w:rPr>
    </w:pPr>
    <w:r>
      <w:fldChar w:fldCharType="begin"/>
    </w:r>
    <w:r>
      <w:rPr>
        <w:rStyle w:val="50"/>
      </w:rPr>
      <w:instrText xml:space="preserve">PAGE  </w:instrText>
    </w:r>
    <w:r>
      <w:fldChar w:fldCharType="separate"/>
    </w:r>
    <w:r>
      <w:rPr>
        <w:rStyle w:val="50"/>
      </w:rPr>
      <w:t>69</w:t>
    </w:r>
    <w:r>
      <w:fldChar w:fldCharType="end"/>
    </w:r>
  </w:p>
  <w:p>
    <w:pPr>
      <w:pStyle w:val="29"/>
      <w:tabs>
        <w:tab w:val="center" w:pos="4153"/>
        <w:tab w:val="right" w:pos="8306"/>
      </w:tabs>
      <w:rPr>
        <w:sz w:val="21"/>
        <w:szCs w:val="21"/>
      </w:rPr>
    </w:pPr>
    <w:r>
      <w:rPr>
        <w:rFonts w:hint="eastAsia"/>
        <w:sz w:val="21"/>
        <w:szCs w:val="21"/>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tabs>
        <w:tab w:val="center" w:pos="4153"/>
        <w:tab w:val="right" w:pos="8306"/>
      </w:tabs>
      <w:rPr>
        <w:rStyle w:val="50"/>
      </w:rPr>
    </w:pPr>
    <w:r>
      <w:fldChar w:fldCharType="begin"/>
    </w:r>
    <w:r>
      <w:rPr>
        <w:rStyle w:val="50"/>
      </w:rPr>
      <w:instrText xml:space="preserve">PAGE  </w:instrText>
    </w:r>
    <w:r>
      <w:fldChar w:fldCharType="end"/>
    </w:r>
  </w:p>
  <w:p>
    <w:pPr>
      <w:pStyle w:val="29"/>
      <w:tabs>
        <w:tab w:val="center" w:pos="4153"/>
        <w:tab w:val="right" w:pos="8306"/>
      </w:tabs>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tabs>
        <w:tab w:val="center" w:pos="4153"/>
        <w:tab w:val="right" w:pos="8306"/>
      </w:tabs>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413AB2"/>
    <w:multiLevelType w:val="singleLevel"/>
    <w:tmpl w:val="C0413AB2"/>
    <w:lvl w:ilvl="0" w:tentative="0">
      <w:start w:val="3"/>
      <w:numFmt w:val="chineseCounting"/>
      <w:suff w:val="space"/>
      <w:lvlText w:val="第%1章"/>
      <w:lvlJc w:val="left"/>
      <w:rPr>
        <w:rFonts w:hint="eastAsia"/>
      </w:rPr>
    </w:lvl>
  </w:abstractNum>
  <w:abstractNum w:abstractNumId="1">
    <w:nsid w:val="00000007"/>
    <w:multiLevelType w:val="multilevel"/>
    <w:tmpl w:val="00000007"/>
    <w:lvl w:ilvl="0" w:tentative="0">
      <w:start w:val="8"/>
      <w:numFmt w:val="decimal"/>
      <w:pStyle w:val="262"/>
      <w:lvlText w:val="%1）"/>
      <w:lvlJc w:val="left"/>
      <w:pPr>
        <w:tabs>
          <w:tab w:val="left" w:pos="904"/>
        </w:tabs>
        <w:ind w:left="904" w:hanging="360"/>
      </w:pPr>
      <w:rPr>
        <w:rFonts w:hint="default"/>
        <w:color w:val="auto"/>
      </w:rPr>
    </w:lvl>
    <w:lvl w:ilvl="1" w:tentative="0">
      <w:start w:val="1"/>
      <w:numFmt w:val="lowerLetter"/>
      <w:lvlText w:val="%2)"/>
      <w:lvlJc w:val="left"/>
      <w:pPr>
        <w:tabs>
          <w:tab w:val="left" w:pos="1384"/>
        </w:tabs>
        <w:ind w:left="1384" w:hanging="420"/>
      </w:pPr>
    </w:lvl>
    <w:lvl w:ilvl="2" w:tentative="0">
      <w:start w:val="1"/>
      <w:numFmt w:val="lowerRoman"/>
      <w:lvlText w:val="%3."/>
      <w:lvlJc w:val="right"/>
      <w:pPr>
        <w:tabs>
          <w:tab w:val="left" w:pos="1804"/>
        </w:tabs>
        <w:ind w:left="1804" w:hanging="420"/>
      </w:pPr>
    </w:lvl>
    <w:lvl w:ilvl="3" w:tentative="0">
      <w:start w:val="1"/>
      <w:numFmt w:val="decimal"/>
      <w:lvlText w:val="%4."/>
      <w:lvlJc w:val="left"/>
      <w:pPr>
        <w:tabs>
          <w:tab w:val="left" w:pos="2224"/>
        </w:tabs>
        <w:ind w:left="2224" w:hanging="420"/>
      </w:pPr>
    </w:lvl>
    <w:lvl w:ilvl="4" w:tentative="0">
      <w:start w:val="1"/>
      <w:numFmt w:val="lowerLetter"/>
      <w:lvlText w:val="%5)"/>
      <w:lvlJc w:val="left"/>
      <w:pPr>
        <w:tabs>
          <w:tab w:val="left" w:pos="2644"/>
        </w:tabs>
        <w:ind w:left="2644" w:hanging="420"/>
      </w:pPr>
    </w:lvl>
    <w:lvl w:ilvl="5" w:tentative="0">
      <w:start w:val="1"/>
      <w:numFmt w:val="lowerRoman"/>
      <w:lvlText w:val="%6."/>
      <w:lvlJc w:val="right"/>
      <w:pPr>
        <w:tabs>
          <w:tab w:val="left" w:pos="3064"/>
        </w:tabs>
        <w:ind w:left="3064" w:hanging="420"/>
      </w:pPr>
    </w:lvl>
    <w:lvl w:ilvl="6" w:tentative="0">
      <w:start w:val="1"/>
      <w:numFmt w:val="decimal"/>
      <w:lvlText w:val="%7."/>
      <w:lvlJc w:val="left"/>
      <w:pPr>
        <w:tabs>
          <w:tab w:val="left" w:pos="3484"/>
        </w:tabs>
        <w:ind w:left="3484" w:hanging="420"/>
      </w:pPr>
    </w:lvl>
    <w:lvl w:ilvl="7" w:tentative="0">
      <w:start w:val="1"/>
      <w:numFmt w:val="lowerLetter"/>
      <w:lvlText w:val="%8)"/>
      <w:lvlJc w:val="left"/>
      <w:pPr>
        <w:tabs>
          <w:tab w:val="left" w:pos="3904"/>
        </w:tabs>
        <w:ind w:left="3904" w:hanging="420"/>
      </w:pPr>
    </w:lvl>
    <w:lvl w:ilvl="8" w:tentative="0">
      <w:start w:val="1"/>
      <w:numFmt w:val="lowerRoman"/>
      <w:lvlText w:val="%9."/>
      <w:lvlJc w:val="right"/>
      <w:pPr>
        <w:tabs>
          <w:tab w:val="left" w:pos="4324"/>
        </w:tabs>
        <w:ind w:left="4324" w:hanging="420"/>
      </w:pPr>
    </w:lvl>
  </w:abstractNum>
  <w:abstractNum w:abstractNumId="2">
    <w:nsid w:val="0000000F"/>
    <w:multiLevelType w:val="multilevel"/>
    <w:tmpl w:val="0000000F"/>
    <w:lvl w:ilvl="0" w:tentative="0">
      <w:start w:val="1"/>
      <w:numFmt w:val="decimal"/>
      <w:pStyle w:val="261"/>
      <w:lvlText w:val="（%1）"/>
      <w:lvlJc w:val="left"/>
      <w:pPr>
        <w:tabs>
          <w:tab w:val="left" w:pos="720"/>
        </w:tabs>
        <w:ind w:left="720" w:hanging="720"/>
      </w:pPr>
      <w:rPr>
        <w:rFonts w:ascii="Times New Roman" w:hAnsi="Times New Roman" w:eastAsia="Times New Roman"/>
        <w:lang w:val="en-US"/>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615314E"/>
    <w:multiLevelType w:val="multilevel"/>
    <w:tmpl w:val="2615314E"/>
    <w:lvl w:ilvl="0" w:tentative="0">
      <w:start w:val="1"/>
      <w:numFmt w:val="decimal"/>
      <w:pStyle w:val="255"/>
      <w:lvlText w:val="表%1"/>
      <w:lvlJc w:val="left"/>
      <w:pPr>
        <w:tabs>
          <w:tab w:val="left" w:pos="624"/>
        </w:tabs>
        <w:ind w:left="624" w:hanging="624"/>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2E20337C"/>
    <w:multiLevelType w:val="multilevel"/>
    <w:tmpl w:val="2E20337C"/>
    <w:lvl w:ilvl="0" w:tentative="0">
      <w:start w:val="1"/>
      <w:numFmt w:val="decimal"/>
      <w:lvlText w:val="%1"/>
      <w:lvlJc w:val="left"/>
      <w:pPr>
        <w:ind w:left="840" w:hanging="360"/>
      </w:pPr>
      <w:rPr>
        <w:rFonts w:hint="default" w:ascii="Times New Roman" w:hAnsi="Times New Roman" w:cs="Times New Roman"/>
      </w:rPr>
    </w:lvl>
    <w:lvl w:ilvl="1" w:tentative="0">
      <w:start w:val="1"/>
      <w:numFmt w:val="lowerLetter"/>
      <w:lvlText w:val="%2)"/>
      <w:lvlJc w:val="left"/>
      <w:pPr>
        <w:ind w:left="1320" w:hanging="420"/>
      </w:pPr>
      <w:rPr>
        <w:rFonts w:hint="default" w:ascii="Times New Roman" w:hAnsi="Times New Roman" w:cs="Times New Roman"/>
      </w:rPr>
    </w:lvl>
    <w:lvl w:ilvl="2" w:tentative="0">
      <w:start w:val="1"/>
      <w:numFmt w:val="lowerRoman"/>
      <w:lvlText w:val="%3."/>
      <w:lvlJc w:val="right"/>
      <w:pPr>
        <w:ind w:left="1740" w:hanging="420"/>
      </w:pPr>
      <w:rPr>
        <w:rFonts w:hint="default" w:ascii="Times New Roman" w:hAnsi="Times New Roman" w:cs="Times New Roman"/>
      </w:rPr>
    </w:lvl>
    <w:lvl w:ilvl="3" w:tentative="0">
      <w:start w:val="1"/>
      <w:numFmt w:val="decimal"/>
      <w:lvlText w:val="%4."/>
      <w:lvlJc w:val="left"/>
      <w:pPr>
        <w:ind w:left="2160" w:hanging="420"/>
      </w:pPr>
      <w:rPr>
        <w:rFonts w:hint="default" w:ascii="Times New Roman" w:hAnsi="Times New Roman" w:cs="Times New Roman"/>
      </w:rPr>
    </w:lvl>
    <w:lvl w:ilvl="4" w:tentative="0">
      <w:start w:val="1"/>
      <w:numFmt w:val="lowerLetter"/>
      <w:lvlText w:val="%5)"/>
      <w:lvlJc w:val="left"/>
      <w:pPr>
        <w:ind w:left="2580" w:hanging="420"/>
      </w:pPr>
      <w:rPr>
        <w:rFonts w:hint="default" w:ascii="Times New Roman" w:hAnsi="Times New Roman" w:cs="Times New Roman"/>
      </w:rPr>
    </w:lvl>
    <w:lvl w:ilvl="5" w:tentative="0">
      <w:start w:val="1"/>
      <w:numFmt w:val="lowerRoman"/>
      <w:lvlText w:val="%6."/>
      <w:lvlJc w:val="right"/>
      <w:pPr>
        <w:ind w:left="3000" w:hanging="420"/>
      </w:pPr>
      <w:rPr>
        <w:rFonts w:hint="default" w:ascii="Times New Roman" w:hAnsi="Times New Roman" w:cs="Times New Roman"/>
      </w:rPr>
    </w:lvl>
    <w:lvl w:ilvl="6" w:tentative="0">
      <w:start w:val="1"/>
      <w:numFmt w:val="decimal"/>
      <w:lvlText w:val="%7."/>
      <w:lvlJc w:val="left"/>
      <w:pPr>
        <w:ind w:left="3420" w:hanging="420"/>
      </w:pPr>
      <w:rPr>
        <w:rFonts w:hint="default" w:ascii="Times New Roman" w:hAnsi="Times New Roman" w:cs="Times New Roman"/>
      </w:rPr>
    </w:lvl>
    <w:lvl w:ilvl="7" w:tentative="0">
      <w:start w:val="1"/>
      <w:numFmt w:val="lowerLetter"/>
      <w:lvlText w:val="%8)"/>
      <w:lvlJc w:val="left"/>
      <w:pPr>
        <w:ind w:left="3840" w:hanging="420"/>
      </w:pPr>
      <w:rPr>
        <w:rFonts w:hint="default" w:ascii="Times New Roman" w:hAnsi="Times New Roman" w:cs="Times New Roman"/>
      </w:rPr>
    </w:lvl>
    <w:lvl w:ilvl="8" w:tentative="0">
      <w:start w:val="1"/>
      <w:numFmt w:val="lowerRoman"/>
      <w:lvlText w:val="%9."/>
      <w:lvlJc w:val="right"/>
      <w:pPr>
        <w:ind w:left="4260" w:hanging="420"/>
      </w:pPr>
      <w:rPr>
        <w:rFonts w:hint="default" w:ascii="Times New Roman" w:hAnsi="Times New Roman" w:cs="Times New Roman"/>
      </w:rPr>
    </w:lvl>
  </w:abstractNum>
  <w:abstractNum w:abstractNumId="5">
    <w:nsid w:val="535778F6"/>
    <w:multiLevelType w:val="multilevel"/>
    <w:tmpl w:val="535778F6"/>
    <w:lvl w:ilvl="0" w:tentative="0">
      <w:start w:val="1"/>
      <w:numFmt w:val="chineseCountingThousand"/>
      <w:suff w:val="nothing"/>
      <w:lvlText w:val="%1、"/>
      <w:lvlJc w:val="left"/>
      <w:pPr>
        <w:ind w:left="0" w:firstLine="0"/>
      </w:pPr>
      <w:rPr>
        <w:b/>
        <w:i w:val="0"/>
        <w:sz w:val="24"/>
      </w:rPr>
    </w:lvl>
    <w:lvl w:ilvl="1" w:tentative="0">
      <w:start w:val="1"/>
      <w:numFmt w:val="decimal"/>
      <w:suff w:val="nothing"/>
      <w:lvlText w:val="%2. "/>
      <w:lvlJc w:val="left"/>
      <w:pPr>
        <w:ind w:left="0" w:firstLine="0"/>
      </w:pPr>
      <w:rPr>
        <w:b w:val="0"/>
        <w:i w:val="0"/>
        <w:sz w:val="24"/>
      </w:r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pStyle w:val="11"/>
      <w:suff w:val="nothing"/>
      <w:lvlText w:val=""/>
      <w:lvlJc w:val="left"/>
      <w:pPr>
        <w:ind w:left="0" w:firstLine="0"/>
      </w:pPr>
    </w:lvl>
    <w:lvl w:ilvl="6" w:tentative="0">
      <w:start w:val="1"/>
      <w:numFmt w:val="none"/>
      <w:pStyle w:val="12"/>
      <w:suff w:val="nothing"/>
      <w:lvlText w:val=""/>
      <w:lvlJc w:val="left"/>
      <w:pPr>
        <w:ind w:left="0" w:firstLine="0"/>
      </w:pPr>
    </w:lvl>
    <w:lvl w:ilvl="7" w:tentative="0">
      <w:start w:val="1"/>
      <w:numFmt w:val="none"/>
      <w:pStyle w:val="13"/>
      <w:suff w:val="nothing"/>
      <w:lvlText w:val=""/>
      <w:lvlJc w:val="left"/>
      <w:pPr>
        <w:ind w:left="0" w:firstLine="0"/>
      </w:pPr>
    </w:lvl>
    <w:lvl w:ilvl="8" w:tentative="0">
      <w:start w:val="1"/>
      <w:numFmt w:val="none"/>
      <w:pStyle w:val="14"/>
      <w:suff w:val="nothing"/>
      <w:lvlText w:val=""/>
      <w:lvlJc w:val="left"/>
      <w:pPr>
        <w:ind w:left="0" w:firstLine="0"/>
      </w:pPr>
    </w:lvl>
  </w:abstractNum>
  <w:abstractNum w:abstractNumId="6">
    <w:nsid w:val="6921385D"/>
    <w:multiLevelType w:val="multilevel"/>
    <w:tmpl w:val="6921385D"/>
    <w:lvl w:ilvl="0" w:tentative="0">
      <w:start w:val="1"/>
      <w:numFmt w:val="decimal"/>
      <w:suff w:val="nothing"/>
      <w:lvlText w:val="%1"/>
      <w:lvlJc w:val="center"/>
      <w:pPr>
        <w:ind w:left="420" w:hanging="132"/>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5"/>
  </w:num>
  <w:num w:numId="2">
    <w:abstractNumId w:val="3"/>
  </w:num>
  <w:num w:numId="3">
    <w:abstractNumId w:val="2"/>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NotTrackMoves/>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A4NTFhNmUwODdlNzFjNThjZmFiOThiNDVjNjk5YmEifQ=="/>
  </w:docVars>
  <w:rsids>
    <w:rsidRoot w:val="00E45E61"/>
    <w:rsid w:val="00016B47"/>
    <w:rsid w:val="0002058D"/>
    <w:rsid w:val="00023AE7"/>
    <w:rsid w:val="00023B5C"/>
    <w:rsid w:val="000257AA"/>
    <w:rsid w:val="0003341B"/>
    <w:rsid w:val="00033B0B"/>
    <w:rsid w:val="00035EB3"/>
    <w:rsid w:val="00035ECC"/>
    <w:rsid w:val="00041094"/>
    <w:rsid w:val="00043979"/>
    <w:rsid w:val="0005059A"/>
    <w:rsid w:val="000536E4"/>
    <w:rsid w:val="00053769"/>
    <w:rsid w:val="00060F1E"/>
    <w:rsid w:val="00061D4C"/>
    <w:rsid w:val="00064317"/>
    <w:rsid w:val="0006608E"/>
    <w:rsid w:val="00071E35"/>
    <w:rsid w:val="000764A7"/>
    <w:rsid w:val="000901F1"/>
    <w:rsid w:val="00093249"/>
    <w:rsid w:val="00093950"/>
    <w:rsid w:val="000A1A9C"/>
    <w:rsid w:val="000A4317"/>
    <w:rsid w:val="000A4553"/>
    <w:rsid w:val="000A5406"/>
    <w:rsid w:val="000A6F93"/>
    <w:rsid w:val="000A7E5D"/>
    <w:rsid w:val="000B0C8E"/>
    <w:rsid w:val="000B603E"/>
    <w:rsid w:val="000B6146"/>
    <w:rsid w:val="000B7251"/>
    <w:rsid w:val="000C361C"/>
    <w:rsid w:val="000C53ED"/>
    <w:rsid w:val="000C5ECB"/>
    <w:rsid w:val="000C72C2"/>
    <w:rsid w:val="000D1013"/>
    <w:rsid w:val="000D4287"/>
    <w:rsid w:val="000E0869"/>
    <w:rsid w:val="000E12FD"/>
    <w:rsid w:val="000E4A73"/>
    <w:rsid w:val="000F01E7"/>
    <w:rsid w:val="000F206A"/>
    <w:rsid w:val="000F2595"/>
    <w:rsid w:val="000F5C39"/>
    <w:rsid w:val="0011051D"/>
    <w:rsid w:val="00112F9D"/>
    <w:rsid w:val="001147DD"/>
    <w:rsid w:val="001165B5"/>
    <w:rsid w:val="00122F11"/>
    <w:rsid w:val="00126EB2"/>
    <w:rsid w:val="00127B4A"/>
    <w:rsid w:val="00132BA7"/>
    <w:rsid w:val="00137C9F"/>
    <w:rsid w:val="00150FF5"/>
    <w:rsid w:val="00157172"/>
    <w:rsid w:val="001634B9"/>
    <w:rsid w:val="001643F4"/>
    <w:rsid w:val="00171586"/>
    <w:rsid w:val="00174982"/>
    <w:rsid w:val="001813B4"/>
    <w:rsid w:val="00183159"/>
    <w:rsid w:val="001846C4"/>
    <w:rsid w:val="00193DAB"/>
    <w:rsid w:val="00194927"/>
    <w:rsid w:val="00197158"/>
    <w:rsid w:val="00197852"/>
    <w:rsid w:val="001B52F1"/>
    <w:rsid w:val="001C1BCF"/>
    <w:rsid w:val="001C3485"/>
    <w:rsid w:val="001C3776"/>
    <w:rsid w:val="001C3EED"/>
    <w:rsid w:val="001C4C47"/>
    <w:rsid w:val="001C66E0"/>
    <w:rsid w:val="001C7540"/>
    <w:rsid w:val="001D240D"/>
    <w:rsid w:val="001D5DB8"/>
    <w:rsid w:val="001E0709"/>
    <w:rsid w:val="001E31EA"/>
    <w:rsid w:val="001E4476"/>
    <w:rsid w:val="001E4A9D"/>
    <w:rsid w:val="001E6284"/>
    <w:rsid w:val="00201A1B"/>
    <w:rsid w:val="00204E77"/>
    <w:rsid w:val="002052F7"/>
    <w:rsid w:val="00206469"/>
    <w:rsid w:val="00210737"/>
    <w:rsid w:val="00215FB6"/>
    <w:rsid w:val="0021710E"/>
    <w:rsid w:val="0022065C"/>
    <w:rsid w:val="002244CF"/>
    <w:rsid w:val="00227522"/>
    <w:rsid w:val="0022766C"/>
    <w:rsid w:val="002363BB"/>
    <w:rsid w:val="00253316"/>
    <w:rsid w:val="002628A8"/>
    <w:rsid w:val="00262C1B"/>
    <w:rsid w:val="00270397"/>
    <w:rsid w:val="00271DB2"/>
    <w:rsid w:val="00275808"/>
    <w:rsid w:val="00276060"/>
    <w:rsid w:val="00276F14"/>
    <w:rsid w:val="00280195"/>
    <w:rsid w:val="00280609"/>
    <w:rsid w:val="0028117F"/>
    <w:rsid w:val="0028354C"/>
    <w:rsid w:val="002853C5"/>
    <w:rsid w:val="00286075"/>
    <w:rsid w:val="00287FAB"/>
    <w:rsid w:val="00297599"/>
    <w:rsid w:val="002A2355"/>
    <w:rsid w:val="002A710C"/>
    <w:rsid w:val="002B0E2A"/>
    <w:rsid w:val="002B3905"/>
    <w:rsid w:val="002B792A"/>
    <w:rsid w:val="002C0EE4"/>
    <w:rsid w:val="002C1CF0"/>
    <w:rsid w:val="002C616B"/>
    <w:rsid w:val="002D6AFA"/>
    <w:rsid w:val="002E0969"/>
    <w:rsid w:val="00300CAE"/>
    <w:rsid w:val="00301BC3"/>
    <w:rsid w:val="0030562B"/>
    <w:rsid w:val="003066CB"/>
    <w:rsid w:val="00312008"/>
    <w:rsid w:val="0031469A"/>
    <w:rsid w:val="003152F0"/>
    <w:rsid w:val="00317B87"/>
    <w:rsid w:val="00321DC7"/>
    <w:rsid w:val="003228C9"/>
    <w:rsid w:val="00322FB0"/>
    <w:rsid w:val="00332CB2"/>
    <w:rsid w:val="00333D26"/>
    <w:rsid w:val="00340611"/>
    <w:rsid w:val="00345C59"/>
    <w:rsid w:val="0035178C"/>
    <w:rsid w:val="003533E7"/>
    <w:rsid w:val="00353D79"/>
    <w:rsid w:val="00354A47"/>
    <w:rsid w:val="00357119"/>
    <w:rsid w:val="00360A25"/>
    <w:rsid w:val="00371EFD"/>
    <w:rsid w:val="0037593E"/>
    <w:rsid w:val="00377B29"/>
    <w:rsid w:val="003823C4"/>
    <w:rsid w:val="003838E6"/>
    <w:rsid w:val="0039028F"/>
    <w:rsid w:val="003910B2"/>
    <w:rsid w:val="003930E8"/>
    <w:rsid w:val="00393638"/>
    <w:rsid w:val="00394F5D"/>
    <w:rsid w:val="00397568"/>
    <w:rsid w:val="003A53D5"/>
    <w:rsid w:val="003A5FE9"/>
    <w:rsid w:val="003B2F7F"/>
    <w:rsid w:val="003B47C0"/>
    <w:rsid w:val="003B4FF7"/>
    <w:rsid w:val="003B5F3B"/>
    <w:rsid w:val="003B6543"/>
    <w:rsid w:val="003C4DBA"/>
    <w:rsid w:val="003D2DE9"/>
    <w:rsid w:val="003D68DA"/>
    <w:rsid w:val="003D6CC0"/>
    <w:rsid w:val="003E2CE9"/>
    <w:rsid w:val="003E5A9B"/>
    <w:rsid w:val="003F09CF"/>
    <w:rsid w:val="00404033"/>
    <w:rsid w:val="004055B8"/>
    <w:rsid w:val="0040634C"/>
    <w:rsid w:val="00414D6E"/>
    <w:rsid w:val="004232B9"/>
    <w:rsid w:val="004364D7"/>
    <w:rsid w:val="00436710"/>
    <w:rsid w:val="00436A8D"/>
    <w:rsid w:val="00436C4B"/>
    <w:rsid w:val="00440562"/>
    <w:rsid w:val="004571A1"/>
    <w:rsid w:val="004612D0"/>
    <w:rsid w:val="0047144A"/>
    <w:rsid w:val="00475C0C"/>
    <w:rsid w:val="004768CF"/>
    <w:rsid w:val="004829FD"/>
    <w:rsid w:val="00486683"/>
    <w:rsid w:val="004A34D5"/>
    <w:rsid w:val="004A7A49"/>
    <w:rsid w:val="004B035E"/>
    <w:rsid w:val="004D3EE6"/>
    <w:rsid w:val="004E0A13"/>
    <w:rsid w:val="004E3158"/>
    <w:rsid w:val="004E4602"/>
    <w:rsid w:val="004F05D5"/>
    <w:rsid w:val="005053A5"/>
    <w:rsid w:val="005157C7"/>
    <w:rsid w:val="00516367"/>
    <w:rsid w:val="00520F72"/>
    <w:rsid w:val="0052235C"/>
    <w:rsid w:val="00522A11"/>
    <w:rsid w:val="00530617"/>
    <w:rsid w:val="00540B09"/>
    <w:rsid w:val="00544841"/>
    <w:rsid w:val="00547590"/>
    <w:rsid w:val="00551A8C"/>
    <w:rsid w:val="00561220"/>
    <w:rsid w:val="005655E8"/>
    <w:rsid w:val="00572146"/>
    <w:rsid w:val="00573B38"/>
    <w:rsid w:val="00576918"/>
    <w:rsid w:val="0058575B"/>
    <w:rsid w:val="00585DE4"/>
    <w:rsid w:val="0059450A"/>
    <w:rsid w:val="00595680"/>
    <w:rsid w:val="005B6480"/>
    <w:rsid w:val="005C10B3"/>
    <w:rsid w:val="005C7AD5"/>
    <w:rsid w:val="005D4E34"/>
    <w:rsid w:val="005F1D5E"/>
    <w:rsid w:val="005F308B"/>
    <w:rsid w:val="005F3436"/>
    <w:rsid w:val="005F3C81"/>
    <w:rsid w:val="005F713C"/>
    <w:rsid w:val="00600E3A"/>
    <w:rsid w:val="00606A06"/>
    <w:rsid w:val="00620619"/>
    <w:rsid w:val="0062194E"/>
    <w:rsid w:val="0062416F"/>
    <w:rsid w:val="00624440"/>
    <w:rsid w:val="00633A09"/>
    <w:rsid w:val="00640AFD"/>
    <w:rsid w:val="006424A2"/>
    <w:rsid w:val="00644738"/>
    <w:rsid w:val="006459D4"/>
    <w:rsid w:val="00645DC6"/>
    <w:rsid w:val="00646F2B"/>
    <w:rsid w:val="00652DCF"/>
    <w:rsid w:val="00655A6D"/>
    <w:rsid w:val="006565DC"/>
    <w:rsid w:val="006642A0"/>
    <w:rsid w:val="00673C03"/>
    <w:rsid w:val="006751C3"/>
    <w:rsid w:val="0067624A"/>
    <w:rsid w:val="006762CA"/>
    <w:rsid w:val="00683B4A"/>
    <w:rsid w:val="006911F9"/>
    <w:rsid w:val="00692769"/>
    <w:rsid w:val="00692CEB"/>
    <w:rsid w:val="006955F9"/>
    <w:rsid w:val="00696402"/>
    <w:rsid w:val="006B0535"/>
    <w:rsid w:val="006B0716"/>
    <w:rsid w:val="006B0D35"/>
    <w:rsid w:val="006B2D9C"/>
    <w:rsid w:val="006B2F93"/>
    <w:rsid w:val="006B482E"/>
    <w:rsid w:val="006C5829"/>
    <w:rsid w:val="006D0114"/>
    <w:rsid w:val="006D502D"/>
    <w:rsid w:val="006D60CF"/>
    <w:rsid w:val="006D644E"/>
    <w:rsid w:val="006E4C92"/>
    <w:rsid w:val="006F05FB"/>
    <w:rsid w:val="006F4682"/>
    <w:rsid w:val="006F5694"/>
    <w:rsid w:val="007060FB"/>
    <w:rsid w:val="007114AA"/>
    <w:rsid w:val="00711936"/>
    <w:rsid w:val="007144DE"/>
    <w:rsid w:val="00714B70"/>
    <w:rsid w:val="00716D15"/>
    <w:rsid w:val="00722ACB"/>
    <w:rsid w:val="00723AEE"/>
    <w:rsid w:val="00725B6C"/>
    <w:rsid w:val="00726AED"/>
    <w:rsid w:val="007348C7"/>
    <w:rsid w:val="00744753"/>
    <w:rsid w:val="0075206A"/>
    <w:rsid w:val="007544FD"/>
    <w:rsid w:val="00762319"/>
    <w:rsid w:val="007644E4"/>
    <w:rsid w:val="00765CB3"/>
    <w:rsid w:val="007662EB"/>
    <w:rsid w:val="00772435"/>
    <w:rsid w:val="00773A81"/>
    <w:rsid w:val="0077577F"/>
    <w:rsid w:val="007774F7"/>
    <w:rsid w:val="00783344"/>
    <w:rsid w:val="00783648"/>
    <w:rsid w:val="00785657"/>
    <w:rsid w:val="00786C2A"/>
    <w:rsid w:val="00790661"/>
    <w:rsid w:val="00790A12"/>
    <w:rsid w:val="00790DF3"/>
    <w:rsid w:val="007A417C"/>
    <w:rsid w:val="007A627F"/>
    <w:rsid w:val="007A67E2"/>
    <w:rsid w:val="007A70AC"/>
    <w:rsid w:val="007B24D0"/>
    <w:rsid w:val="007B51E1"/>
    <w:rsid w:val="007B558B"/>
    <w:rsid w:val="007B6452"/>
    <w:rsid w:val="007D146D"/>
    <w:rsid w:val="007D4BAB"/>
    <w:rsid w:val="007E1E1B"/>
    <w:rsid w:val="007F381F"/>
    <w:rsid w:val="00802AA5"/>
    <w:rsid w:val="00805AFF"/>
    <w:rsid w:val="008068B8"/>
    <w:rsid w:val="0081114C"/>
    <w:rsid w:val="00811B58"/>
    <w:rsid w:val="008223E4"/>
    <w:rsid w:val="00824A90"/>
    <w:rsid w:val="008265B8"/>
    <w:rsid w:val="00827E5B"/>
    <w:rsid w:val="00834DE8"/>
    <w:rsid w:val="00841816"/>
    <w:rsid w:val="00842F2E"/>
    <w:rsid w:val="0084769F"/>
    <w:rsid w:val="00852575"/>
    <w:rsid w:val="00856D0D"/>
    <w:rsid w:val="00856E53"/>
    <w:rsid w:val="0086030A"/>
    <w:rsid w:val="008612DA"/>
    <w:rsid w:val="00867ECC"/>
    <w:rsid w:val="00871806"/>
    <w:rsid w:val="00874D61"/>
    <w:rsid w:val="00875136"/>
    <w:rsid w:val="00875FFB"/>
    <w:rsid w:val="00877394"/>
    <w:rsid w:val="0088042A"/>
    <w:rsid w:val="008836C6"/>
    <w:rsid w:val="00886785"/>
    <w:rsid w:val="0089001F"/>
    <w:rsid w:val="0089275F"/>
    <w:rsid w:val="00892D9A"/>
    <w:rsid w:val="00897B7E"/>
    <w:rsid w:val="008A3950"/>
    <w:rsid w:val="008A5E1B"/>
    <w:rsid w:val="008A699B"/>
    <w:rsid w:val="008A7F91"/>
    <w:rsid w:val="008B1F19"/>
    <w:rsid w:val="008B64C8"/>
    <w:rsid w:val="008B7F80"/>
    <w:rsid w:val="008C2CA3"/>
    <w:rsid w:val="008C45F6"/>
    <w:rsid w:val="008C4E5B"/>
    <w:rsid w:val="008C5671"/>
    <w:rsid w:val="008C6F2D"/>
    <w:rsid w:val="008D0051"/>
    <w:rsid w:val="008D01D6"/>
    <w:rsid w:val="008D0263"/>
    <w:rsid w:val="008D2B40"/>
    <w:rsid w:val="008D3DF5"/>
    <w:rsid w:val="008D4DD9"/>
    <w:rsid w:val="008E051D"/>
    <w:rsid w:val="008E3FBD"/>
    <w:rsid w:val="008E5C68"/>
    <w:rsid w:val="008F423A"/>
    <w:rsid w:val="008F427C"/>
    <w:rsid w:val="009052E5"/>
    <w:rsid w:val="009069D8"/>
    <w:rsid w:val="009112B0"/>
    <w:rsid w:val="00914458"/>
    <w:rsid w:val="00921A6B"/>
    <w:rsid w:val="009243A6"/>
    <w:rsid w:val="0094401B"/>
    <w:rsid w:val="00957589"/>
    <w:rsid w:val="00962849"/>
    <w:rsid w:val="009655E6"/>
    <w:rsid w:val="0096657F"/>
    <w:rsid w:val="009677A0"/>
    <w:rsid w:val="00973795"/>
    <w:rsid w:val="009751A8"/>
    <w:rsid w:val="00976C2E"/>
    <w:rsid w:val="00977A4A"/>
    <w:rsid w:val="00993A5E"/>
    <w:rsid w:val="009A2933"/>
    <w:rsid w:val="009A2B35"/>
    <w:rsid w:val="009A6F00"/>
    <w:rsid w:val="009B19C6"/>
    <w:rsid w:val="009B5E48"/>
    <w:rsid w:val="009C1795"/>
    <w:rsid w:val="009D6BF8"/>
    <w:rsid w:val="009E53EF"/>
    <w:rsid w:val="009F17AF"/>
    <w:rsid w:val="009F303E"/>
    <w:rsid w:val="009F489C"/>
    <w:rsid w:val="009F60BC"/>
    <w:rsid w:val="00A04C26"/>
    <w:rsid w:val="00A0598E"/>
    <w:rsid w:val="00A1072A"/>
    <w:rsid w:val="00A11904"/>
    <w:rsid w:val="00A20208"/>
    <w:rsid w:val="00A20736"/>
    <w:rsid w:val="00A27444"/>
    <w:rsid w:val="00A412BA"/>
    <w:rsid w:val="00A4589C"/>
    <w:rsid w:val="00A51276"/>
    <w:rsid w:val="00A63AAC"/>
    <w:rsid w:val="00A72CD5"/>
    <w:rsid w:val="00A7410E"/>
    <w:rsid w:val="00A76DDF"/>
    <w:rsid w:val="00A80E75"/>
    <w:rsid w:val="00AA3303"/>
    <w:rsid w:val="00AA3CEC"/>
    <w:rsid w:val="00AB0448"/>
    <w:rsid w:val="00AB453C"/>
    <w:rsid w:val="00AC380E"/>
    <w:rsid w:val="00AC4B7D"/>
    <w:rsid w:val="00AC4CB5"/>
    <w:rsid w:val="00AD20D1"/>
    <w:rsid w:val="00AD25BD"/>
    <w:rsid w:val="00AD78C9"/>
    <w:rsid w:val="00AE6A68"/>
    <w:rsid w:val="00AF59B4"/>
    <w:rsid w:val="00AF68ED"/>
    <w:rsid w:val="00B0265C"/>
    <w:rsid w:val="00B03B76"/>
    <w:rsid w:val="00B06E46"/>
    <w:rsid w:val="00B13A74"/>
    <w:rsid w:val="00B1694A"/>
    <w:rsid w:val="00B21DCC"/>
    <w:rsid w:val="00B23638"/>
    <w:rsid w:val="00B30B78"/>
    <w:rsid w:val="00B31831"/>
    <w:rsid w:val="00B40A0D"/>
    <w:rsid w:val="00B426B3"/>
    <w:rsid w:val="00B5063F"/>
    <w:rsid w:val="00B50F3E"/>
    <w:rsid w:val="00B54B2C"/>
    <w:rsid w:val="00B71302"/>
    <w:rsid w:val="00B71FCD"/>
    <w:rsid w:val="00B7376B"/>
    <w:rsid w:val="00B81673"/>
    <w:rsid w:val="00B878D8"/>
    <w:rsid w:val="00B901CA"/>
    <w:rsid w:val="00B91A94"/>
    <w:rsid w:val="00B923C1"/>
    <w:rsid w:val="00B924DA"/>
    <w:rsid w:val="00B92926"/>
    <w:rsid w:val="00B96EA5"/>
    <w:rsid w:val="00BA0739"/>
    <w:rsid w:val="00BA3D5F"/>
    <w:rsid w:val="00BA457E"/>
    <w:rsid w:val="00BA6481"/>
    <w:rsid w:val="00BB0058"/>
    <w:rsid w:val="00BB306D"/>
    <w:rsid w:val="00BB61E0"/>
    <w:rsid w:val="00BC027A"/>
    <w:rsid w:val="00BC553A"/>
    <w:rsid w:val="00BC63E9"/>
    <w:rsid w:val="00BD6F52"/>
    <w:rsid w:val="00BD710E"/>
    <w:rsid w:val="00BE4021"/>
    <w:rsid w:val="00BE739F"/>
    <w:rsid w:val="00BF4325"/>
    <w:rsid w:val="00BF4543"/>
    <w:rsid w:val="00BF52BD"/>
    <w:rsid w:val="00BF6FD7"/>
    <w:rsid w:val="00BF702F"/>
    <w:rsid w:val="00BF73DB"/>
    <w:rsid w:val="00C009C0"/>
    <w:rsid w:val="00C03015"/>
    <w:rsid w:val="00C053A0"/>
    <w:rsid w:val="00C11101"/>
    <w:rsid w:val="00C13AC4"/>
    <w:rsid w:val="00C1495F"/>
    <w:rsid w:val="00C1773E"/>
    <w:rsid w:val="00C24213"/>
    <w:rsid w:val="00C270EF"/>
    <w:rsid w:val="00C27609"/>
    <w:rsid w:val="00C31B28"/>
    <w:rsid w:val="00C36E5D"/>
    <w:rsid w:val="00C40864"/>
    <w:rsid w:val="00C40DB4"/>
    <w:rsid w:val="00C42444"/>
    <w:rsid w:val="00C46705"/>
    <w:rsid w:val="00C5180A"/>
    <w:rsid w:val="00C520C8"/>
    <w:rsid w:val="00C549B5"/>
    <w:rsid w:val="00C57BF6"/>
    <w:rsid w:val="00C60023"/>
    <w:rsid w:val="00C609B4"/>
    <w:rsid w:val="00C6679D"/>
    <w:rsid w:val="00C73458"/>
    <w:rsid w:val="00C73AA0"/>
    <w:rsid w:val="00C75B9F"/>
    <w:rsid w:val="00C81CE2"/>
    <w:rsid w:val="00C908C4"/>
    <w:rsid w:val="00C93573"/>
    <w:rsid w:val="00C93A39"/>
    <w:rsid w:val="00C96CB5"/>
    <w:rsid w:val="00CA0D65"/>
    <w:rsid w:val="00CA2581"/>
    <w:rsid w:val="00CB0987"/>
    <w:rsid w:val="00CB42A9"/>
    <w:rsid w:val="00CC2096"/>
    <w:rsid w:val="00CD5CD9"/>
    <w:rsid w:val="00CE412A"/>
    <w:rsid w:val="00CF2B49"/>
    <w:rsid w:val="00CF3844"/>
    <w:rsid w:val="00CF441E"/>
    <w:rsid w:val="00D06D0F"/>
    <w:rsid w:val="00D11438"/>
    <w:rsid w:val="00D11DC7"/>
    <w:rsid w:val="00D15546"/>
    <w:rsid w:val="00D24755"/>
    <w:rsid w:val="00D254A5"/>
    <w:rsid w:val="00D30D1B"/>
    <w:rsid w:val="00D323B5"/>
    <w:rsid w:val="00D3508A"/>
    <w:rsid w:val="00D3539C"/>
    <w:rsid w:val="00D36DE6"/>
    <w:rsid w:val="00D54340"/>
    <w:rsid w:val="00D569C9"/>
    <w:rsid w:val="00D60608"/>
    <w:rsid w:val="00D62999"/>
    <w:rsid w:val="00D70A38"/>
    <w:rsid w:val="00D7336D"/>
    <w:rsid w:val="00D747A8"/>
    <w:rsid w:val="00D75083"/>
    <w:rsid w:val="00D826F9"/>
    <w:rsid w:val="00D90934"/>
    <w:rsid w:val="00D94CF7"/>
    <w:rsid w:val="00D94EED"/>
    <w:rsid w:val="00DA0F5C"/>
    <w:rsid w:val="00DA23DF"/>
    <w:rsid w:val="00DA405D"/>
    <w:rsid w:val="00DB33AB"/>
    <w:rsid w:val="00DB3C98"/>
    <w:rsid w:val="00DB519F"/>
    <w:rsid w:val="00DB5743"/>
    <w:rsid w:val="00DC00F8"/>
    <w:rsid w:val="00DC10A7"/>
    <w:rsid w:val="00DC2012"/>
    <w:rsid w:val="00DC5AE5"/>
    <w:rsid w:val="00DC5B8B"/>
    <w:rsid w:val="00DC62E9"/>
    <w:rsid w:val="00DD41B2"/>
    <w:rsid w:val="00DE5365"/>
    <w:rsid w:val="00DE743B"/>
    <w:rsid w:val="00DF0937"/>
    <w:rsid w:val="00DF3084"/>
    <w:rsid w:val="00E00660"/>
    <w:rsid w:val="00E03624"/>
    <w:rsid w:val="00E05D1C"/>
    <w:rsid w:val="00E1074A"/>
    <w:rsid w:val="00E13897"/>
    <w:rsid w:val="00E176DE"/>
    <w:rsid w:val="00E17CC2"/>
    <w:rsid w:val="00E21B97"/>
    <w:rsid w:val="00E2516A"/>
    <w:rsid w:val="00E26005"/>
    <w:rsid w:val="00E30046"/>
    <w:rsid w:val="00E3462B"/>
    <w:rsid w:val="00E36DAC"/>
    <w:rsid w:val="00E37F67"/>
    <w:rsid w:val="00E41DA7"/>
    <w:rsid w:val="00E439BC"/>
    <w:rsid w:val="00E45E61"/>
    <w:rsid w:val="00E462BD"/>
    <w:rsid w:val="00E46996"/>
    <w:rsid w:val="00E51EAB"/>
    <w:rsid w:val="00E53FAF"/>
    <w:rsid w:val="00E558EC"/>
    <w:rsid w:val="00E56889"/>
    <w:rsid w:val="00E65A21"/>
    <w:rsid w:val="00E71FDC"/>
    <w:rsid w:val="00E81227"/>
    <w:rsid w:val="00E8251A"/>
    <w:rsid w:val="00E837B2"/>
    <w:rsid w:val="00E93ABB"/>
    <w:rsid w:val="00E953B6"/>
    <w:rsid w:val="00E962B0"/>
    <w:rsid w:val="00EB67E2"/>
    <w:rsid w:val="00EC22E4"/>
    <w:rsid w:val="00EC5542"/>
    <w:rsid w:val="00EC60BD"/>
    <w:rsid w:val="00ED0208"/>
    <w:rsid w:val="00ED6B53"/>
    <w:rsid w:val="00ED6B63"/>
    <w:rsid w:val="00ED7919"/>
    <w:rsid w:val="00EE1B81"/>
    <w:rsid w:val="00EE7079"/>
    <w:rsid w:val="00EF0C58"/>
    <w:rsid w:val="00EF1179"/>
    <w:rsid w:val="00EF4F9C"/>
    <w:rsid w:val="00EF57E0"/>
    <w:rsid w:val="00EF7977"/>
    <w:rsid w:val="00F02667"/>
    <w:rsid w:val="00F03199"/>
    <w:rsid w:val="00F0512A"/>
    <w:rsid w:val="00F14C71"/>
    <w:rsid w:val="00F22F2E"/>
    <w:rsid w:val="00F232DB"/>
    <w:rsid w:val="00F24FA4"/>
    <w:rsid w:val="00F26839"/>
    <w:rsid w:val="00F36A1A"/>
    <w:rsid w:val="00F426A9"/>
    <w:rsid w:val="00F44835"/>
    <w:rsid w:val="00F5139E"/>
    <w:rsid w:val="00F52002"/>
    <w:rsid w:val="00F6114E"/>
    <w:rsid w:val="00F63754"/>
    <w:rsid w:val="00F70973"/>
    <w:rsid w:val="00F76DC7"/>
    <w:rsid w:val="00F80FA3"/>
    <w:rsid w:val="00F83EC2"/>
    <w:rsid w:val="00F94A58"/>
    <w:rsid w:val="00F95B65"/>
    <w:rsid w:val="00FA5791"/>
    <w:rsid w:val="00FA6F99"/>
    <w:rsid w:val="00FA738D"/>
    <w:rsid w:val="00FB16D3"/>
    <w:rsid w:val="00FB2123"/>
    <w:rsid w:val="00FB35AA"/>
    <w:rsid w:val="00FB4F58"/>
    <w:rsid w:val="00FB68FA"/>
    <w:rsid w:val="00FC0957"/>
    <w:rsid w:val="00FC0BC0"/>
    <w:rsid w:val="00FC1B96"/>
    <w:rsid w:val="00FC258F"/>
    <w:rsid w:val="00FC48D3"/>
    <w:rsid w:val="00FD2D2E"/>
    <w:rsid w:val="00FD7E18"/>
    <w:rsid w:val="00FE01EC"/>
    <w:rsid w:val="00FE182A"/>
    <w:rsid w:val="00FF1C21"/>
    <w:rsid w:val="00FF2D56"/>
    <w:rsid w:val="00FF480F"/>
    <w:rsid w:val="00FF5A8E"/>
    <w:rsid w:val="00FF660A"/>
    <w:rsid w:val="010F3B4F"/>
    <w:rsid w:val="01565C22"/>
    <w:rsid w:val="0192652E"/>
    <w:rsid w:val="021C29C7"/>
    <w:rsid w:val="02225B04"/>
    <w:rsid w:val="02344013"/>
    <w:rsid w:val="02405F8A"/>
    <w:rsid w:val="02493090"/>
    <w:rsid w:val="027A5940"/>
    <w:rsid w:val="02936A01"/>
    <w:rsid w:val="02C40969"/>
    <w:rsid w:val="02DA63DE"/>
    <w:rsid w:val="03214544"/>
    <w:rsid w:val="034C1775"/>
    <w:rsid w:val="034D095E"/>
    <w:rsid w:val="049C1B9D"/>
    <w:rsid w:val="049F51EA"/>
    <w:rsid w:val="04C80BE4"/>
    <w:rsid w:val="04DA26C6"/>
    <w:rsid w:val="05290F57"/>
    <w:rsid w:val="05410997"/>
    <w:rsid w:val="054B711F"/>
    <w:rsid w:val="056149BE"/>
    <w:rsid w:val="05997E8B"/>
    <w:rsid w:val="05F72E03"/>
    <w:rsid w:val="05F81055"/>
    <w:rsid w:val="062F6A41"/>
    <w:rsid w:val="068B5349"/>
    <w:rsid w:val="06915931"/>
    <w:rsid w:val="06930D7E"/>
    <w:rsid w:val="071C0D73"/>
    <w:rsid w:val="07362613"/>
    <w:rsid w:val="0764271A"/>
    <w:rsid w:val="078A6CF9"/>
    <w:rsid w:val="07A07BF6"/>
    <w:rsid w:val="07CB4548"/>
    <w:rsid w:val="07E850FA"/>
    <w:rsid w:val="07FC0BA5"/>
    <w:rsid w:val="087370B9"/>
    <w:rsid w:val="08C43471"/>
    <w:rsid w:val="08D51B22"/>
    <w:rsid w:val="08D94E38"/>
    <w:rsid w:val="090441B5"/>
    <w:rsid w:val="09114527"/>
    <w:rsid w:val="091C14FF"/>
    <w:rsid w:val="092D370C"/>
    <w:rsid w:val="09502444"/>
    <w:rsid w:val="098613B1"/>
    <w:rsid w:val="09EF6C13"/>
    <w:rsid w:val="0A371F08"/>
    <w:rsid w:val="0A486323"/>
    <w:rsid w:val="0A5D3B7D"/>
    <w:rsid w:val="0A7E7CF6"/>
    <w:rsid w:val="0A9F23E7"/>
    <w:rsid w:val="0ADE56B6"/>
    <w:rsid w:val="0B0C7351"/>
    <w:rsid w:val="0B2F17D2"/>
    <w:rsid w:val="0B65388C"/>
    <w:rsid w:val="0B7D1FFD"/>
    <w:rsid w:val="0B93537C"/>
    <w:rsid w:val="0BE8391A"/>
    <w:rsid w:val="0BEB340A"/>
    <w:rsid w:val="0C3721AC"/>
    <w:rsid w:val="0D054058"/>
    <w:rsid w:val="0D166265"/>
    <w:rsid w:val="0D240982"/>
    <w:rsid w:val="0D244E26"/>
    <w:rsid w:val="0D8458C4"/>
    <w:rsid w:val="0D847672"/>
    <w:rsid w:val="0DED5218"/>
    <w:rsid w:val="0E1C5AFD"/>
    <w:rsid w:val="0E7B0A75"/>
    <w:rsid w:val="0E932BB5"/>
    <w:rsid w:val="0EAF6971"/>
    <w:rsid w:val="0ECC307F"/>
    <w:rsid w:val="0EE13E99"/>
    <w:rsid w:val="0EEC1973"/>
    <w:rsid w:val="0EEE56EB"/>
    <w:rsid w:val="0F815762"/>
    <w:rsid w:val="0FD04DF1"/>
    <w:rsid w:val="10AF2C58"/>
    <w:rsid w:val="10C83D1A"/>
    <w:rsid w:val="10D17073"/>
    <w:rsid w:val="10EC5C5A"/>
    <w:rsid w:val="10FE598E"/>
    <w:rsid w:val="11036B00"/>
    <w:rsid w:val="116220BD"/>
    <w:rsid w:val="117874EE"/>
    <w:rsid w:val="11A622AD"/>
    <w:rsid w:val="11FE3E97"/>
    <w:rsid w:val="12745F08"/>
    <w:rsid w:val="12A06CFD"/>
    <w:rsid w:val="12AB744F"/>
    <w:rsid w:val="12B5207C"/>
    <w:rsid w:val="12B91B6C"/>
    <w:rsid w:val="12DB3791"/>
    <w:rsid w:val="130059ED"/>
    <w:rsid w:val="13182D37"/>
    <w:rsid w:val="134358DA"/>
    <w:rsid w:val="1347361C"/>
    <w:rsid w:val="134A4EBA"/>
    <w:rsid w:val="13510472"/>
    <w:rsid w:val="138E2FF9"/>
    <w:rsid w:val="13A24CF6"/>
    <w:rsid w:val="13CE5AEB"/>
    <w:rsid w:val="13E64BE3"/>
    <w:rsid w:val="13F70440"/>
    <w:rsid w:val="14055F2A"/>
    <w:rsid w:val="141B2636"/>
    <w:rsid w:val="144B2C98"/>
    <w:rsid w:val="149C34F4"/>
    <w:rsid w:val="14CF4595"/>
    <w:rsid w:val="151472A1"/>
    <w:rsid w:val="1534372C"/>
    <w:rsid w:val="155D7127"/>
    <w:rsid w:val="15610EE2"/>
    <w:rsid w:val="15747FCD"/>
    <w:rsid w:val="15B8610B"/>
    <w:rsid w:val="15C70A44"/>
    <w:rsid w:val="15CC7E09"/>
    <w:rsid w:val="15F5735F"/>
    <w:rsid w:val="161E0A1B"/>
    <w:rsid w:val="16490A3E"/>
    <w:rsid w:val="164B3423"/>
    <w:rsid w:val="16A3500D"/>
    <w:rsid w:val="16B17A67"/>
    <w:rsid w:val="16F615E1"/>
    <w:rsid w:val="16FE0496"/>
    <w:rsid w:val="17141A67"/>
    <w:rsid w:val="17253C74"/>
    <w:rsid w:val="17614581"/>
    <w:rsid w:val="17732C32"/>
    <w:rsid w:val="17780248"/>
    <w:rsid w:val="18055854"/>
    <w:rsid w:val="181066D2"/>
    <w:rsid w:val="182F105B"/>
    <w:rsid w:val="18616F2E"/>
    <w:rsid w:val="18784278"/>
    <w:rsid w:val="18C82B09"/>
    <w:rsid w:val="192B4E46"/>
    <w:rsid w:val="192C753C"/>
    <w:rsid w:val="193F08F1"/>
    <w:rsid w:val="19406B43"/>
    <w:rsid w:val="19434886"/>
    <w:rsid w:val="19781B17"/>
    <w:rsid w:val="19E46292"/>
    <w:rsid w:val="1A277D03"/>
    <w:rsid w:val="1A55661F"/>
    <w:rsid w:val="1A6A7BF0"/>
    <w:rsid w:val="1A9F789A"/>
    <w:rsid w:val="1AAC24AA"/>
    <w:rsid w:val="1B245FF1"/>
    <w:rsid w:val="1BA3160C"/>
    <w:rsid w:val="1C580648"/>
    <w:rsid w:val="1C84080D"/>
    <w:rsid w:val="1C8B457A"/>
    <w:rsid w:val="1D2A05D5"/>
    <w:rsid w:val="1DAB29F9"/>
    <w:rsid w:val="1DCE22F6"/>
    <w:rsid w:val="1DD67A76"/>
    <w:rsid w:val="1DFC3255"/>
    <w:rsid w:val="1E234C86"/>
    <w:rsid w:val="1E803E86"/>
    <w:rsid w:val="1E870D71"/>
    <w:rsid w:val="1EC57AEB"/>
    <w:rsid w:val="1EEF687A"/>
    <w:rsid w:val="1F15637C"/>
    <w:rsid w:val="1F227FC8"/>
    <w:rsid w:val="1F95570F"/>
    <w:rsid w:val="20846AAF"/>
    <w:rsid w:val="208C6B12"/>
    <w:rsid w:val="209C7AB4"/>
    <w:rsid w:val="20DD2ECA"/>
    <w:rsid w:val="211663DC"/>
    <w:rsid w:val="214B42D7"/>
    <w:rsid w:val="21621621"/>
    <w:rsid w:val="218B1E7E"/>
    <w:rsid w:val="21A47E8B"/>
    <w:rsid w:val="21C127EB"/>
    <w:rsid w:val="223E3E3C"/>
    <w:rsid w:val="22657425"/>
    <w:rsid w:val="227B02D1"/>
    <w:rsid w:val="228C104B"/>
    <w:rsid w:val="22B3482A"/>
    <w:rsid w:val="22BB36DF"/>
    <w:rsid w:val="22C2681B"/>
    <w:rsid w:val="22D30A28"/>
    <w:rsid w:val="22DE117B"/>
    <w:rsid w:val="22E36792"/>
    <w:rsid w:val="22F0758F"/>
    <w:rsid w:val="22F8223D"/>
    <w:rsid w:val="23B5012E"/>
    <w:rsid w:val="23DC1B5F"/>
    <w:rsid w:val="23ED3D6C"/>
    <w:rsid w:val="23F24EDE"/>
    <w:rsid w:val="24084702"/>
    <w:rsid w:val="244E2C4F"/>
    <w:rsid w:val="245711E5"/>
    <w:rsid w:val="247B3126"/>
    <w:rsid w:val="24AB32DF"/>
    <w:rsid w:val="250644AC"/>
    <w:rsid w:val="257858B7"/>
    <w:rsid w:val="25A43F22"/>
    <w:rsid w:val="25E35426"/>
    <w:rsid w:val="25ED0053"/>
    <w:rsid w:val="25F474FE"/>
    <w:rsid w:val="266F0A68"/>
    <w:rsid w:val="26AF5308"/>
    <w:rsid w:val="26B141F8"/>
    <w:rsid w:val="26B50445"/>
    <w:rsid w:val="26B506EE"/>
    <w:rsid w:val="26F96584"/>
    <w:rsid w:val="2714160F"/>
    <w:rsid w:val="27A52717"/>
    <w:rsid w:val="27A6495D"/>
    <w:rsid w:val="27D019DA"/>
    <w:rsid w:val="27EB6814"/>
    <w:rsid w:val="285C6DCA"/>
    <w:rsid w:val="289C7B0E"/>
    <w:rsid w:val="28B430AA"/>
    <w:rsid w:val="28EA2628"/>
    <w:rsid w:val="28F11C08"/>
    <w:rsid w:val="291E49C7"/>
    <w:rsid w:val="29324AA6"/>
    <w:rsid w:val="294837F2"/>
    <w:rsid w:val="29546EC8"/>
    <w:rsid w:val="29D532D8"/>
    <w:rsid w:val="2A293624"/>
    <w:rsid w:val="2A2B114A"/>
    <w:rsid w:val="2A623483"/>
    <w:rsid w:val="2A950CB9"/>
    <w:rsid w:val="2A9E34CC"/>
    <w:rsid w:val="2AF21C68"/>
    <w:rsid w:val="2B0379D1"/>
    <w:rsid w:val="2B430715"/>
    <w:rsid w:val="2B481888"/>
    <w:rsid w:val="2B966A97"/>
    <w:rsid w:val="2BAC62BA"/>
    <w:rsid w:val="2BD31324"/>
    <w:rsid w:val="2BE86319"/>
    <w:rsid w:val="2C300910"/>
    <w:rsid w:val="2CAD5E46"/>
    <w:rsid w:val="2CDC2BCF"/>
    <w:rsid w:val="2D510EC7"/>
    <w:rsid w:val="2DB41456"/>
    <w:rsid w:val="2DB56DA0"/>
    <w:rsid w:val="2DC21DC5"/>
    <w:rsid w:val="2DEA30CA"/>
    <w:rsid w:val="2E1A575D"/>
    <w:rsid w:val="2E4E5407"/>
    <w:rsid w:val="2E813A2E"/>
    <w:rsid w:val="2E8452CD"/>
    <w:rsid w:val="2EE95130"/>
    <w:rsid w:val="2F1403FE"/>
    <w:rsid w:val="2F511653"/>
    <w:rsid w:val="2F907713"/>
    <w:rsid w:val="2FA554FB"/>
    <w:rsid w:val="2FF95846"/>
    <w:rsid w:val="303B5E5F"/>
    <w:rsid w:val="3045283A"/>
    <w:rsid w:val="304940D8"/>
    <w:rsid w:val="30BF4FE5"/>
    <w:rsid w:val="30CE2AF3"/>
    <w:rsid w:val="31462D0D"/>
    <w:rsid w:val="31AB491E"/>
    <w:rsid w:val="32132BEF"/>
    <w:rsid w:val="3257675E"/>
    <w:rsid w:val="328A08CF"/>
    <w:rsid w:val="32935ADE"/>
    <w:rsid w:val="32D54349"/>
    <w:rsid w:val="32D61E6F"/>
    <w:rsid w:val="32D903DA"/>
    <w:rsid w:val="330C5891"/>
    <w:rsid w:val="3344502A"/>
    <w:rsid w:val="33631954"/>
    <w:rsid w:val="33784CD4"/>
    <w:rsid w:val="33FE78CF"/>
    <w:rsid w:val="34207846"/>
    <w:rsid w:val="34360E17"/>
    <w:rsid w:val="343E6181"/>
    <w:rsid w:val="344313B2"/>
    <w:rsid w:val="346516FC"/>
    <w:rsid w:val="346A6D13"/>
    <w:rsid w:val="34F30AB6"/>
    <w:rsid w:val="35150A2C"/>
    <w:rsid w:val="351C6CA1"/>
    <w:rsid w:val="35616AE7"/>
    <w:rsid w:val="3589578A"/>
    <w:rsid w:val="35A06C85"/>
    <w:rsid w:val="35D42696"/>
    <w:rsid w:val="3600792F"/>
    <w:rsid w:val="36113D91"/>
    <w:rsid w:val="36D2388E"/>
    <w:rsid w:val="370C65DF"/>
    <w:rsid w:val="37353608"/>
    <w:rsid w:val="379512A7"/>
    <w:rsid w:val="37B02C8E"/>
    <w:rsid w:val="37DC1CD5"/>
    <w:rsid w:val="37E64902"/>
    <w:rsid w:val="380A4A95"/>
    <w:rsid w:val="38134226"/>
    <w:rsid w:val="38BA76F8"/>
    <w:rsid w:val="39284E12"/>
    <w:rsid w:val="392F4087"/>
    <w:rsid w:val="39677CC5"/>
    <w:rsid w:val="39F74BA5"/>
    <w:rsid w:val="3A7C32FC"/>
    <w:rsid w:val="3A8C79E3"/>
    <w:rsid w:val="3B1D688D"/>
    <w:rsid w:val="3B2D45F6"/>
    <w:rsid w:val="3B675D5A"/>
    <w:rsid w:val="3BB014AF"/>
    <w:rsid w:val="3C101F4E"/>
    <w:rsid w:val="3C123F18"/>
    <w:rsid w:val="3C2E6878"/>
    <w:rsid w:val="3C340332"/>
    <w:rsid w:val="3C8F5568"/>
    <w:rsid w:val="3CD26389"/>
    <w:rsid w:val="3CD825B8"/>
    <w:rsid w:val="3D001BF6"/>
    <w:rsid w:val="3D2739F3"/>
    <w:rsid w:val="3D7F55DD"/>
    <w:rsid w:val="3DA6700D"/>
    <w:rsid w:val="3DF064DB"/>
    <w:rsid w:val="3E646581"/>
    <w:rsid w:val="3E6F5651"/>
    <w:rsid w:val="3ED61844"/>
    <w:rsid w:val="3F765294"/>
    <w:rsid w:val="3F9B2476"/>
    <w:rsid w:val="3FEB6F5A"/>
    <w:rsid w:val="40384169"/>
    <w:rsid w:val="406C796F"/>
    <w:rsid w:val="40E51BFB"/>
    <w:rsid w:val="413E130B"/>
    <w:rsid w:val="41764F49"/>
    <w:rsid w:val="41874A60"/>
    <w:rsid w:val="41886A2A"/>
    <w:rsid w:val="41A53138"/>
    <w:rsid w:val="41BE244C"/>
    <w:rsid w:val="41C55588"/>
    <w:rsid w:val="423A5F76"/>
    <w:rsid w:val="4251506E"/>
    <w:rsid w:val="4258464E"/>
    <w:rsid w:val="427F1BDB"/>
    <w:rsid w:val="42A054DF"/>
    <w:rsid w:val="42EB101F"/>
    <w:rsid w:val="43106CD7"/>
    <w:rsid w:val="432D1637"/>
    <w:rsid w:val="437454B8"/>
    <w:rsid w:val="438356FB"/>
    <w:rsid w:val="43A15B81"/>
    <w:rsid w:val="43B363C9"/>
    <w:rsid w:val="43D45F57"/>
    <w:rsid w:val="43EC14F2"/>
    <w:rsid w:val="43FA3C0F"/>
    <w:rsid w:val="44507CD3"/>
    <w:rsid w:val="449A0F4E"/>
    <w:rsid w:val="44BA6EFA"/>
    <w:rsid w:val="45246A6A"/>
    <w:rsid w:val="45684BA8"/>
    <w:rsid w:val="45A517D0"/>
    <w:rsid w:val="45B46BAC"/>
    <w:rsid w:val="45C543A0"/>
    <w:rsid w:val="45D73ADC"/>
    <w:rsid w:val="45DB537A"/>
    <w:rsid w:val="45E36925"/>
    <w:rsid w:val="462E61DA"/>
    <w:rsid w:val="46492C2C"/>
    <w:rsid w:val="46565349"/>
    <w:rsid w:val="465675C4"/>
    <w:rsid w:val="468477C0"/>
    <w:rsid w:val="46946207"/>
    <w:rsid w:val="474D4056"/>
    <w:rsid w:val="47785BF2"/>
    <w:rsid w:val="47D209FF"/>
    <w:rsid w:val="480678A1"/>
    <w:rsid w:val="481E6D74"/>
    <w:rsid w:val="48653621"/>
    <w:rsid w:val="488C32A4"/>
    <w:rsid w:val="489932CB"/>
    <w:rsid w:val="48A91760"/>
    <w:rsid w:val="48CD6222"/>
    <w:rsid w:val="493C4382"/>
    <w:rsid w:val="49427EF5"/>
    <w:rsid w:val="49695393"/>
    <w:rsid w:val="49A308A5"/>
    <w:rsid w:val="4A712751"/>
    <w:rsid w:val="4AB34B18"/>
    <w:rsid w:val="4AD8632C"/>
    <w:rsid w:val="4AF62C56"/>
    <w:rsid w:val="4B661B8A"/>
    <w:rsid w:val="4BBA3C84"/>
    <w:rsid w:val="4BF52F0E"/>
    <w:rsid w:val="4C392DFB"/>
    <w:rsid w:val="4C5C2F8D"/>
    <w:rsid w:val="4C6562E6"/>
    <w:rsid w:val="4C7C5524"/>
    <w:rsid w:val="4C982217"/>
    <w:rsid w:val="4CAA1F4A"/>
    <w:rsid w:val="4CDF1BF4"/>
    <w:rsid w:val="4CF47705"/>
    <w:rsid w:val="4D041435"/>
    <w:rsid w:val="4D1F46E6"/>
    <w:rsid w:val="4D73233C"/>
    <w:rsid w:val="4DE1199C"/>
    <w:rsid w:val="4E235B10"/>
    <w:rsid w:val="4E2F6BAB"/>
    <w:rsid w:val="4E5B79A0"/>
    <w:rsid w:val="4E600B13"/>
    <w:rsid w:val="4E797E26"/>
    <w:rsid w:val="4E9E163B"/>
    <w:rsid w:val="4F3D6B35"/>
    <w:rsid w:val="4F710AFD"/>
    <w:rsid w:val="4FC84338"/>
    <w:rsid w:val="4FDC68BF"/>
    <w:rsid w:val="4FF57980"/>
    <w:rsid w:val="50776DF5"/>
    <w:rsid w:val="50C23D07"/>
    <w:rsid w:val="50DD4F19"/>
    <w:rsid w:val="50EE53D4"/>
    <w:rsid w:val="50EE6549"/>
    <w:rsid w:val="514F30C0"/>
    <w:rsid w:val="515C58D1"/>
    <w:rsid w:val="5184720E"/>
    <w:rsid w:val="51EB79F7"/>
    <w:rsid w:val="521C002A"/>
    <w:rsid w:val="521C11F4"/>
    <w:rsid w:val="523A5B1F"/>
    <w:rsid w:val="5248023B"/>
    <w:rsid w:val="52A35472"/>
    <w:rsid w:val="52B21B59"/>
    <w:rsid w:val="535D3873"/>
    <w:rsid w:val="537E1A3B"/>
    <w:rsid w:val="539969CD"/>
    <w:rsid w:val="53B042EA"/>
    <w:rsid w:val="53B4545D"/>
    <w:rsid w:val="53BB67EB"/>
    <w:rsid w:val="53C47D96"/>
    <w:rsid w:val="54CD67D6"/>
    <w:rsid w:val="54FE4BE1"/>
    <w:rsid w:val="55324C86"/>
    <w:rsid w:val="557650C0"/>
    <w:rsid w:val="557856C0"/>
    <w:rsid w:val="5587107B"/>
    <w:rsid w:val="55911EF9"/>
    <w:rsid w:val="55CB540B"/>
    <w:rsid w:val="55D1679A"/>
    <w:rsid w:val="55F23CEB"/>
    <w:rsid w:val="55F869F5"/>
    <w:rsid w:val="564442DB"/>
    <w:rsid w:val="56755377"/>
    <w:rsid w:val="567D422C"/>
    <w:rsid w:val="56847368"/>
    <w:rsid w:val="56D007FF"/>
    <w:rsid w:val="56EA18C1"/>
    <w:rsid w:val="570D1A54"/>
    <w:rsid w:val="572648C3"/>
    <w:rsid w:val="572F3778"/>
    <w:rsid w:val="577D2735"/>
    <w:rsid w:val="57CC7219"/>
    <w:rsid w:val="57DC2A49"/>
    <w:rsid w:val="580A5CA9"/>
    <w:rsid w:val="584A6390"/>
    <w:rsid w:val="585C1FC3"/>
    <w:rsid w:val="58A12453"/>
    <w:rsid w:val="58A41F44"/>
    <w:rsid w:val="58A91308"/>
    <w:rsid w:val="58D72319"/>
    <w:rsid w:val="58FA1B64"/>
    <w:rsid w:val="590E560F"/>
    <w:rsid w:val="59396B30"/>
    <w:rsid w:val="59414E06"/>
    <w:rsid w:val="5954396A"/>
    <w:rsid w:val="596D0588"/>
    <w:rsid w:val="598A2EE8"/>
    <w:rsid w:val="59EC76FE"/>
    <w:rsid w:val="59F97F1A"/>
    <w:rsid w:val="5A0802B0"/>
    <w:rsid w:val="5A3D43FE"/>
    <w:rsid w:val="5A902780"/>
    <w:rsid w:val="5AA955EF"/>
    <w:rsid w:val="5ADD34EB"/>
    <w:rsid w:val="5B8027F4"/>
    <w:rsid w:val="5BA04C44"/>
    <w:rsid w:val="5BB24978"/>
    <w:rsid w:val="5BCF1086"/>
    <w:rsid w:val="5C20470A"/>
    <w:rsid w:val="5C41241A"/>
    <w:rsid w:val="5C82259C"/>
    <w:rsid w:val="5C8F4C17"/>
    <w:rsid w:val="5CAD7D38"/>
    <w:rsid w:val="5CCB7A9F"/>
    <w:rsid w:val="5CE46DB3"/>
    <w:rsid w:val="5CFF1E3E"/>
    <w:rsid w:val="5E2E29DB"/>
    <w:rsid w:val="5E316D13"/>
    <w:rsid w:val="5E563CE0"/>
    <w:rsid w:val="5EC552E8"/>
    <w:rsid w:val="5EE25574"/>
    <w:rsid w:val="5EFC6636"/>
    <w:rsid w:val="5F1A4D0E"/>
    <w:rsid w:val="5F30008D"/>
    <w:rsid w:val="5F750196"/>
    <w:rsid w:val="5FC403E3"/>
    <w:rsid w:val="5FE35DB1"/>
    <w:rsid w:val="60714E01"/>
    <w:rsid w:val="609F196E"/>
    <w:rsid w:val="60DD2497"/>
    <w:rsid w:val="60E750C3"/>
    <w:rsid w:val="60FD6695"/>
    <w:rsid w:val="615C33BC"/>
    <w:rsid w:val="615E35D8"/>
    <w:rsid w:val="615F4C5A"/>
    <w:rsid w:val="61A3723C"/>
    <w:rsid w:val="61A94127"/>
    <w:rsid w:val="61DE022A"/>
    <w:rsid w:val="62B64D4D"/>
    <w:rsid w:val="62C71B5D"/>
    <w:rsid w:val="62E278F0"/>
    <w:rsid w:val="63400728"/>
    <w:rsid w:val="635B58F5"/>
    <w:rsid w:val="638141B0"/>
    <w:rsid w:val="63936E3D"/>
    <w:rsid w:val="63950E07"/>
    <w:rsid w:val="63A34842"/>
    <w:rsid w:val="64055F8C"/>
    <w:rsid w:val="64095351"/>
    <w:rsid w:val="644F5459"/>
    <w:rsid w:val="64684FBF"/>
    <w:rsid w:val="64BB664B"/>
    <w:rsid w:val="65343FB0"/>
    <w:rsid w:val="65A36856"/>
    <w:rsid w:val="65A73AE4"/>
    <w:rsid w:val="65C37EAD"/>
    <w:rsid w:val="65D976D1"/>
    <w:rsid w:val="65EE2A50"/>
    <w:rsid w:val="66546D57"/>
    <w:rsid w:val="66E142AB"/>
    <w:rsid w:val="67185FD7"/>
    <w:rsid w:val="672D0E56"/>
    <w:rsid w:val="676905E0"/>
    <w:rsid w:val="678C2521"/>
    <w:rsid w:val="679D7DAB"/>
    <w:rsid w:val="67F51E74"/>
    <w:rsid w:val="68183DB4"/>
    <w:rsid w:val="6835615A"/>
    <w:rsid w:val="68923B67"/>
    <w:rsid w:val="68DE6DAC"/>
    <w:rsid w:val="691722BE"/>
    <w:rsid w:val="694E3F32"/>
    <w:rsid w:val="69A717FF"/>
    <w:rsid w:val="69A75E71"/>
    <w:rsid w:val="69A94AF3"/>
    <w:rsid w:val="69BA15C7"/>
    <w:rsid w:val="69E06B54"/>
    <w:rsid w:val="6A2611D7"/>
    <w:rsid w:val="6A883473"/>
    <w:rsid w:val="6A9A00F6"/>
    <w:rsid w:val="6AB853DB"/>
    <w:rsid w:val="6B3B6738"/>
    <w:rsid w:val="6B607F4C"/>
    <w:rsid w:val="6B767770"/>
    <w:rsid w:val="6B7C465A"/>
    <w:rsid w:val="6BDC307A"/>
    <w:rsid w:val="6BDE6F83"/>
    <w:rsid w:val="6C474C68"/>
    <w:rsid w:val="6C4B29AA"/>
    <w:rsid w:val="6C613F7C"/>
    <w:rsid w:val="6C7D78FE"/>
    <w:rsid w:val="6C855B90"/>
    <w:rsid w:val="6CDF0FCC"/>
    <w:rsid w:val="6D2356D5"/>
    <w:rsid w:val="6D851EEC"/>
    <w:rsid w:val="6D9143ED"/>
    <w:rsid w:val="6DD662A4"/>
    <w:rsid w:val="6DDD5884"/>
    <w:rsid w:val="6E510020"/>
    <w:rsid w:val="6E6B5CFD"/>
    <w:rsid w:val="6E775CD9"/>
    <w:rsid w:val="6E970129"/>
    <w:rsid w:val="6EBF31DC"/>
    <w:rsid w:val="6EEE586F"/>
    <w:rsid w:val="6F481423"/>
    <w:rsid w:val="6F524050"/>
    <w:rsid w:val="6F6D43E1"/>
    <w:rsid w:val="6F6D70DC"/>
    <w:rsid w:val="6F80296B"/>
    <w:rsid w:val="6FE0340A"/>
    <w:rsid w:val="70451ADA"/>
    <w:rsid w:val="707029DF"/>
    <w:rsid w:val="70826CD4"/>
    <w:rsid w:val="70B34FC2"/>
    <w:rsid w:val="70C525FF"/>
    <w:rsid w:val="70CC1BE0"/>
    <w:rsid w:val="71267542"/>
    <w:rsid w:val="71357785"/>
    <w:rsid w:val="713F0604"/>
    <w:rsid w:val="717B788E"/>
    <w:rsid w:val="71CF7BDA"/>
    <w:rsid w:val="71DE340F"/>
    <w:rsid w:val="71F118FE"/>
    <w:rsid w:val="72020FBC"/>
    <w:rsid w:val="72253FA6"/>
    <w:rsid w:val="72E43211"/>
    <w:rsid w:val="72E476B5"/>
    <w:rsid w:val="73310FF5"/>
    <w:rsid w:val="739764D5"/>
    <w:rsid w:val="73E334C8"/>
    <w:rsid w:val="73F93254"/>
    <w:rsid w:val="744F0B5E"/>
    <w:rsid w:val="744F6DB0"/>
    <w:rsid w:val="74987F0D"/>
    <w:rsid w:val="750951B1"/>
    <w:rsid w:val="75104791"/>
    <w:rsid w:val="751A73BE"/>
    <w:rsid w:val="75287D2D"/>
    <w:rsid w:val="75500B86"/>
    <w:rsid w:val="75614FED"/>
    <w:rsid w:val="75722D56"/>
    <w:rsid w:val="75897603"/>
    <w:rsid w:val="75A82C1C"/>
    <w:rsid w:val="76285B0A"/>
    <w:rsid w:val="76500BBD"/>
    <w:rsid w:val="76530DD9"/>
    <w:rsid w:val="76607052"/>
    <w:rsid w:val="770025E3"/>
    <w:rsid w:val="774009E0"/>
    <w:rsid w:val="775748F9"/>
    <w:rsid w:val="77876861"/>
    <w:rsid w:val="77903967"/>
    <w:rsid w:val="78972AD3"/>
    <w:rsid w:val="78A771BA"/>
    <w:rsid w:val="78B476F9"/>
    <w:rsid w:val="79615DEF"/>
    <w:rsid w:val="79752E15"/>
    <w:rsid w:val="797A667D"/>
    <w:rsid w:val="7A0E5017"/>
    <w:rsid w:val="7A715CD2"/>
    <w:rsid w:val="7AAF05A8"/>
    <w:rsid w:val="7AD149C3"/>
    <w:rsid w:val="7AD61FD9"/>
    <w:rsid w:val="7ADD3367"/>
    <w:rsid w:val="7B160627"/>
    <w:rsid w:val="7B6C0247"/>
    <w:rsid w:val="7BE97AEA"/>
    <w:rsid w:val="7BF85F7F"/>
    <w:rsid w:val="7C0E7550"/>
    <w:rsid w:val="7C507B69"/>
    <w:rsid w:val="7D142945"/>
    <w:rsid w:val="7D26685C"/>
    <w:rsid w:val="7D62010B"/>
    <w:rsid w:val="7D657644"/>
    <w:rsid w:val="7DA939D5"/>
    <w:rsid w:val="7DAC7021"/>
    <w:rsid w:val="7E024E93"/>
    <w:rsid w:val="7E2766A8"/>
    <w:rsid w:val="7E3C03A5"/>
    <w:rsid w:val="7EB268B9"/>
    <w:rsid w:val="7EFE20FD"/>
    <w:rsid w:val="7F052E8D"/>
    <w:rsid w:val="7F5434CC"/>
    <w:rsid w:val="7F6776A3"/>
    <w:rsid w:val="7FC655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iPriority="0" w:name="Normal Indent"/>
    <w:lsdException w:qFormat="1" w:unhideWhenUsed="0" w:uiPriority="0" w:semiHidden="0" w:name="footnote text"/>
    <w:lsdException w:uiPriority="99" w:name="annotation text"/>
    <w:lsdException w:qFormat="1" w:uiPriority="0" w:name="header"/>
    <w:lsdException w:qFormat="1" w:uiPriority="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qFormat="1" w:unhideWhenUsed="0" w:uiPriority="0" w:semiHidden="0" w:name="footnote reference"/>
    <w:lsdException w:uiPriority="99" w:name="annotation reference"/>
    <w:lsdException w:uiPriority="99" w:name="line number"/>
    <w:lsdException w:qFormat="1"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iPriority="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name="Body Text First Indent 2"/>
    <w:lsdException w:uiPriority="99" w:name="Note Heading"/>
    <w:lsdException w:qFormat="1" w:uiPriority="0" w:name="Body Text 2"/>
    <w:lsdException w:qFormat="1" w:unhideWhenUsed="0" w:uiPriority="0" w:semiHidden="0" w:name="Body Text 3"/>
    <w:lsdException w:qFormat="1" w:uiPriority="0" w:name="Body Text Indent 2"/>
    <w:lsdException w:qFormat="1" w:unhideWhenUsed="0" w:uiPriority="0" w:semiHidden="0" w:name="Body Text Indent 3"/>
    <w:lsdException w:uiPriority="99" w:name="Block Text"/>
    <w:lsdException w:qFormat="1" w:uiPriority="0" w:name="Hyperlink"/>
    <w:lsdException w:qFormat="1" w:uiPriority="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4">
    <w:name w:val="heading 1"/>
    <w:basedOn w:val="1"/>
    <w:next w:val="1"/>
    <w:link w:val="192"/>
    <w:qFormat/>
    <w:uiPriority w:val="0"/>
    <w:pPr>
      <w:keepNext/>
      <w:keepLines/>
      <w:spacing w:line="360" w:lineRule="auto"/>
      <w:outlineLvl w:val="0"/>
    </w:pPr>
    <w:rPr>
      <w:b/>
      <w:bCs/>
      <w:kern w:val="44"/>
      <w:sz w:val="44"/>
      <w:szCs w:val="44"/>
    </w:rPr>
  </w:style>
  <w:style w:type="paragraph" w:styleId="5">
    <w:name w:val="heading 2"/>
    <w:basedOn w:val="1"/>
    <w:next w:val="1"/>
    <w:link w:val="193"/>
    <w:semiHidden/>
    <w:unhideWhenUsed/>
    <w:qFormat/>
    <w:uiPriority w:val="0"/>
    <w:pPr>
      <w:keepNext/>
      <w:keepLines/>
      <w:spacing w:before="260" w:after="260" w:line="412" w:lineRule="auto"/>
      <w:outlineLvl w:val="1"/>
    </w:pPr>
    <w:rPr>
      <w:rFonts w:ascii="Arial" w:hAnsi="Arial" w:eastAsia="黑体" w:cs="Arial"/>
      <w:b/>
      <w:bCs/>
      <w:kern w:val="0"/>
      <w:sz w:val="32"/>
      <w:szCs w:val="32"/>
    </w:rPr>
  </w:style>
  <w:style w:type="paragraph" w:styleId="6">
    <w:name w:val="heading 3"/>
    <w:basedOn w:val="1"/>
    <w:next w:val="1"/>
    <w:link w:val="194"/>
    <w:unhideWhenUsed/>
    <w:qFormat/>
    <w:uiPriority w:val="0"/>
    <w:pPr>
      <w:keepNext/>
      <w:keepLines/>
      <w:spacing w:line="360" w:lineRule="auto"/>
      <w:outlineLvl w:val="2"/>
    </w:pPr>
    <w:rPr>
      <w:b/>
      <w:bCs/>
      <w:kern w:val="0"/>
      <w:sz w:val="32"/>
      <w:szCs w:val="32"/>
    </w:rPr>
  </w:style>
  <w:style w:type="paragraph" w:styleId="7">
    <w:name w:val="heading 4"/>
    <w:basedOn w:val="1"/>
    <w:next w:val="1"/>
    <w:link w:val="182"/>
    <w:semiHidden/>
    <w:unhideWhenUsed/>
    <w:qFormat/>
    <w:uiPriority w:val="0"/>
    <w:pPr>
      <w:keepNext/>
      <w:keepLines/>
      <w:spacing w:line="360" w:lineRule="auto"/>
      <w:outlineLvl w:val="3"/>
    </w:pPr>
    <w:rPr>
      <w:rFonts w:ascii="Arial" w:hAnsi="Arial" w:cs="Arial"/>
      <w:b/>
      <w:bCs/>
      <w:kern w:val="0"/>
      <w:sz w:val="28"/>
      <w:szCs w:val="28"/>
    </w:rPr>
  </w:style>
  <w:style w:type="paragraph" w:styleId="8">
    <w:name w:val="heading 5"/>
    <w:basedOn w:val="1"/>
    <w:next w:val="9"/>
    <w:link w:val="183"/>
    <w:semiHidden/>
    <w:unhideWhenUsed/>
    <w:qFormat/>
    <w:uiPriority w:val="0"/>
    <w:pPr>
      <w:keepNext/>
      <w:keepLines/>
      <w:spacing w:before="280" w:after="290" w:line="376" w:lineRule="auto"/>
      <w:outlineLvl w:val="4"/>
    </w:pPr>
    <w:rPr>
      <w:b/>
      <w:bCs/>
      <w:sz w:val="28"/>
      <w:szCs w:val="28"/>
    </w:rPr>
  </w:style>
  <w:style w:type="paragraph" w:styleId="11">
    <w:name w:val="heading 6"/>
    <w:basedOn w:val="1"/>
    <w:next w:val="9"/>
    <w:link w:val="289"/>
    <w:semiHidden/>
    <w:unhideWhenUsed/>
    <w:qFormat/>
    <w:uiPriority w:val="0"/>
    <w:pPr>
      <w:keepNext/>
      <w:keepLines/>
      <w:numPr>
        <w:ilvl w:val="5"/>
        <w:numId w:val="1"/>
      </w:numPr>
      <w:spacing w:before="240" w:after="64" w:line="319" w:lineRule="auto"/>
      <w:outlineLvl w:val="5"/>
    </w:pPr>
    <w:rPr>
      <w:rFonts w:ascii="Arial" w:hAnsi="Arial" w:eastAsia="黑体"/>
      <w:b/>
      <w:sz w:val="24"/>
      <w:szCs w:val="20"/>
    </w:rPr>
  </w:style>
  <w:style w:type="paragraph" w:styleId="12">
    <w:name w:val="heading 7"/>
    <w:basedOn w:val="1"/>
    <w:next w:val="9"/>
    <w:link w:val="290"/>
    <w:semiHidden/>
    <w:unhideWhenUsed/>
    <w:qFormat/>
    <w:uiPriority w:val="0"/>
    <w:pPr>
      <w:keepNext/>
      <w:keepLines/>
      <w:numPr>
        <w:ilvl w:val="6"/>
        <w:numId w:val="1"/>
      </w:numPr>
      <w:spacing w:before="240" w:after="64" w:line="319" w:lineRule="auto"/>
      <w:outlineLvl w:val="6"/>
    </w:pPr>
    <w:rPr>
      <w:b/>
      <w:sz w:val="24"/>
      <w:szCs w:val="20"/>
    </w:rPr>
  </w:style>
  <w:style w:type="paragraph" w:styleId="13">
    <w:name w:val="heading 8"/>
    <w:basedOn w:val="1"/>
    <w:next w:val="9"/>
    <w:link w:val="287"/>
    <w:semiHidden/>
    <w:unhideWhenUsed/>
    <w:qFormat/>
    <w:uiPriority w:val="0"/>
    <w:pPr>
      <w:keepNext/>
      <w:keepLines/>
      <w:numPr>
        <w:ilvl w:val="7"/>
        <w:numId w:val="1"/>
      </w:numPr>
      <w:spacing w:before="240" w:after="64" w:line="319" w:lineRule="auto"/>
      <w:outlineLvl w:val="7"/>
    </w:pPr>
    <w:rPr>
      <w:rFonts w:ascii="Arial" w:hAnsi="Arial" w:eastAsia="黑体"/>
      <w:sz w:val="24"/>
      <w:szCs w:val="20"/>
    </w:rPr>
  </w:style>
  <w:style w:type="paragraph" w:styleId="14">
    <w:name w:val="heading 9"/>
    <w:basedOn w:val="1"/>
    <w:next w:val="9"/>
    <w:link w:val="284"/>
    <w:semiHidden/>
    <w:unhideWhenUsed/>
    <w:qFormat/>
    <w:uiPriority w:val="0"/>
    <w:pPr>
      <w:keepNext/>
      <w:keepLines/>
      <w:numPr>
        <w:ilvl w:val="8"/>
        <w:numId w:val="1"/>
      </w:numPr>
      <w:spacing w:before="240" w:after="64" w:line="319" w:lineRule="auto"/>
      <w:outlineLvl w:val="8"/>
    </w:pPr>
    <w:rPr>
      <w:rFonts w:ascii="Arial" w:hAnsi="Arial" w:eastAsia="黑体"/>
      <w:szCs w:val="20"/>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Message Header"/>
    <w:basedOn w:val="1"/>
    <w:next w:val="3"/>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cs="Cambria"/>
    </w:rPr>
  </w:style>
  <w:style w:type="paragraph" w:styleId="3">
    <w:name w:val="Plain Text"/>
    <w:basedOn w:val="1"/>
    <w:link w:val="294"/>
    <w:qFormat/>
    <w:uiPriority w:val="0"/>
    <w:rPr>
      <w:rFonts w:ascii="宋体" w:hAnsi="Courier New"/>
      <w:szCs w:val="20"/>
    </w:rPr>
  </w:style>
  <w:style w:type="paragraph" w:styleId="9">
    <w:name w:val="Normal Indent"/>
    <w:basedOn w:val="1"/>
    <w:next w:val="10"/>
    <w:link w:val="291"/>
    <w:semiHidden/>
    <w:unhideWhenUsed/>
    <w:qFormat/>
    <w:uiPriority w:val="0"/>
    <w:pPr>
      <w:ind w:firstLine="420" w:firstLineChars="200"/>
    </w:pPr>
    <w:rPr>
      <w:kern w:val="0"/>
      <w:sz w:val="20"/>
      <w:szCs w:val="20"/>
    </w:rPr>
  </w:style>
  <w:style w:type="paragraph" w:styleId="10">
    <w:name w:val="Body Text 2"/>
    <w:basedOn w:val="1"/>
    <w:next w:val="1"/>
    <w:link w:val="298"/>
    <w:semiHidden/>
    <w:unhideWhenUsed/>
    <w:qFormat/>
    <w:uiPriority w:val="0"/>
    <w:rPr>
      <w:rFonts w:ascii="ˎ̥" w:hAnsi="ˎ̥" w:cs="宋体"/>
      <w:b/>
      <w:sz w:val="32"/>
    </w:rPr>
  </w:style>
  <w:style w:type="paragraph" w:styleId="15">
    <w:name w:val="toc 7"/>
    <w:basedOn w:val="1"/>
    <w:next w:val="1"/>
    <w:semiHidden/>
    <w:qFormat/>
    <w:uiPriority w:val="0"/>
    <w:pPr>
      <w:ind w:left="2520"/>
    </w:pPr>
    <w:rPr>
      <w:szCs w:val="20"/>
    </w:rPr>
  </w:style>
  <w:style w:type="paragraph" w:styleId="16">
    <w:name w:val="caption"/>
    <w:basedOn w:val="1"/>
    <w:next w:val="1"/>
    <w:qFormat/>
    <w:uiPriority w:val="0"/>
    <w:pPr>
      <w:widowControl/>
      <w:spacing w:before="152" w:after="160"/>
      <w:jc w:val="left"/>
    </w:pPr>
    <w:rPr>
      <w:rFonts w:ascii="Arial" w:hAnsi="Arial" w:eastAsia="黑体"/>
      <w:kern w:val="0"/>
      <w:sz w:val="20"/>
      <w:szCs w:val="20"/>
    </w:rPr>
  </w:style>
  <w:style w:type="paragraph" w:styleId="17">
    <w:name w:val="index 6"/>
    <w:basedOn w:val="1"/>
    <w:next w:val="1"/>
    <w:qFormat/>
    <w:uiPriority w:val="0"/>
    <w:pPr>
      <w:ind w:left="1260" w:hanging="210"/>
      <w:jc w:val="left"/>
    </w:pPr>
    <w:rPr>
      <w:szCs w:val="24"/>
    </w:rPr>
  </w:style>
  <w:style w:type="paragraph" w:styleId="18">
    <w:name w:val="Salutation"/>
    <w:basedOn w:val="1"/>
    <w:next w:val="1"/>
    <w:link w:val="292"/>
    <w:qFormat/>
    <w:uiPriority w:val="0"/>
    <w:rPr>
      <w:rFonts w:ascii="Calibri" w:hAnsi="Calibri"/>
      <w:kern w:val="0"/>
      <w:szCs w:val="22"/>
    </w:rPr>
  </w:style>
  <w:style w:type="paragraph" w:styleId="19">
    <w:name w:val="Body Text 3"/>
    <w:basedOn w:val="1"/>
    <w:link w:val="286"/>
    <w:qFormat/>
    <w:uiPriority w:val="0"/>
    <w:pPr>
      <w:spacing w:after="120"/>
    </w:pPr>
    <w:rPr>
      <w:sz w:val="16"/>
      <w:szCs w:val="16"/>
    </w:rPr>
  </w:style>
  <w:style w:type="paragraph" w:styleId="20">
    <w:name w:val="Closing"/>
    <w:basedOn w:val="1"/>
    <w:next w:val="1"/>
    <w:link w:val="293"/>
    <w:qFormat/>
    <w:uiPriority w:val="0"/>
    <w:pPr>
      <w:ind w:left="4320"/>
    </w:pPr>
    <w:rPr>
      <w:sz w:val="30"/>
      <w:szCs w:val="20"/>
    </w:rPr>
  </w:style>
  <w:style w:type="paragraph" w:styleId="21">
    <w:name w:val="Body Text"/>
    <w:basedOn w:val="1"/>
    <w:next w:val="10"/>
    <w:link w:val="209"/>
    <w:semiHidden/>
    <w:unhideWhenUsed/>
    <w:qFormat/>
    <w:uiPriority w:val="0"/>
    <w:pPr>
      <w:spacing w:before="100" w:beforeAutospacing="1" w:after="120"/>
    </w:pPr>
    <w:rPr>
      <w:kern w:val="0"/>
      <w:sz w:val="24"/>
      <w:szCs w:val="24"/>
    </w:rPr>
  </w:style>
  <w:style w:type="paragraph" w:styleId="22">
    <w:name w:val="Body Text Indent"/>
    <w:basedOn w:val="1"/>
    <w:next w:val="1"/>
    <w:link w:val="190"/>
    <w:semiHidden/>
    <w:unhideWhenUsed/>
    <w:qFormat/>
    <w:uiPriority w:val="0"/>
    <w:pPr>
      <w:spacing w:before="100" w:beforeAutospacing="1" w:after="120"/>
      <w:ind w:left="420" w:leftChars="200"/>
    </w:pPr>
  </w:style>
  <w:style w:type="paragraph" w:styleId="23">
    <w:name w:val="toc 5"/>
    <w:basedOn w:val="1"/>
    <w:next w:val="1"/>
    <w:semiHidden/>
    <w:qFormat/>
    <w:uiPriority w:val="0"/>
    <w:pPr>
      <w:ind w:left="1680"/>
    </w:pPr>
    <w:rPr>
      <w:szCs w:val="20"/>
    </w:rPr>
  </w:style>
  <w:style w:type="paragraph" w:styleId="24">
    <w:name w:val="toc 3"/>
    <w:basedOn w:val="1"/>
    <w:next w:val="1"/>
    <w:semiHidden/>
    <w:qFormat/>
    <w:uiPriority w:val="0"/>
    <w:pPr>
      <w:ind w:left="840"/>
    </w:pPr>
    <w:rPr>
      <w:szCs w:val="20"/>
    </w:rPr>
  </w:style>
  <w:style w:type="paragraph" w:styleId="25">
    <w:name w:val="toc 8"/>
    <w:basedOn w:val="1"/>
    <w:next w:val="1"/>
    <w:semiHidden/>
    <w:qFormat/>
    <w:uiPriority w:val="0"/>
    <w:pPr>
      <w:ind w:left="2940"/>
    </w:pPr>
    <w:rPr>
      <w:szCs w:val="20"/>
    </w:rPr>
  </w:style>
  <w:style w:type="paragraph" w:styleId="26">
    <w:name w:val="Date"/>
    <w:basedOn w:val="1"/>
    <w:next w:val="1"/>
    <w:link w:val="285"/>
    <w:qFormat/>
    <w:uiPriority w:val="0"/>
    <w:pPr>
      <w:widowControl/>
      <w:ind w:left="100"/>
      <w:jc w:val="left"/>
    </w:pPr>
    <w:rPr>
      <w:rFonts w:ascii="宋体" w:hAnsi="宋体"/>
      <w:kern w:val="0"/>
      <w:sz w:val="28"/>
      <w:szCs w:val="20"/>
    </w:rPr>
  </w:style>
  <w:style w:type="paragraph" w:styleId="27">
    <w:name w:val="Body Text Indent 2"/>
    <w:basedOn w:val="1"/>
    <w:link w:val="199"/>
    <w:semiHidden/>
    <w:unhideWhenUsed/>
    <w:qFormat/>
    <w:uiPriority w:val="0"/>
    <w:pPr>
      <w:spacing w:after="120" w:line="480" w:lineRule="auto"/>
      <w:ind w:left="420" w:leftChars="200"/>
    </w:pPr>
    <w:rPr>
      <w:rFonts w:ascii="Calibri" w:hAnsi="Calibri"/>
      <w:szCs w:val="24"/>
    </w:rPr>
  </w:style>
  <w:style w:type="paragraph" w:styleId="28">
    <w:name w:val="Balloon Text"/>
    <w:basedOn w:val="1"/>
    <w:link w:val="191"/>
    <w:semiHidden/>
    <w:unhideWhenUsed/>
    <w:qFormat/>
    <w:uiPriority w:val="0"/>
    <w:rPr>
      <w:sz w:val="18"/>
      <w:szCs w:val="18"/>
    </w:rPr>
  </w:style>
  <w:style w:type="paragraph" w:styleId="29">
    <w:name w:val="footer"/>
    <w:basedOn w:val="1"/>
    <w:link w:val="189"/>
    <w:semiHidden/>
    <w:unhideWhenUsed/>
    <w:qFormat/>
    <w:uiPriority w:val="0"/>
    <w:pPr>
      <w:snapToGrid w:val="0"/>
      <w:jc w:val="left"/>
    </w:pPr>
    <w:rPr>
      <w:rFonts w:ascii="Calibri" w:hAnsi="Calibri"/>
      <w:sz w:val="18"/>
      <w:szCs w:val="18"/>
    </w:rPr>
  </w:style>
  <w:style w:type="paragraph" w:styleId="30">
    <w:name w:val="envelope return"/>
    <w:basedOn w:val="1"/>
    <w:unhideWhenUsed/>
    <w:qFormat/>
    <w:uiPriority w:val="99"/>
    <w:pPr>
      <w:adjustRightInd w:val="0"/>
      <w:snapToGrid w:val="0"/>
      <w:spacing w:line="360" w:lineRule="auto"/>
      <w:ind w:firstLine="200" w:firstLineChars="200"/>
    </w:pPr>
    <w:rPr>
      <w:rFonts w:ascii="Arial" w:hAnsi="Arial" w:eastAsia="仿宋_GB2312" w:cs="Arial"/>
      <w:sz w:val="24"/>
    </w:rPr>
  </w:style>
  <w:style w:type="paragraph" w:styleId="31">
    <w:name w:val="header"/>
    <w:basedOn w:val="1"/>
    <w:link w:val="188"/>
    <w:semiHidden/>
    <w:unhideWhenUsed/>
    <w:qFormat/>
    <w:uiPriority w:val="0"/>
    <w:pPr>
      <w:pBdr>
        <w:bottom w:val="single" w:color="auto" w:sz="6" w:space="1"/>
      </w:pBdr>
      <w:snapToGrid w:val="0"/>
      <w:jc w:val="center"/>
    </w:pPr>
    <w:rPr>
      <w:rFonts w:ascii="Calibri" w:hAnsi="Calibri"/>
      <w:sz w:val="18"/>
      <w:szCs w:val="18"/>
    </w:rPr>
  </w:style>
  <w:style w:type="paragraph" w:styleId="32">
    <w:name w:val="toc 1"/>
    <w:basedOn w:val="1"/>
    <w:next w:val="1"/>
    <w:semiHidden/>
    <w:unhideWhenUsed/>
    <w:qFormat/>
    <w:uiPriority w:val="0"/>
    <w:pPr>
      <w:tabs>
        <w:tab w:val="right" w:leader="dot" w:pos="9214"/>
      </w:tabs>
      <w:spacing w:line="600" w:lineRule="auto"/>
    </w:pPr>
  </w:style>
  <w:style w:type="paragraph" w:styleId="33">
    <w:name w:val="toc 4"/>
    <w:basedOn w:val="1"/>
    <w:next w:val="1"/>
    <w:semiHidden/>
    <w:qFormat/>
    <w:uiPriority w:val="0"/>
    <w:pPr>
      <w:ind w:left="1260"/>
    </w:pPr>
    <w:rPr>
      <w:szCs w:val="20"/>
    </w:rPr>
  </w:style>
  <w:style w:type="paragraph" w:styleId="34">
    <w:name w:val="Subtitle"/>
    <w:basedOn w:val="1"/>
    <w:link w:val="295"/>
    <w:qFormat/>
    <w:uiPriority w:val="0"/>
    <w:pPr>
      <w:adjustRightInd w:val="0"/>
      <w:spacing w:after="60" w:line="360" w:lineRule="atLeast"/>
      <w:jc w:val="center"/>
      <w:textAlignment w:val="baseline"/>
    </w:pPr>
    <w:rPr>
      <w:rFonts w:ascii="Arial" w:hAnsi="Arial" w:eastAsia="黑体"/>
      <w:i/>
      <w:kern w:val="0"/>
      <w:sz w:val="24"/>
      <w:szCs w:val="20"/>
    </w:rPr>
  </w:style>
  <w:style w:type="paragraph" w:styleId="35">
    <w:name w:val="footnote text"/>
    <w:basedOn w:val="1"/>
    <w:link w:val="296"/>
    <w:qFormat/>
    <w:uiPriority w:val="0"/>
    <w:pPr>
      <w:snapToGrid w:val="0"/>
      <w:jc w:val="left"/>
    </w:pPr>
    <w:rPr>
      <w:sz w:val="18"/>
      <w:szCs w:val="20"/>
    </w:rPr>
  </w:style>
  <w:style w:type="paragraph" w:styleId="36">
    <w:name w:val="toc 6"/>
    <w:basedOn w:val="1"/>
    <w:next w:val="1"/>
    <w:semiHidden/>
    <w:qFormat/>
    <w:uiPriority w:val="0"/>
    <w:pPr>
      <w:tabs>
        <w:tab w:val="right" w:leader="dot" w:pos="8302"/>
      </w:tabs>
      <w:spacing w:line="360" w:lineRule="auto"/>
      <w:ind w:left="480"/>
    </w:pPr>
    <w:rPr>
      <w:sz w:val="24"/>
      <w:szCs w:val="20"/>
    </w:rPr>
  </w:style>
  <w:style w:type="paragraph" w:styleId="37">
    <w:name w:val="Body Text Indent 3"/>
    <w:basedOn w:val="1"/>
    <w:link w:val="297"/>
    <w:qFormat/>
    <w:uiPriority w:val="0"/>
    <w:pPr>
      <w:adjustRightInd w:val="0"/>
      <w:spacing w:line="360" w:lineRule="auto"/>
      <w:ind w:left="960"/>
      <w:jc w:val="left"/>
      <w:textAlignment w:val="baseline"/>
    </w:pPr>
    <w:rPr>
      <w:rFonts w:eastAsia="楷体"/>
      <w:kern w:val="0"/>
      <w:sz w:val="24"/>
      <w:szCs w:val="20"/>
    </w:rPr>
  </w:style>
  <w:style w:type="paragraph" w:styleId="38">
    <w:name w:val="toc 2"/>
    <w:basedOn w:val="1"/>
    <w:next w:val="1"/>
    <w:semiHidden/>
    <w:qFormat/>
    <w:uiPriority w:val="0"/>
    <w:pPr>
      <w:ind w:left="420"/>
    </w:pPr>
    <w:rPr>
      <w:szCs w:val="20"/>
    </w:rPr>
  </w:style>
  <w:style w:type="paragraph" w:styleId="39">
    <w:name w:val="toc 9"/>
    <w:basedOn w:val="1"/>
    <w:next w:val="1"/>
    <w:semiHidden/>
    <w:qFormat/>
    <w:uiPriority w:val="0"/>
    <w:pPr>
      <w:ind w:left="3360"/>
    </w:pPr>
    <w:rPr>
      <w:szCs w:val="20"/>
    </w:rPr>
  </w:style>
  <w:style w:type="paragraph" w:styleId="40">
    <w:name w:val="HTML Preformatted"/>
    <w:basedOn w:val="1"/>
    <w:link w:val="2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Cs w:val="20"/>
    </w:rPr>
  </w:style>
  <w:style w:type="paragraph" w:styleId="41">
    <w:name w:val="Normal (Web)"/>
    <w:basedOn w:val="1"/>
    <w:semiHidden/>
    <w:unhideWhenUsed/>
    <w:qFormat/>
    <w:uiPriority w:val="0"/>
    <w:pPr>
      <w:widowControl/>
      <w:spacing w:before="100" w:beforeAutospacing="1" w:after="100" w:afterAutospacing="1"/>
      <w:jc w:val="left"/>
    </w:pPr>
    <w:rPr>
      <w:rFonts w:ascii="宋体" w:hAnsi="宋体" w:cs="宋体"/>
      <w:kern w:val="0"/>
      <w:sz w:val="24"/>
      <w:szCs w:val="24"/>
    </w:rPr>
  </w:style>
  <w:style w:type="paragraph" w:styleId="42">
    <w:name w:val="index 1"/>
    <w:basedOn w:val="1"/>
    <w:next w:val="1"/>
    <w:qFormat/>
    <w:uiPriority w:val="0"/>
    <w:pPr>
      <w:adjustRightInd w:val="0"/>
      <w:spacing w:line="312" w:lineRule="atLeast"/>
      <w:textAlignment w:val="baseline"/>
    </w:pPr>
    <w:rPr>
      <w:kern w:val="0"/>
      <w:szCs w:val="20"/>
    </w:rPr>
  </w:style>
  <w:style w:type="paragraph" w:styleId="43">
    <w:name w:val="Title"/>
    <w:basedOn w:val="1"/>
    <w:link w:val="211"/>
    <w:qFormat/>
    <w:uiPriority w:val="0"/>
    <w:pPr>
      <w:spacing w:before="240" w:after="60"/>
      <w:jc w:val="center"/>
      <w:outlineLvl w:val="0"/>
    </w:pPr>
    <w:rPr>
      <w:rFonts w:ascii="等线 Light" w:hAnsi="等线 Light" w:cs="宋体"/>
      <w:b/>
      <w:bCs/>
      <w:kern w:val="0"/>
      <w:sz w:val="32"/>
      <w:szCs w:val="32"/>
    </w:rPr>
  </w:style>
  <w:style w:type="paragraph" w:styleId="44">
    <w:name w:val="Body Text First Indent"/>
    <w:basedOn w:val="21"/>
    <w:next w:val="1"/>
    <w:link w:val="288"/>
    <w:qFormat/>
    <w:uiPriority w:val="0"/>
    <w:pPr>
      <w:widowControl/>
      <w:spacing w:before="0" w:beforeAutospacing="0"/>
      <w:ind w:firstLine="420" w:firstLineChars="100"/>
      <w:jc w:val="left"/>
    </w:pPr>
  </w:style>
  <w:style w:type="paragraph" w:styleId="45">
    <w:name w:val="Body Text First Indent 2"/>
    <w:basedOn w:val="22"/>
    <w:next w:val="1"/>
    <w:link w:val="62"/>
    <w:semiHidden/>
    <w:unhideWhenUsed/>
    <w:qFormat/>
    <w:uiPriority w:val="99"/>
    <w:pPr>
      <w:spacing w:after="0" w:line="660" w:lineRule="exact"/>
      <w:ind w:left="0" w:leftChars="0" w:firstLine="420" w:firstLineChars="200"/>
    </w:pPr>
    <w:rPr>
      <w:spacing w:val="10"/>
      <w:kern w:val="0"/>
      <w:sz w:val="30"/>
      <w:szCs w:val="30"/>
    </w:rPr>
  </w:style>
  <w:style w:type="table" w:styleId="47">
    <w:name w:val="Table Grid"/>
    <w:basedOn w:val="46"/>
    <w:qFormat/>
    <w:uiPriority w:val="0"/>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qFormat/>
    <w:uiPriority w:val="0"/>
    <w:rPr>
      <w:rFonts w:ascii="Calibri" w:hAnsi="Calibri" w:eastAsia="宋体" w:cs="Times New Roman"/>
      <w:b/>
      <w:bCs/>
    </w:rPr>
  </w:style>
  <w:style w:type="character" w:styleId="50">
    <w:name w:val="page number"/>
    <w:basedOn w:val="48"/>
    <w:semiHidden/>
    <w:unhideWhenUsed/>
    <w:qFormat/>
    <w:uiPriority w:val="0"/>
    <w:rPr>
      <w:rFonts w:cs="Times New Roman"/>
      <w:sz w:val="20"/>
      <w:szCs w:val="20"/>
    </w:rPr>
  </w:style>
  <w:style w:type="character" w:styleId="51">
    <w:name w:val="FollowedHyperlink"/>
    <w:basedOn w:val="48"/>
    <w:semiHidden/>
    <w:unhideWhenUsed/>
    <w:qFormat/>
    <w:uiPriority w:val="0"/>
    <w:rPr>
      <w:color w:val="800080"/>
      <w:u w:val="single"/>
    </w:rPr>
  </w:style>
  <w:style w:type="character" w:styleId="52">
    <w:name w:val="Hyperlink"/>
    <w:semiHidden/>
    <w:unhideWhenUsed/>
    <w:qFormat/>
    <w:uiPriority w:val="0"/>
    <w:rPr>
      <w:color w:val="0000FF"/>
      <w:u w:val="single"/>
    </w:rPr>
  </w:style>
  <w:style w:type="character" w:styleId="53">
    <w:name w:val="footnote reference"/>
    <w:qFormat/>
    <w:uiPriority w:val="0"/>
    <w:rPr>
      <w:rFonts w:ascii="Calibri" w:hAnsi="Calibri" w:eastAsia="宋体" w:cs="Times New Roman"/>
      <w:vertAlign w:val="superscript"/>
    </w:rPr>
  </w:style>
  <w:style w:type="paragraph" w:customStyle="1" w:styleId="54">
    <w:name w:val="style4"/>
    <w:basedOn w:val="1"/>
    <w:next w:val="55"/>
    <w:qFormat/>
    <w:uiPriority w:val="0"/>
    <w:pPr>
      <w:widowControl/>
      <w:spacing w:before="280" w:after="280"/>
    </w:pPr>
    <w:rPr>
      <w:rFonts w:ascii="宋体"/>
      <w:sz w:val="18"/>
    </w:rPr>
  </w:style>
  <w:style w:type="paragraph" w:customStyle="1" w:styleId="55">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
    <w:name w:val="目录 51"/>
    <w:next w:val="1"/>
    <w:qFormat/>
    <w:uiPriority w:val="0"/>
    <w:pPr>
      <w:wordWrap w:val="0"/>
      <w:ind w:left="1700"/>
      <w:jc w:val="both"/>
    </w:pPr>
    <w:rPr>
      <w:rFonts w:ascii="Times New Roman" w:hAnsi="Times New Roman" w:eastAsia="Calibri" w:cs="Times New Roman"/>
      <w:sz w:val="21"/>
      <w:lang w:val="en-US" w:eastAsia="zh-CN" w:bidi="ar-SA"/>
    </w:rPr>
  </w:style>
  <w:style w:type="character" w:customStyle="1" w:styleId="57">
    <w:name w:val="标题 1 Char"/>
    <w:qFormat/>
    <w:uiPriority w:val="99"/>
    <w:rPr>
      <w:rFonts w:ascii="Times New Roman" w:hAnsi="Times New Roman" w:eastAsia="宋体" w:cs="Times New Roman"/>
      <w:b/>
      <w:bCs/>
      <w:kern w:val="44"/>
      <w:sz w:val="44"/>
      <w:szCs w:val="44"/>
    </w:rPr>
  </w:style>
  <w:style w:type="character" w:customStyle="1" w:styleId="58">
    <w:name w:val="标题 2 Char"/>
    <w:qFormat/>
    <w:uiPriority w:val="99"/>
    <w:rPr>
      <w:rFonts w:ascii="Arial" w:hAnsi="Arial" w:eastAsia="黑体" w:cs="Arial"/>
      <w:b/>
      <w:bCs/>
      <w:kern w:val="0"/>
      <w:sz w:val="32"/>
      <w:szCs w:val="32"/>
    </w:rPr>
  </w:style>
  <w:style w:type="character" w:customStyle="1" w:styleId="59">
    <w:name w:val="标题 3 Char"/>
    <w:qFormat/>
    <w:uiPriority w:val="99"/>
    <w:rPr>
      <w:rFonts w:ascii="Times New Roman" w:hAnsi="Times New Roman" w:eastAsia="宋体" w:cs="Times New Roman"/>
      <w:b/>
      <w:bCs/>
      <w:kern w:val="0"/>
      <w:sz w:val="32"/>
      <w:szCs w:val="32"/>
    </w:rPr>
  </w:style>
  <w:style w:type="character" w:customStyle="1" w:styleId="60">
    <w:name w:val="标题 4 Char"/>
    <w:qFormat/>
    <w:uiPriority w:val="99"/>
    <w:rPr>
      <w:rFonts w:ascii="Arial" w:hAnsi="Arial" w:eastAsia="宋体" w:cs="Arial"/>
      <w:b/>
      <w:bCs/>
      <w:kern w:val="0"/>
      <w:sz w:val="28"/>
      <w:szCs w:val="28"/>
    </w:rPr>
  </w:style>
  <w:style w:type="character" w:customStyle="1" w:styleId="61">
    <w:name w:val="正文文本缩进 Char"/>
    <w:qFormat/>
    <w:uiPriority w:val="99"/>
    <w:rPr>
      <w:rFonts w:ascii="Times New Roman" w:hAnsi="Times New Roman" w:eastAsia="宋体" w:cs="Times New Roman"/>
      <w:szCs w:val="21"/>
    </w:rPr>
  </w:style>
  <w:style w:type="character" w:customStyle="1" w:styleId="62">
    <w:name w:val="正文文本首行缩进 2 字符"/>
    <w:link w:val="45"/>
    <w:qFormat/>
    <w:uiPriority w:val="99"/>
    <w:rPr>
      <w:rFonts w:ascii="Times New Roman" w:hAnsi="Times New Roman" w:eastAsia="宋体" w:cs="Times New Roman"/>
      <w:spacing w:val="10"/>
      <w:kern w:val="0"/>
      <w:sz w:val="30"/>
      <w:szCs w:val="30"/>
    </w:rPr>
  </w:style>
  <w:style w:type="paragraph" w:customStyle="1" w:styleId="63">
    <w:name w:val="标题3-1"/>
    <w:basedOn w:val="6"/>
    <w:qFormat/>
    <w:uiPriority w:val="0"/>
    <w:pPr>
      <w:spacing w:before="260" w:after="260" w:line="410" w:lineRule="auto"/>
      <w:ind w:left="425" w:hanging="425"/>
    </w:pPr>
    <w:rPr>
      <w:sz w:val="24"/>
      <w:szCs w:val="24"/>
    </w:rPr>
  </w:style>
  <w:style w:type="paragraph" w:customStyle="1" w:styleId="64">
    <w:name w:val="1"/>
    <w:basedOn w:val="1"/>
    <w:next w:val="27"/>
    <w:qFormat/>
    <w:uiPriority w:val="0"/>
    <w:pPr>
      <w:ind w:firstLine="420"/>
      <w:jc w:val="center"/>
    </w:pPr>
    <w:rPr>
      <w:b/>
      <w:sz w:val="36"/>
      <w:szCs w:val="36"/>
    </w:rPr>
  </w:style>
  <w:style w:type="paragraph" w:customStyle="1" w:styleId="65">
    <w:name w:val="p"/>
    <w:basedOn w:val="1"/>
    <w:qFormat/>
    <w:uiPriority w:val="0"/>
    <w:pPr>
      <w:widowControl/>
      <w:spacing w:line="432" w:lineRule="auto"/>
      <w:jc w:val="left"/>
    </w:pPr>
    <w:rPr>
      <w:rFonts w:ascii="宋体" w:hAnsi="宋体" w:cs="宋体"/>
      <w:kern w:val="0"/>
      <w:sz w:val="24"/>
      <w:szCs w:val="24"/>
    </w:rPr>
  </w:style>
  <w:style w:type="paragraph" w:customStyle="1" w:styleId="66">
    <w:name w:val="Table Paragraph"/>
    <w:basedOn w:val="1"/>
    <w:qFormat/>
    <w:uiPriority w:val="0"/>
    <w:pPr>
      <w:autoSpaceDE w:val="0"/>
      <w:autoSpaceDN w:val="0"/>
      <w:adjustRightInd w:val="0"/>
      <w:jc w:val="left"/>
    </w:pPr>
    <w:rPr>
      <w:rFonts w:ascii="宋体" w:cs="宋体"/>
      <w:kern w:val="0"/>
      <w:sz w:val="24"/>
      <w:szCs w:val="24"/>
    </w:rPr>
  </w:style>
  <w:style w:type="character" w:customStyle="1" w:styleId="67">
    <w:name w:val="标题 Char"/>
    <w:qFormat/>
    <w:uiPriority w:val="99"/>
    <w:rPr>
      <w:rFonts w:ascii="等线 Light" w:hAnsi="等线 Light" w:eastAsia="宋体" w:cs="宋体"/>
      <w:b/>
      <w:bCs/>
      <w:kern w:val="0"/>
      <w:sz w:val="32"/>
      <w:szCs w:val="32"/>
    </w:rPr>
  </w:style>
  <w:style w:type="character" w:customStyle="1" w:styleId="68">
    <w:name w:val="正文文本 Char"/>
    <w:qFormat/>
    <w:uiPriority w:val="99"/>
    <w:rPr>
      <w:rFonts w:ascii="Times New Roman" w:hAnsi="Times New Roman" w:eastAsia="宋体" w:cs="Times New Roman"/>
      <w:kern w:val="0"/>
      <w:sz w:val="24"/>
      <w:szCs w:val="24"/>
    </w:rPr>
  </w:style>
  <w:style w:type="paragraph" w:customStyle="1" w:styleId="69">
    <w:name w:val="样式 标题 2 + Times New Roman 四号 非加粗 段前: 5 磅 段后: 0 磅 行距: 固定值 20..."/>
    <w:basedOn w:val="5"/>
    <w:qFormat/>
    <w:uiPriority w:val="0"/>
    <w:pPr>
      <w:keepLines w:val="0"/>
      <w:widowControl/>
      <w:spacing w:before="100" w:after="60" w:line="400" w:lineRule="exact"/>
      <w:ind w:left="576" w:hanging="576"/>
      <w:jc w:val="left"/>
    </w:pPr>
    <w:rPr>
      <w:rFonts w:ascii="Times New Roman" w:hAnsi="Times New Roman" w:cs="宋体"/>
      <w:b w:val="0"/>
      <w:bCs w:val="0"/>
      <w:i/>
      <w:iCs/>
      <w:sz w:val="28"/>
      <w:szCs w:val="28"/>
    </w:rPr>
  </w:style>
  <w:style w:type="paragraph" w:styleId="70">
    <w:name w:val="List Paragraph"/>
    <w:basedOn w:val="1"/>
    <w:qFormat/>
    <w:uiPriority w:val="34"/>
    <w:pPr>
      <w:ind w:firstLine="420" w:firstLineChars="200"/>
    </w:pPr>
  </w:style>
  <w:style w:type="character" w:customStyle="1" w:styleId="71">
    <w:name w:val="页脚 Char"/>
    <w:qFormat/>
    <w:uiPriority w:val="99"/>
    <w:rPr>
      <w:rFonts w:ascii="Calibri" w:hAnsi="Calibri" w:eastAsia="宋体" w:cs="Times New Roman"/>
      <w:sz w:val="18"/>
      <w:szCs w:val="18"/>
    </w:rPr>
  </w:style>
  <w:style w:type="character" w:customStyle="1" w:styleId="72">
    <w:name w:val="页眉 Char"/>
    <w:semiHidden/>
    <w:qFormat/>
    <w:uiPriority w:val="99"/>
    <w:rPr>
      <w:rFonts w:ascii="Calibri" w:hAnsi="Calibri" w:eastAsia="宋体" w:cs="Times New Roman"/>
      <w:sz w:val="18"/>
      <w:szCs w:val="18"/>
    </w:rPr>
  </w:style>
  <w:style w:type="character" w:customStyle="1" w:styleId="73">
    <w:name w:val="15"/>
    <w:qFormat/>
    <w:uiPriority w:val="0"/>
    <w:rPr>
      <w:rFonts w:hint="default" w:ascii="Times New Roman" w:hAnsi="Times New Roman" w:cs="Times New Roman"/>
      <w:color w:val="0000FF"/>
      <w:sz w:val="20"/>
      <w:szCs w:val="20"/>
      <w:u w:val="single"/>
    </w:rPr>
  </w:style>
  <w:style w:type="character" w:customStyle="1" w:styleId="74">
    <w:name w:val="16"/>
    <w:qFormat/>
    <w:uiPriority w:val="0"/>
    <w:rPr>
      <w:rFonts w:hint="default" w:ascii="Times New Roman" w:hAnsi="Times New Roman" w:cs="Times New Roman"/>
      <w:sz w:val="20"/>
      <w:szCs w:val="20"/>
    </w:rPr>
  </w:style>
  <w:style w:type="character" w:customStyle="1" w:styleId="75">
    <w:name w:val="批注框文本 Char"/>
    <w:qFormat/>
    <w:uiPriority w:val="0"/>
    <w:rPr>
      <w:rFonts w:ascii="Times New Roman" w:hAnsi="Times New Roman" w:eastAsia="宋体" w:cs="Times New Roman"/>
      <w:sz w:val="18"/>
      <w:szCs w:val="18"/>
    </w:rPr>
  </w:style>
  <w:style w:type="character" w:customStyle="1" w:styleId="76">
    <w:name w:val="hover17"/>
    <w:basedOn w:val="48"/>
    <w:qFormat/>
    <w:uiPriority w:val="0"/>
  </w:style>
  <w:style w:type="paragraph" w:customStyle="1" w:styleId="77">
    <w:name w:val="xl14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78">
    <w:name w:val="xl12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79">
    <w:name w:val="xl1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80">
    <w:name w:val="xl1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808080"/>
      <w:kern w:val="0"/>
      <w:sz w:val="20"/>
      <w:szCs w:val="20"/>
    </w:rPr>
  </w:style>
  <w:style w:type="paragraph" w:customStyle="1" w:styleId="8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82">
    <w:name w:val="xl72"/>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83">
    <w:name w:val="xl10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84">
    <w:name w:val="font8"/>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5">
    <w:name w:val="xl1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86">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8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88">
    <w:name w:val="正文 A"/>
    <w:next w:val="1"/>
    <w:qFormat/>
    <w:uiPriority w:val="0"/>
    <w:pPr>
      <w:framePr w:wrap="around" w:vAnchor="margin" w:hAnchor="text" w:yAlign="top"/>
      <w:widowControl w:val="0"/>
      <w:jc w:val="both"/>
    </w:pPr>
    <w:rPr>
      <w:rFonts w:ascii="Arial Unicode MS" w:hAnsi="Arial Unicode MS" w:eastAsia="Arial Unicode MS" w:cs="Arial Unicode MS"/>
      <w:color w:val="000000"/>
      <w:kern w:val="2"/>
      <w:sz w:val="21"/>
      <w:szCs w:val="21"/>
      <w:u w:color="000000"/>
      <w:lang w:val="en-US" w:eastAsia="zh-CN" w:bidi="ar-SA"/>
    </w:rPr>
  </w:style>
  <w:style w:type="paragraph" w:customStyle="1" w:styleId="89">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0">
    <w:name w:val="font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91">
    <w:name w:val="xl12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2">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93">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94">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95">
    <w:name w:val="xl12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96">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left"/>
    </w:pPr>
    <w:rPr>
      <w:rFonts w:ascii="宋体" w:hAnsi="宋体" w:cs="宋体"/>
      <w:b/>
      <w:bCs/>
      <w:kern w:val="0"/>
      <w:sz w:val="20"/>
      <w:szCs w:val="20"/>
    </w:rPr>
  </w:style>
  <w:style w:type="paragraph" w:customStyle="1" w:styleId="97">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kern w:val="0"/>
      <w:sz w:val="20"/>
      <w:szCs w:val="20"/>
    </w:rPr>
  </w:style>
  <w:style w:type="paragraph" w:customStyle="1" w:styleId="98">
    <w:name w:val="xl132"/>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9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0">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01">
    <w:name w:val="xl1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2">
    <w:name w:val="xl10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3">
    <w:name w:val="xl1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4">
    <w:name w:val="xl14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5">
    <w:name w:val="xl139"/>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06">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07">
    <w:name w:val="xl15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08">
    <w:name w:val="font13"/>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1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1">
    <w:name w:val="xl14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12">
    <w:name w:val="样式2"/>
    <w:basedOn w:val="1"/>
    <w:qFormat/>
    <w:uiPriority w:val="0"/>
    <w:pPr>
      <w:widowControl/>
    </w:pPr>
    <w:rPr>
      <w:rFonts w:ascii="宋体" w:hAnsi="宋体" w:eastAsia="仿宋"/>
      <w:spacing w:val="8"/>
      <w:sz w:val="24"/>
      <w:szCs w:val="24"/>
    </w:rPr>
  </w:style>
  <w:style w:type="paragraph" w:customStyle="1" w:styleId="113">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4">
    <w:name w:val="xl157"/>
    <w:basedOn w:val="1"/>
    <w:qFormat/>
    <w:uiPriority w:val="0"/>
    <w:pPr>
      <w:widowControl/>
      <w:pBdr>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1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16">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17">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1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b/>
      <w:bCs/>
      <w:kern w:val="0"/>
      <w:sz w:val="20"/>
      <w:szCs w:val="20"/>
    </w:rPr>
  </w:style>
  <w:style w:type="paragraph" w:customStyle="1" w:styleId="119">
    <w:name w:val="xl1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0">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1">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2">
    <w:name w:val="xl14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23">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20"/>
      <w:szCs w:val="20"/>
    </w:rPr>
  </w:style>
  <w:style w:type="paragraph" w:customStyle="1" w:styleId="124">
    <w:name w:val="xl14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5">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26">
    <w:name w:val="xl136"/>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27">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28">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paragraph" w:customStyle="1" w:styleId="129">
    <w:name w:val="xl15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30">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31">
    <w:name w:val="xl7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2">
    <w:name w:val="font11"/>
    <w:basedOn w:val="1"/>
    <w:qFormat/>
    <w:uiPriority w:val="0"/>
    <w:pPr>
      <w:widowControl/>
      <w:spacing w:before="100" w:beforeAutospacing="1" w:after="100" w:afterAutospacing="1"/>
      <w:jc w:val="left"/>
    </w:pPr>
    <w:rPr>
      <w:rFonts w:ascii="PMingLiU" w:hAnsi="PMingLiU" w:eastAsia="PMingLiU" w:cs="宋体"/>
      <w:kern w:val="0"/>
      <w:sz w:val="20"/>
      <w:szCs w:val="20"/>
    </w:rPr>
  </w:style>
  <w:style w:type="paragraph" w:customStyle="1" w:styleId="133">
    <w:name w:val="xl1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34">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5">
    <w:name w:val="xl14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36">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7">
    <w:name w:val="xl12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PMingLiU" w:hAnsi="PMingLiU" w:eastAsia="PMingLiU" w:cs="宋体"/>
      <w:kern w:val="0"/>
      <w:sz w:val="20"/>
      <w:szCs w:val="20"/>
    </w:rPr>
  </w:style>
  <w:style w:type="paragraph" w:customStyle="1" w:styleId="138">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39">
    <w:name w:val="xl134"/>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140">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41">
    <w:name w:val="xl1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2">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3">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4">
    <w:name w:val="xl15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45">
    <w:name w:val="xl1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6">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47">
    <w:name w:val="xl133"/>
    <w:basedOn w:val="1"/>
    <w:qFormat/>
    <w:uiPriority w:val="0"/>
    <w:pPr>
      <w:widowControl/>
      <w:spacing w:before="100" w:beforeAutospacing="1" w:after="100" w:afterAutospacing="1"/>
      <w:jc w:val="center"/>
    </w:pPr>
    <w:rPr>
      <w:rFonts w:ascii="黑体" w:hAnsi="黑体" w:eastAsia="黑体" w:cs="宋体"/>
      <w:b/>
      <w:bCs/>
      <w:kern w:val="0"/>
      <w:sz w:val="28"/>
      <w:szCs w:val="28"/>
    </w:rPr>
  </w:style>
  <w:style w:type="paragraph" w:customStyle="1" w:styleId="148">
    <w:name w:val="xl106"/>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49">
    <w:name w:val="xl14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0">
    <w:name w:val="xl135"/>
    <w:basedOn w:val="1"/>
    <w:qFormat/>
    <w:uiPriority w:val="0"/>
    <w:pPr>
      <w:widowControl/>
      <w:pBdr>
        <w:top w:val="single" w:color="auto" w:sz="4" w:space="0"/>
        <w:left w:val="single" w:color="auto" w:sz="4" w:space="0"/>
        <w:bottom w:val="single" w:color="auto" w:sz="4" w:space="0"/>
        <w:right w:val="single" w:color="auto" w:sz="4" w:space="0"/>
      </w:pBdr>
      <w:shd w:val="clear" w:color="000000" w:fill="00B0F0"/>
      <w:spacing w:before="100" w:beforeAutospacing="1" w:after="100" w:afterAutospacing="1"/>
      <w:jc w:val="center"/>
    </w:pPr>
    <w:rPr>
      <w:rFonts w:ascii="宋体" w:hAnsi="宋体" w:cs="宋体"/>
      <w:b/>
      <w:bCs/>
      <w:kern w:val="0"/>
      <w:sz w:val="20"/>
      <w:szCs w:val="20"/>
    </w:rPr>
  </w:style>
  <w:style w:type="paragraph" w:customStyle="1" w:styleId="151">
    <w:name w:val="xl102"/>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2">
    <w:name w:val="xl15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3">
    <w:name w:val="xl147"/>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4">
    <w:name w:val="正文 B"/>
    <w:qFormat/>
    <w:uiPriority w:val="0"/>
    <w:pPr>
      <w:framePr w:wrap="around" w:vAnchor="margin" w:hAnchor="text" w:yAlign="top"/>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155">
    <w:name w:val="xl12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宋体" w:hAnsi="宋体" w:cs="宋体"/>
      <w:color w:val="000000"/>
      <w:kern w:val="0"/>
      <w:sz w:val="20"/>
      <w:szCs w:val="20"/>
    </w:rPr>
  </w:style>
  <w:style w:type="paragraph" w:customStyle="1" w:styleId="157">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158">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59">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0">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1">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162">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63">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66">
    <w:name w:val="xl103"/>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67">
    <w:name w:val="font12"/>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68">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9">
    <w:name w:val="xl131"/>
    <w:basedOn w:val="1"/>
    <w:qFormat/>
    <w:uiPriority w:val="0"/>
    <w:pPr>
      <w:widowControl/>
      <w:pBdr>
        <w:left w:val="single" w:color="auto" w:sz="8" w:space="0"/>
      </w:pBdr>
      <w:spacing w:before="100" w:beforeAutospacing="1" w:after="100" w:afterAutospacing="1"/>
      <w:jc w:val="center"/>
    </w:pPr>
    <w:rPr>
      <w:rFonts w:ascii="黑体" w:hAnsi="黑体" w:eastAsia="黑体" w:cs="宋体"/>
      <w:b/>
      <w:bCs/>
      <w:kern w:val="0"/>
      <w:sz w:val="28"/>
      <w:szCs w:val="28"/>
    </w:rPr>
  </w:style>
  <w:style w:type="paragraph" w:customStyle="1" w:styleId="170">
    <w:name w:val="xl1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1">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2">
    <w:name w:val="font9"/>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73">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74">
    <w:name w:val="font10"/>
    <w:basedOn w:val="1"/>
    <w:qFormat/>
    <w:uiPriority w:val="0"/>
    <w:pPr>
      <w:widowControl/>
      <w:spacing w:before="100" w:beforeAutospacing="1" w:after="100" w:afterAutospacing="1"/>
      <w:jc w:val="left"/>
    </w:pPr>
    <w:rPr>
      <w:rFonts w:ascii="宋体" w:hAnsi="宋体" w:cs="宋体"/>
      <w:color w:val="000000"/>
      <w:kern w:val="0"/>
      <w:sz w:val="20"/>
      <w:szCs w:val="20"/>
    </w:rPr>
  </w:style>
  <w:style w:type="paragraph" w:customStyle="1" w:styleId="175">
    <w:name w:val="xl13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top"/>
    </w:pPr>
    <w:rPr>
      <w:rFonts w:ascii="宋体" w:hAnsi="宋体" w:cs="宋体"/>
      <w:kern w:val="0"/>
      <w:sz w:val="20"/>
      <w:szCs w:val="20"/>
    </w:rPr>
  </w:style>
  <w:style w:type="character" w:customStyle="1" w:styleId="176">
    <w:name w:val="正文文本缩进 2 Char"/>
    <w:qFormat/>
    <w:uiPriority w:val="0"/>
    <w:rPr>
      <w:kern w:val="2"/>
      <w:sz w:val="21"/>
      <w:szCs w:val="24"/>
    </w:rPr>
  </w:style>
  <w:style w:type="character" w:customStyle="1" w:styleId="177">
    <w:name w:val="标题 5 Char"/>
    <w:qFormat/>
    <w:uiPriority w:val="9"/>
    <w:rPr>
      <w:rFonts w:ascii="Times New Roman" w:hAnsi="Times New Roman"/>
      <w:b/>
      <w:bCs/>
      <w:kern w:val="2"/>
      <w:sz w:val="28"/>
      <w:szCs w:val="28"/>
    </w:rPr>
  </w:style>
  <w:style w:type="paragraph" w:customStyle="1" w:styleId="178">
    <w:name w:val="List Paragraph1"/>
    <w:basedOn w:val="1"/>
    <w:qFormat/>
    <w:uiPriority w:val="99"/>
    <w:pPr>
      <w:ind w:firstLine="420" w:firstLineChars="200"/>
    </w:pPr>
    <w:rPr>
      <w:rFonts w:ascii="Calibri" w:hAnsi="Calibri"/>
      <w:szCs w:val="24"/>
    </w:rPr>
  </w:style>
  <w:style w:type="character" w:customStyle="1" w:styleId="179">
    <w:name w:val="Heading 1 Char"/>
    <w:basedOn w:val="48"/>
    <w:qFormat/>
    <w:uiPriority w:val="0"/>
    <w:rPr>
      <w:rFonts w:ascii="Times New Roman" w:hAnsi="Times New Roman" w:eastAsia="宋体" w:cs="Times New Roman"/>
      <w:b/>
      <w:kern w:val="44"/>
      <w:sz w:val="44"/>
      <w:szCs w:val="20"/>
      <w:lang w:val="en-US" w:eastAsia="zh-CN" w:bidi="ar-SA"/>
    </w:rPr>
  </w:style>
  <w:style w:type="character" w:customStyle="1" w:styleId="180">
    <w:name w:val="Heading 2 Char"/>
    <w:basedOn w:val="48"/>
    <w:semiHidden/>
    <w:qFormat/>
    <w:uiPriority w:val="0"/>
    <w:rPr>
      <w:rFonts w:ascii="Arial" w:hAnsi="Arial" w:eastAsia="黑体" w:cs="Times New Roman"/>
      <w:b/>
      <w:sz w:val="32"/>
      <w:szCs w:val="20"/>
      <w:lang w:val="en-US" w:eastAsia="zh-CN" w:bidi="ar-SA"/>
    </w:rPr>
  </w:style>
  <w:style w:type="character" w:customStyle="1" w:styleId="181">
    <w:name w:val="Heading 3 Char"/>
    <w:basedOn w:val="48"/>
    <w:semiHidden/>
    <w:qFormat/>
    <w:uiPriority w:val="0"/>
    <w:rPr>
      <w:rFonts w:ascii="Times New Roman" w:hAnsi="Times New Roman" w:eastAsia="宋体" w:cs="Times New Roman"/>
      <w:b/>
      <w:sz w:val="32"/>
      <w:szCs w:val="20"/>
      <w:lang w:val="en-US" w:eastAsia="zh-CN" w:bidi="ar-SA"/>
    </w:rPr>
  </w:style>
  <w:style w:type="character" w:customStyle="1" w:styleId="182">
    <w:name w:val="标题 4 字符"/>
    <w:basedOn w:val="48"/>
    <w:link w:val="7"/>
    <w:semiHidden/>
    <w:qFormat/>
    <w:uiPriority w:val="0"/>
    <w:rPr>
      <w:rFonts w:ascii="Arial" w:hAnsi="Arial" w:eastAsia="黑体" w:cs="Times New Roman"/>
      <w:b/>
      <w:kern w:val="2"/>
      <w:sz w:val="28"/>
      <w:szCs w:val="20"/>
      <w:lang w:val="en-US" w:eastAsia="zh-CN" w:bidi="ar-SA"/>
    </w:rPr>
  </w:style>
  <w:style w:type="character" w:customStyle="1" w:styleId="183">
    <w:name w:val="标题 5 字符"/>
    <w:basedOn w:val="48"/>
    <w:link w:val="8"/>
    <w:semiHidden/>
    <w:qFormat/>
    <w:uiPriority w:val="0"/>
    <w:rPr>
      <w:rFonts w:ascii="Times New Roman" w:hAnsi="Times New Roman" w:eastAsia="宋体" w:cs="Times New Roman"/>
      <w:b/>
      <w:kern w:val="2"/>
      <w:sz w:val="28"/>
      <w:szCs w:val="20"/>
      <w:lang w:val="en-US" w:eastAsia="zh-CN" w:bidi="ar-SA"/>
    </w:rPr>
  </w:style>
  <w:style w:type="character" w:customStyle="1" w:styleId="184">
    <w:name w:val="Heading 6 Char"/>
    <w:basedOn w:val="48"/>
    <w:semiHidden/>
    <w:qFormat/>
    <w:uiPriority w:val="0"/>
    <w:rPr>
      <w:rFonts w:ascii="Arial" w:hAnsi="Arial" w:eastAsia="黑体" w:cs="Times New Roman"/>
      <w:b/>
      <w:kern w:val="2"/>
      <w:sz w:val="24"/>
      <w:szCs w:val="20"/>
      <w:lang w:val="en-US" w:eastAsia="zh-CN" w:bidi="ar-SA"/>
    </w:rPr>
  </w:style>
  <w:style w:type="character" w:customStyle="1" w:styleId="185">
    <w:name w:val="Heading 7 Char"/>
    <w:basedOn w:val="48"/>
    <w:semiHidden/>
    <w:qFormat/>
    <w:uiPriority w:val="99"/>
    <w:rPr>
      <w:rFonts w:ascii="Times New Roman" w:hAnsi="Times New Roman" w:eastAsia="宋体" w:cs="Times New Roman"/>
      <w:b/>
      <w:kern w:val="2"/>
      <w:sz w:val="24"/>
      <w:szCs w:val="20"/>
      <w:lang w:val="en-US" w:eastAsia="zh-CN" w:bidi="ar-SA"/>
    </w:rPr>
  </w:style>
  <w:style w:type="character" w:customStyle="1" w:styleId="186">
    <w:name w:val="Heading 8 Char"/>
    <w:basedOn w:val="48"/>
    <w:semiHidden/>
    <w:qFormat/>
    <w:uiPriority w:val="99"/>
    <w:rPr>
      <w:rFonts w:ascii="Arial" w:hAnsi="Arial" w:eastAsia="黑体" w:cs="Times New Roman"/>
      <w:kern w:val="2"/>
      <w:sz w:val="24"/>
      <w:szCs w:val="20"/>
      <w:lang w:val="en-US" w:eastAsia="zh-CN" w:bidi="ar-SA"/>
    </w:rPr>
  </w:style>
  <w:style w:type="character" w:customStyle="1" w:styleId="187">
    <w:name w:val="Heading 9 Char"/>
    <w:basedOn w:val="48"/>
    <w:semiHidden/>
    <w:qFormat/>
    <w:uiPriority w:val="99"/>
    <w:rPr>
      <w:rFonts w:ascii="Arial" w:hAnsi="Arial" w:eastAsia="黑体" w:cs="Times New Roman"/>
      <w:kern w:val="2"/>
      <w:sz w:val="21"/>
      <w:szCs w:val="20"/>
      <w:lang w:val="en-US" w:eastAsia="zh-CN" w:bidi="ar-SA"/>
    </w:rPr>
  </w:style>
  <w:style w:type="character" w:customStyle="1" w:styleId="188">
    <w:name w:val="页眉 字符"/>
    <w:basedOn w:val="48"/>
    <w:link w:val="31"/>
    <w:qFormat/>
    <w:uiPriority w:val="99"/>
    <w:rPr>
      <w:rFonts w:ascii="Times New Roman" w:hAnsi="Times New Roman" w:eastAsia="宋体" w:cs="Times New Roman"/>
      <w:sz w:val="24"/>
      <w:szCs w:val="24"/>
      <w:lang w:val="en-US" w:eastAsia="zh-CN" w:bidi="ar-SA"/>
    </w:rPr>
  </w:style>
  <w:style w:type="character" w:customStyle="1" w:styleId="189">
    <w:name w:val="页脚 字符"/>
    <w:basedOn w:val="48"/>
    <w:link w:val="29"/>
    <w:qFormat/>
    <w:uiPriority w:val="99"/>
    <w:rPr>
      <w:rFonts w:ascii="Times New Roman" w:hAnsi="Times New Roman" w:eastAsia="宋体" w:cs="Times New Roman"/>
      <w:sz w:val="24"/>
      <w:szCs w:val="24"/>
      <w:lang w:val="en-US" w:eastAsia="zh-CN" w:bidi="ar-SA"/>
    </w:rPr>
  </w:style>
  <w:style w:type="character" w:customStyle="1" w:styleId="190">
    <w:name w:val="正文文本缩进 字符"/>
    <w:basedOn w:val="48"/>
    <w:link w:val="22"/>
    <w:semiHidden/>
    <w:qFormat/>
    <w:uiPriority w:val="99"/>
    <w:rPr>
      <w:rFonts w:ascii="Times New Roman" w:hAnsi="Times New Roman" w:eastAsia="宋体" w:cs="Times New Roman"/>
      <w:b/>
      <w:kern w:val="2"/>
      <w:sz w:val="52"/>
      <w:szCs w:val="20"/>
      <w:lang w:val="en-US" w:eastAsia="zh-CN" w:bidi="ar-SA"/>
    </w:rPr>
  </w:style>
  <w:style w:type="character" w:customStyle="1" w:styleId="191">
    <w:name w:val="批注框文本 字符"/>
    <w:basedOn w:val="48"/>
    <w:link w:val="28"/>
    <w:semiHidden/>
    <w:qFormat/>
    <w:uiPriority w:val="99"/>
    <w:rPr>
      <w:rFonts w:ascii="Tahoma" w:hAnsi="Tahoma" w:eastAsia="宋体" w:cs="Tahoma"/>
      <w:sz w:val="16"/>
      <w:szCs w:val="16"/>
      <w:lang w:val="en-US" w:eastAsia="zh-CN" w:bidi="ar-SA"/>
    </w:rPr>
  </w:style>
  <w:style w:type="character" w:customStyle="1" w:styleId="192">
    <w:name w:val="标题 1 字符"/>
    <w:link w:val="4"/>
    <w:qFormat/>
    <w:uiPriority w:val="0"/>
    <w:rPr>
      <w:rFonts w:ascii="Times New Roman" w:hAnsi="Times New Roman" w:eastAsia="宋体" w:cs="Times New Roman"/>
      <w:b/>
      <w:kern w:val="44"/>
      <w:sz w:val="44"/>
      <w:szCs w:val="20"/>
    </w:rPr>
  </w:style>
  <w:style w:type="character" w:customStyle="1" w:styleId="193">
    <w:name w:val="标题 2 字符"/>
    <w:link w:val="5"/>
    <w:qFormat/>
    <w:uiPriority w:val="0"/>
    <w:rPr>
      <w:rFonts w:ascii="Arial" w:hAnsi="Arial" w:eastAsia="黑体" w:cs="Times New Roman"/>
      <w:b/>
      <w:kern w:val="2"/>
      <w:sz w:val="32"/>
      <w:szCs w:val="20"/>
    </w:rPr>
  </w:style>
  <w:style w:type="character" w:customStyle="1" w:styleId="194">
    <w:name w:val="标题 3 字符"/>
    <w:link w:val="6"/>
    <w:qFormat/>
    <w:uiPriority w:val="0"/>
    <w:rPr>
      <w:rFonts w:ascii="Times New Roman" w:hAnsi="Times New Roman" w:eastAsia="宋体" w:cs="Times New Roman"/>
      <w:b/>
      <w:sz w:val="32"/>
      <w:szCs w:val="20"/>
    </w:rPr>
  </w:style>
  <w:style w:type="character" w:customStyle="1" w:styleId="195">
    <w:name w:val="Normal Indent Char"/>
    <w:qFormat/>
    <w:uiPriority w:val="0"/>
    <w:rPr>
      <w:rFonts w:ascii="Calibri" w:hAnsi="Calibri" w:eastAsia="宋体" w:cs="Times New Roman"/>
      <w:kern w:val="0"/>
      <w:sz w:val="20"/>
      <w:szCs w:val="20"/>
    </w:rPr>
  </w:style>
  <w:style w:type="character" w:customStyle="1" w:styleId="196">
    <w:name w:val="Body Text Indent 3 Char"/>
    <w:qFormat/>
    <w:uiPriority w:val="0"/>
    <w:rPr>
      <w:rFonts w:ascii="Calibri" w:hAnsi="Calibri" w:eastAsia="楷体" w:cs="Times New Roman"/>
      <w:kern w:val="0"/>
      <w:sz w:val="24"/>
    </w:rPr>
  </w:style>
  <w:style w:type="character" w:customStyle="1" w:styleId="197">
    <w:name w:val="Date Char"/>
    <w:qFormat/>
    <w:uiPriority w:val="0"/>
    <w:rPr>
      <w:rFonts w:ascii="宋体" w:hAnsi="宋体" w:eastAsia="宋体" w:cs="Times New Roman"/>
      <w:kern w:val="0"/>
      <w:sz w:val="28"/>
    </w:rPr>
  </w:style>
  <w:style w:type="character" w:customStyle="1" w:styleId="198">
    <w:name w:val="Plain Text Char"/>
    <w:qFormat/>
    <w:uiPriority w:val="0"/>
    <w:rPr>
      <w:rFonts w:ascii="宋体" w:hAnsi="Courier New" w:eastAsia="宋体" w:cs="Times New Roman"/>
    </w:rPr>
  </w:style>
  <w:style w:type="character" w:customStyle="1" w:styleId="199">
    <w:name w:val="正文文本缩进 2 字符"/>
    <w:link w:val="27"/>
    <w:qFormat/>
    <w:uiPriority w:val="0"/>
    <w:rPr>
      <w:rFonts w:ascii="Times New Roman" w:hAnsi="Times New Roman" w:eastAsia="宋体" w:cs="Times New Roman"/>
      <w:kern w:val="2"/>
      <w:sz w:val="21"/>
      <w:szCs w:val="20"/>
    </w:rPr>
  </w:style>
  <w:style w:type="paragraph" w:customStyle="1" w:styleId="200">
    <w:name w:val="文档正文"/>
    <w:basedOn w:val="1"/>
    <w:qFormat/>
    <w:uiPriority w:val="0"/>
    <w:pPr>
      <w:adjustRightInd w:val="0"/>
      <w:spacing w:line="312" w:lineRule="atLeast"/>
      <w:ind w:firstLine="567"/>
      <w:textAlignment w:val="baseline"/>
    </w:pPr>
    <w:rPr>
      <w:kern w:val="0"/>
      <w:sz w:val="28"/>
      <w:szCs w:val="20"/>
    </w:rPr>
  </w:style>
  <w:style w:type="paragraph" w:customStyle="1" w:styleId="201">
    <w:name w:val="图文"/>
    <w:basedOn w:val="1"/>
    <w:qFormat/>
    <w:uiPriority w:val="0"/>
    <w:pPr>
      <w:adjustRightInd w:val="0"/>
      <w:snapToGrid w:val="0"/>
      <w:spacing w:after="50" w:line="360" w:lineRule="auto"/>
    </w:pPr>
    <w:rPr>
      <w:sz w:val="24"/>
      <w:szCs w:val="24"/>
    </w:rPr>
  </w:style>
  <w:style w:type="character" w:customStyle="1" w:styleId="202">
    <w:name w:val="Body Text 2 Char"/>
    <w:qFormat/>
    <w:uiPriority w:val="0"/>
    <w:rPr>
      <w:rFonts w:ascii="ˎ̥" w:hAnsi="ˎ̥" w:eastAsia="宋体" w:cs="宋体"/>
      <w:b/>
      <w:sz w:val="32"/>
    </w:rPr>
  </w:style>
  <w:style w:type="paragraph" w:customStyle="1" w:styleId="203">
    <w:name w:val="4"/>
    <w:basedOn w:val="1"/>
    <w:next w:val="3"/>
    <w:qFormat/>
    <w:uiPriority w:val="0"/>
    <w:rPr>
      <w:rFonts w:ascii="宋体" w:hAnsi="Courier New"/>
      <w:szCs w:val="20"/>
    </w:rPr>
  </w:style>
  <w:style w:type="paragraph" w:customStyle="1" w:styleId="204">
    <w:name w:val="Char"/>
    <w:basedOn w:val="1"/>
    <w:qFormat/>
    <w:uiPriority w:val="0"/>
    <w:pPr>
      <w:spacing w:line="360" w:lineRule="auto"/>
      <w:jc w:val="left"/>
    </w:pPr>
    <w:rPr>
      <w:rFonts w:ascii="Tahoma" w:hAnsi="Tahoma"/>
      <w:sz w:val="24"/>
      <w:szCs w:val="20"/>
    </w:rPr>
  </w:style>
  <w:style w:type="paragraph" w:customStyle="1" w:styleId="205">
    <w:name w:val="Char1 Char Char Char"/>
    <w:basedOn w:val="1"/>
    <w:qFormat/>
    <w:uiPriority w:val="0"/>
    <w:rPr>
      <w:rFonts w:ascii="Tahoma" w:hAnsi="Tahoma"/>
      <w:sz w:val="24"/>
      <w:szCs w:val="20"/>
    </w:rPr>
  </w:style>
  <w:style w:type="character" w:customStyle="1" w:styleId="206">
    <w:name w:val="Body Text 3 Char"/>
    <w:qFormat/>
    <w:uiPriority w:val="0"/>
    <w:rPr>
      <w:rFonts w:ascii="Calibri" w:hAnsi="Calibri" w:eastAsia="宋体" w:cs="Times New Roman"/>
      <w:sz w:val="16"/>
      <w:szCs w:val="16"/>
    </w:rPr>
  </w:style>
  <w:style w:type="paragraph" w:customStyle="1" w:styleId="207">
    <w:name w:val="样式3"/>
    <w:basedOn w:val="3"/>
    <w:qFormat/>
    <w:uiPriority w:val="0"/>
    <w:pPr>
      <w:spacing w:line="0" w:lineRule="atLeast"/>
      <w:outlineLvl w:val="0"/>
    </w:pPr>
    <w:rPr>
      <w:sz w:val="28"/>
    </w:rPr>
  </w:style>
  <w:style w:type="character" w:customStyle="1" w:styleId="208">
    <w:name w:val="Char Char Char"/>
    <w:qFormat/>
    <w:uiPriority w:val="0"/>
    <w:rPr>
      <w:rFonts w:ascii="Arial" w:hAnsi="Arial" w:eastAsia="宋体" w:cs="Arial"/>
      <w:bCs/>
      <w:sz w:val="24"/>
      <w:szCs w:val="26"/>
      <w:lang w:val="en-US" w:eastAsia="zh-CN" w:bidi="ar-SA"/>
    </w:rPr>
  </w:style>
  <w:style w:type="character" w:customStyle="1" w:styleId="209">
    <w:name w:val="正文文本 字符"/>
    <w:link w:val="21"/>
    <w:qFormat/>
    <w:uiPriority w:val="0"/>
    <w:rPr>
      <w:rFonts w:ascii="Times New Roman" w:hAnsi="Times New Roman" w:eastAsia="宋体" w:cs="Times New Roman"/>
      <w:kern w:val="2"/>
      <w:sz w:val="21"/>
      <w:szCs w:val="20"/>
    </w:rPr>
  </w:style>
  <w:style w:type="character" w:customStyle="1" w:styleId="210">
    <w:name w:val="Body Text First Indent Char"/>
    <w:qFormat/>
    <w:uiPriority w:val="0"/>
    <w:rPr>
      <w:rFonts w:ascii="Calibri" w:hAnsi="Calibri" w:eastAsia="宋体" w:cs="Times New Roman"/>
      <w:kern w:val="0"/>
      <w:sz w:val="24"/>
      <w:szCs w:val="24"/>
    </w:rPr>
  </w:style>
  <w:style w:type="character" w:customStyle="1" w:styleId="211">
    <w:name w:val="标题 字符"/>
    <w:link w:val="43"/>
    <w:qFormat/>
    <w:uiPriority w:val="0"/>
    <w:rPr>
      <w:rFonts w:ascii="Arial" w:hAnsi="Arial" w:eastAsia="宋体" w:cs="Arial"/>
      <w:b/>
      <w:bCs/>
      <w:sz w:val="32"/>
      <w:szCs w:val="32"/>
    </w:rPr>
  </w:style>
  <w:style w:type="paragraph" w:customStyle="1" w:styleId="212">
    <w:name w:val="Default"/>
    <w:qFormat/>
    <w:uiPriority w:val="0"/>
    <w:pPr>
      <w:widowControl w:val="0"/>
      <w:autoSpaceDE w:val="0"/>
      <w:autoSpaceDN w:val="0"/>
      <w:adjustRightInd w:val="0"/>
    </w:pPr>
    <w:rPr>
      <w:rFonts w:ascii="黑体" w:hAnsi="Times New Roman" w:eastAsia="黑体" w:cs="Times New Roman"/>
      <w:color w:val="000000"/>
      <w:sz w:val="24"/>
      <w:szCs w:val="24"/>
      <w:lang w:val="en-US" w:eastAsia="zh-CN" w:bidi="ar-SA"/>
    </w:rPr>
  </w:style>
  <w:style w:type="paragraph" w:customStyle="1" w:styleId="213">
    <w:name w:val="Char Char Char1"/>
    <w:basedOn w:val="1"/>
    <w:qFormat/>
    <w:uiPriority w:val="0"/>
    <w:rPr>
      <w:rFonts w:ascii="宋体" w:hAnsi="宋体" w:cs="宋体"/>
      <w:b/>
      <w:bCs/>
      <w:kern w:val="0"/>
      <w:sz w:val="24"/>
      <w:szCs w:val="24"/>
      <w:lang w:eastAsia="en-US"/>
    </w:rPr>
  </w:style>
  <w:style w:type="character" w:customStyle="1" w:styleId="214">
    <w:name w:val="Anrede1IhrZeichen"/>
    <w:qFormat/>
    <w:uiPriority w:val="0"/>
    <w:rPr>
      <w:rFonts w:ascii="Arial" w:hAnsi="Arial" w:eastAsia="宋体" w:cs="Times New Roman"/>
      <w:sz w:val="20"/>
    </w:rPr>
  </w:style>
  <w:style w:type="paragraph" w:customStyle="1" w:styleId="215">
    <w:name w:val="_Style 8"/>
    <w:basedOn w:val="1"/>
    <w:qFormat/>
    <w:uiPriority w:val="0"/>
    <w:pPr>
      <w:widowControl/>
      <w:spacing w:after="160" w:line="240" w:lineRule="exact"/>
      <w:jc w:val="left"/>
    </w:pPr>
    <w:rPr>
      <w:szCs w:val="20"/>
    </w:rPr>
  </w:style>
  <w:style w:type="character" w:customStyle="1" w:styleId="216">
    <w:name w:val="Footnote Text Char"/>
    <w:qFormat/>
    <w:uiPriority w:val="0"/>
    <w:rPr>
      <w:rFonts w:ascii="Calibri" w:hAnsi="Calibri" w:eastAsia="宋体" w:cs="Times New Roman"/>
      <w:sz w:val="18"/>
    </w:rPr>
  </w:style>
  <w:style w:type="paragraph" w:customStyle="1" w:styleId="217">
    <w:name w:val="ÕýÎÄ"/>
    <w:qFormat/>
    <w:uiPriority w:val="0"/>
    <w:pPr>
      <w:widowControl w:val="0"/>
      <w:overflowPunct w:val="0"/>
      <w:autoSpaceDE w:val="0"/>
      <w:autoSpaceDN w:val="0"/>
      <w:adjustRightInd w:val="0"/>
      <w:jc w:val="both"/>
      <w:textAlignment w:val="baseline"/>
    </w:pPr>
    <w:rPr>
      <w:rFonts w:ascii="Times New Roman" w:hAnsi="Times New Roman" w:eastAsia="宋体" w:cs="Times New Roman"/>
      <w:kern w:val="2"/>
      <w:sz w:val="21"/>
      <w:lang w:val="en-US" w:eastAsia="zh-CN" w:bidi="ar-SA"/>
    </w:rPr>
  </w:style>
  <w:style w:type="paragraph" w:customStyle="1" w:styleId="218">
    <w:name w:val="_Style 16"/>
    <w:basedOn w:val="1"/>
    <w:qFormat/>
    <w:uiPriority w:val="0"/>
    <w:pPr>
      <w:widowControl/>
      <w:spacing w:after="160" w:line="240" w:lineRule="exact"/>
      <w:jc w:val="left"/>
    </w:pPr>
    <w:rPr>
      <w:szCs w:val="20"/>
    </w:rPr>
  </w:style>
  <w:style w:type="paragraph" w:customStyle="1" w:styleId="219">
    <w:name w:val="列出段落1"/>
    <w:basedOn w:val="1"/>
    <w:qFormat/>
    <w:uiPriority w:val="0"/>
    <w:pPr>
      <w:widowControl/>
      <w:ind w:firstLine="420" w:firstLineChars="200"/>
      <w:jc w:val="left"/>
    </w:pPr>
    <w:rPr>
      <w:kern w:val="0"/>
      <w:sz w:val="24"/>
      <w:szCs w:val="20"/>
    </w:rPr>
  </w:style>
  <w:style w:type="character" w:customStyle="1" w:styleId="220">
    <w:name w:val="Char Char9"/>
    <w:qFormat/>
    <w:uiPriority w:val="0"/>
    <w:rPr>
      <w:rFonts w:ascii="Calibri" w:hAnsi="Calibri" w:eastAsia="宋体" w:cs="Times New Roman"/>
      <w:kern w:val="2"/>
      <w:sz w:val="18"/>
      <w:lang w:val="en-US" w:eastAsia="zh-CN"/>
    </w:rPr>
  </w:style>
  <w:style w:type="character" w:customStyle="1" w:styleId="221">
    <w:name w:val="Char Char12"/>
    <w:qFormat/>
    <w:uiPriority w:val="0"/>
    <w:rPr>
      <w:rFonts w:ascii="Calibri" w:hAnsi="Calibri" w:eastAsia="宋体" w:cs="Times New Roman"/>
      <w:b/>
      <w:kern w:val="2"/>
      <w:sz w:val="24"/>
      <w:lang w:val="en-US" w:eastAsia="zh-CN"/>
    </w:rPr>
  </w:style>
  <w:style w:type="character" w:customStyle="1" w:styleId="222">
    <w:name w:val="Char Char15"/>
    <w:qFormat/>
    <w:uiPriority w:val="0"/>
    <w:rPr>
      <w:rFonts w:ascii="Arial" w:hAnsi="Arial" w:eastAsia="黑体" w:cs="Times New Roman"/>
      <w:b/>
      <w:kern w:val="2"/>
      <w:sz w:val="28"/>
      <w:lang w:val="en-US" w:eastAsia="zh-CN"/>
    </w:rPr>
  </w:style>
  <w:style w:type="character" w:customStyle="1" w:styleId="223">
    <w:name w:val="Char Char18"/>
    <w:qFormat/>
    <w:uiPriority w:val="0"/>
    <w:rPr>
      <w:rFonts w:ascii="Calibri" w:hAnsi="Calibri" w:eastAsia="宋体" w:cs="Times New Roman"/>
      <w:b/>
      <w:kern w:val="44"/>
      <w:sz w:val="44"/>
      <w:lang w:val="en-US" w:eastAsia="zh-CN"/>
    </w:rPr>
  </w:style>
  <w:style w:type="character" w:customStyle="1" w:styleId="224">
    <w:name w:val="Salutation Char"/>
    <w:qFormat/>
    <w:uiPriority w:val="0"/>
    <w:rPr>
      <w:rFonts w:ascii="Calibri" w:hAnsi="Calibri" w:eastAsia="宋体" w:cs="Times New Roman"/>
      <w:kern w:val="0"/>
      <w:szCs w:val="22"/>
    </w:rPr>
  </w:style>
  <w:style w:type="character" w:customStyle="1" w:styleId="225">
    <w:name w:val="Salutation Char1"/>
    <w:semiHidden/>
    <w:qFormat/>
    <w:uiPriority w:val="99"/>
    <w:rPr>
      <w:rFonts w:ascii="Times New Roman" w:hAnsi="Times New Roman" w:eastAsia="宋体" w:cs="Times New Roman"/>
      <w:kern w:val="2"/>
      <w:sz w:val="21"/>
      <w:szCs w:val="20"/>
    </w:rPr>
  </w:style>
  <w:style w:type="character" w:customStyle="1" w:styleId="226">
    <w:name w:val="Char Char5"/>
    <w:qFormat/>
    <w:uiPriority w:val="0"/>
    <w:rPr>
      <w:rFonts w:ascii="宋体" w:hAnsi="Calibri" w:eastAsia="宋体" w:cs="Times New Roman"/>
      <w:sz w:val="32"/>
      <w:lang w:val="en-US" w:eastAsia="zh-CN"/>
    </w:rPr>
  </w:style>
  <w:style w:type="character" w:customStyle="1" w:styleId="227">
    <w:name w:val="Char Char8"/>
    <w:qFormat/>
    <w:uiPriority w:val="0"/>
    <w:rPr>
      <w:rFonts w:ascii="Calibri" w:hAnsi="Calibri" w:eastAsia="宋体" w:cs="Times New Roman"/>
      <w:kern w:val="2"/>
      <w:sz w:val="18"/>
      <w:lang w:val="en-US" w:eastAsia="zh-CN"/>
    </w:rPr>
  </w:style>
  <w:style w:type="character" w:customStyle="1" w:styleId="228">
    <w:name w:val="Char Char11"/>
    <w:qFormat/>
    <w:uiPriority w:val="0"/>
    <w:rPr>
      <w:rFonts w:ascii="Arial" w:hAnsi="Arial" w:eastAsia="黑体" w:cs="Times New Roman"/>
      <w:kern w:val="2"/>
      <w:sz w:val="24"/>
      <w:lang w:val="en-US" w:eastAsia="zh-CN"/>
    </w:rPr>
  </w:style>
  <w:style w:type="character" w:customStyle="1" w:styleId="229">
    <w:name w:val="Char Char14"/>
    <w:qFormat/>
    <w:uiPriority w:val="0"/>
    <w:rPr>
      <w:rFonts w:ascii="Calibri" w:hAnsi="Calibri" w:eastAsia="宋体" w:cs="Times New Roman"/>
      <w:b/>
      <w:kern w:val="2"/>
      <w:sz w:val="28"/>
      <w:lang w:val="en-US" w:eastAsia="zh-CN"/>
    </w:rPr>
  </w:style>
  <w:style w:type="character" w:customStyle="1" w:styleId="230">
    <w:name w:val="Char Char17"/>
    <w:qFormat/>
    <w:uiPriority w:val="0"/>
    <w:rPr>
      <w:rFonts w:ascii="Arial" w:hAnsi="Arial" w:eastAsia="黑体" w:cs="Times New Roman"/>
      <w:b/>
      <w:sz w:val="32"/>
      <w:lang w:val="en-US" w:eastAsia="zh-CN"/>
    </w:rPr>
  </w:style>
  <w:style w:type="character" w:customStyle="1" w:styleId="231">
    <w:name w:val="Char Char4"/>
    <w:qFormat/>
    <w:uiPriority w:val="0"/>
    <w:rPr>
      <w:rFonts w:ascii="Calibri" w:hAnsi="Calibri" w:eastAsia="宋体" w:cs="Times New Roman"/>
      <w:kern w:val="2"/>
      <w:sz w:val="24"/>
      <w:lang w:val="en-US" w:eastAsia="zh-CN"/>
    </w:rPr>
  </w:style>
  <w:style w:type="character" w:customStyle="1" w:styleId="232">
    <w:name w:val="Char Char6"/>
    <w:qFormat/>
    <w:uiPriority w:val="0"/>
    <w:rPr>
      <w:rFonts w:ascii="Arial" w:hAnsi="Arial" w:eastAsia="隶书" w:cs="Times New Roman"/>
      <w:b/>
      <w:sz w:val="52"/>
      <w:lang w:val="en-US" w:eastAsia="zh-CN"/>
    </w:rPr>
  </w:style>
  <w:style w:type="character" w:customStyle="1" w:styleId="233">
    <w:name w:val="Char Char10"/>
    <w:qFormat/>
    <w:uiPriority w:val="0"/>
    <w:rPr>
      <w:rFonts w:ascii="Arial" w:hAnsi="Arial" w:eastAsia="黑体" w:cs="Times New Roman"/>
      <w:kern w:val="2"/>
      <w:sz w:val="21"/>
      <w:lang w:val="en-US" w:eastAsia="zh-CN"/>
    </w:rPr>
  </w:style>
  <w:style w:type="character" w:customStyle="1" w:styleId="234">
    <w:name w:val="Char Char13"/>
    <w:qFormat/>
    <w:uiPriority w:val="0"/>
    <w:rPr>
      <w:rFonts w:ascii="Arial" w:hAnsi="Arial" w:eastAsia="黑体" w:cs="Times New Roman"/>
      <w:b/>
      <w:kern w:val="2"/>
      <w:sz w:val="24"/>
      <w:lang w:val="en-US" w:eastAsia="zh-CN"/>
    </w:rPr>
  </w:style>
  <w:style w:type="character" w:customStyle="1" w:styleId="235">
    <w:name w:val="Char Char16"/>
    <w:qFormat/>
    <w:uiPriority w:val="0"/>
    <w:rPr>
      <w:rFonts w:ascii="Calibri" w:hAnsi="Calibri" w:eastAsia="宋体" w:cs="Times New Roman"/>
      <w:b/>
      <w:sz w:val="32"/>
      <w:lang w:val="en-US" w:eastAsia="zh-CN"/>
    </w:rPr>
  </w:style>
  <w:style w:type="character" w:customStyle="1" w:styleId="236">
    <w:name w:val="Char Char3"/>
    <w:qFormat/>
    <w:uiPriority w:val="0"/>
    <w:rPr>
      <w:rFonts w:ascii="Calibri" w:hAnsi="Calibri" w:eastAsia="宋体" w:cs="Times New Roman"/>
      <w:sz w:val="24"/>
      <w:lang w:val="en-US" w:eastAsia="zh-CN"/>
    </w:rPr>
  </w:style>
  <w:style w:type="character" w:customStyle="1" w:styleId="237">
    <w:name w:val="Char Char7"/>
    <w:qFormat/>
    <w:uiPriority w:val="0"/>
    <w:rPr>
      <w:rFonts w:ascii="楷体_GB2312" w:hAnsi="Calibri" w:eastAsia="楷体_GB2312" w:cs="Times New Roman"/>
      <w:kern w:val="2"/>
      <w:sz w:val="32"/>
      <w:lang w:val="en-US" w:eastAsia="zh-CN"/>
    </w:rPr>
  </w:style>
  <w:style w:type="paragraph" w:customStyle="1" w:styleId="238">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character" w:customStyle="1" w:styleId="239">
    <w:name w:val="HTML Preformatted Char"/>
    <w:qFormat/>
    <w:uiPriority w:val="0"/>
    <w:rPr>
      <w:rFonts w:ascii="宋体" w:hAnsi="宋体" w:eastAsia="宋体" w:cs="Times New Roman"/>
      <w:color w:val="000000"/>
      <w:kern w:val="0"/>
    </w:rPr>
  </w:style>
  <w:style w:type="paragraph" w:customStyle="1" w:styleId="240">
    <w:name w:val="图片"/>
    <w:basedOn w:val="1"/>
    <w:next w:val="16"/>
    <w:qFormat/>
    <w:uiPriority w:val="0"/>
    <w:pPr>
      <w:keepNext/>
      <w:widowControl/>
      <w:jc w:val="left"/>
    </w:pPr>
    <w:rPr>
      <w:rFonts w:ascii="Garamond" w:hAnsi="Garamond"/>
      <w:kern w:val="0"/>
      <w:szCs w:val="20"/>
    </w:rPr>
  </w:style>
  <w:style w:type="paragraph" w:customStyle="1" w:styleId="241">
    <w:name w:val="批注框文本 Char Char"/>
    <w:basedOn w:val="1"/>
    <w:qFormat/>
    <w:uiPriority w:val="0"/>
    <w:rPr>
      <w:sz w:val="18"/>
      <w:szCs w:val="20"/>
    </w:rPr>
  </w:style>
  <w:style w:type="paragraph" w:customStyle="1" w:styleId="242">
    <w:name w:val="Char Char Char Char Char Char Char Char Char"/>
    <w:basedOn w:val="1"/>
    <w:qFormat/>
    <w:uiPriority w:val="0"/>
    <w:pPr>
      <w:widowControl/>
      <w:spacing w:after="160" w:line="240" w:lineRule="exact"/>
      <w:jc w:val="left"/>
    </w:pPr>
    <w:rPr>
      <w:rFonts w:ascii="Verdana" w:hAnsi="Verdana" w:eastAsia="仿宋_GB2312"/>
      <w:b/>
      <w:i/>
      <w:kern w:val="0"/>
      <w:sz w:val="24"/>
      <w:szCs w:val="24"/>
      <w:lang w:eastAsia="en-US"/>
    </w:rPr>
  </w:style>
  <w:style w:type="paragraph" w:customStyle="1" w:styleId="243">
    <w:name w:val="standdate"/>
    <w:basedOn w:val="29"/>
    <w:link w:val="244"/>
    <w:qFormat/>
    <w:uiPriority w:val="0"/>
    <w:pPr>
      <w:adjustRightInd w:val="0"/>
      <w:snapToGrid/>
      <w:spacing w:line="340" w:lineRule="atLeast"/>
      <w:ind w:left="255" w:right="255"/>
      <w:jc w:val="center"/>
      <w:textAlignment w:val="center"/>
    </w:pPr>
    <w:rPr>
      <w:rFonts w:ascii="Times New Roman" w:hAnsi="Times New Roman" w:eastAsia="华文中宋"/>
      <w:b/>
      <w:spacing w:val="-4"/>
      <w:kern w:val="0"/>
      <w:sz w:val="32"/>
      <w:szCs w:val="20"/>
    </w:rPr>
  </w:style>
  <w:style w:type="character" w:customStyle="1" w:styleId="244">
    <w:name w:val="standdate Char"/>
    <w:link w:val="243"/>
    <w:qFormat/>
    <w:uiPriority w:val="0"/>
    <w:rPr>
      <w:rFonts w:ascii="Calibri" w:hAnsi="Calibri" w:eastAsia="华文中宋" w:cs="Times New Roman"/>
      <w:b/>
      <w:spacing w:val="-4"/>
      <w:kern w:val="0"/>
      <w:sz w:val="32"/>
    </w:rPr>
  </w:style>
  <w:style w:type="paragraph" w:customStyle="1" w:styleId="245">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246">
    <w:name w:val="flName"/>
    <w:basedOn w:val="245"/>
    <w:qFormat/>
    <w:uiPriority w:val="0"/>
    <w:rPr>
      <w:sz w:val="32"/>
    </w:rPr>
  </w:style>
  <w:style w:type="paragraph" w:customStyle="1" w:styleId="247">
    <w:name w:val="flType"/>
    <w:basedOn w:val="246"/>
    <w:qFormat/>
    <w:uiPriority w:val="0"/>
    <w:pPr>
      <w:spacing w:before="560" w:after="120"/>
    </w:pPr>
    <w:rPr>
      <w:sz w:val="28"/>
    </w:rPr>
  </w:style>
  <w:style w:type="character" w:customStyle="1" w:styleId="248">
    <w:name w:val="Subtitle Char"/>
    <w:qFormat/>
    <w:uiPriority w:val="0"/>
    <w:rPr>
      <w:rFonts w:ascii="Arial" w:hAnsi="Arial" w:eastAsia="黑体" w:cs="Times New Roman"/>
      <w:i/>
      <w:kern w:val="0"/>
      <w:sz w:val="24"/>
    </w:rPr>
  </w:style>
  <w:style w:type="paragraph" w:customStyle="1" w:styleId="249">
    <w:name w:val="正文文字3"/>
    <w:basedOn w:val="21"/>
    <w:qFormat/>
    <w:uiPriority w:val="0"/>
    <w:pPr>
      <w:adjustRightInd w:val="0"/>
      <w:spacing w:before="0" w:beforeAutospacing="0" w:after="0" w:line="360" w:lineRule="atLeast"/>
      <w:ind w:left="72" w:leftChars="30" w:right="72" w:rightChars="30"/>
      <w:textAlignment w:val="baseline"/>
    </w:pPr>
    <w:rPr>
      <w:sz w:val="21"/>
      <w:szCs w:val="20"/>
    </w:rPr>
  </w:style>
  <w:style w:type="paragraph" w:customStyle="1" w:styleId="250">
    <w:name w:val="注"/>
    <w:basedOn w:val="1"/>
    <w:qFormat/>
    <w:uiPriority w:val="0"/>
    <w:pPr>
      <w:adjustRightInd w:val="0"/>
      <w:spacing w:line="360" w:lineRule="atLeast"/>
      <w:ind w:left="840" w:hanging="420"/>
      <w:textAlignment w:val="baseline"/>
    </w:pPr>
    <w:rPr>
      <w:kern w:val="0"/>
      <w:szCs w:val="20"/>
    </w:rPr>
  </w:style>
  <w:style w:type="paragraph" w:customStyle="1" w:styleId="251">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252">
    <w:name w:val="正文文字1"/>
    <w:basedOn w:val="21"/>
    <w:qFormat/>
    <w:uiPriority w:val="0"/>
    <w:pPr>
      <w:adjustRightInd w:val="0"/>
      <w:spacing w:before="0" w:beforeAutospacing="0" w:after="0" w:line="360" w:lineRule="atLeast"/>
      <w:ind w:left="72" w:leftChars="30" w:right="72" w:rightChars="30"/>
      <w:textAlignment w:val="baseline"/>
    </w:pPr>
    <w:rPr>
      <w:sz w:val="21"/>
      <w:szCs w:val="20"/>
    </w:rPr>
  </w:style>
  <w:style w:type="paragraph" w:customStyle="1" w:styleId="253">
    <w:name w:val="正文文字2"/>
    <w:basedOn w:val="21"/>
    <w:link w:val="254"/>
    <w:qFormat/>
    <w:uiPriority w:val="0"/>
    <w:pPr>
      <w:adjustRightInd w:val="0"/>
      <w:spacing w:before="0" w:beforeAutospacing="0" w:after="60" w:line="360" w:lineRule="atLeast"/>
      <w:ind w:left="72" w:leftChars="30" w:right="72" w:rightChars="30"/>
      <w:jc w:val="center"/>
      <w:textAlignment w:val="baseline"/>
    </w:pPr>
    <w:rPr>
      <w:rFonts w:ascii="Arial" w:hAnsi="Arial" w:eastAsia="黑体"/>
      <w:b/>
      <w:sz w:val="52"/>
      <w:szCs w:val="20"/>
    </w:rPr>
  </w:style>
  <w:style w:type="character" w:customStyle="1" w:styleId="254">
    <w:name w:val="正文文字2 Char"/>
    <w:link w:val="253"/>
    <w:qFormat/>
    <w:uiPriority w:val="0"/>
    <w:rPr>
      <w:rFonts w:ascii="Arial" w:hAnsi="Arial" w:eastAsia="黑体" w:cs="Times New Roman"/>
      <w:b/>
      <w:kern w:val="0"/>
      <w:sz w:val="52"/>
    </w:rPr>
  </w:style>
  <w:style w:type="paragraph" w:customStyle="1" w:styleId="255">
    <w:name w:val="表格1"/>
    <w:basedOn w:val="1"/>
    <w:link w:val="256"/>
    <w:qFormat/>
    <w:uiPriority w:val="0"/>
    <w:pPr>
      <w:numPr>
        <w:ilvl w:val="0"/>
        <w:numId w:val="2"/>
      </w:numPr>
      <w:tabs>
        <w:tab w:val="clear" w:pos="624"/>
      </w:tabs>
      <w:adjustRightInd w:val="0"/>
      <w:spacing w:after="60" w:line="360" w:lineRule="atLeast"/>
      <w:ind w:left="72" w:leftChars="30" w:right="72" w:rightChars="30" w:firstLine="0"/>
      <w:jc w:val="center"/>
      <w:textAlignment w:val="baseline"/>
    </w:pPr>
    <w:rPr>
      <w:kern w:val="0"/>
      <w:szCs w:val="20"/>
    </w:rPr>
  </w:style>
  <w:style w:type="character" w:customStyle="1" w:styleId="256">
    <w:name w:val="表格1 Char"/>
    <w:link w:val="255"/>
    <w:qFormat/>
    <w:uiPriority w:val="0"/>
    <w:rPr>
      <w:rFonts w:ascii="Calibri" w:hAnsi="Calibri" w:eastAsia="宋体" w:cs="Times New Roman"/>
      <w:kern w:val="0"/>
    </w:rPr>
  </w:style>
  <w:style w:type="paragraph" w:customStyle="1" w:styleId="257">
    <w:name w:val="表格3"/>
    <w:basedOn w:val="1"/>
    <w:link w:val="258"/>
    <w:qFormat/>
    <w:uiPriority w:val="0"/>
    <w:pPr>
      <w:adjustRightInd w:val="0"/>
      <w:spacing w:line="360" w:lineRule="atLeast"/>
      <w:ind w:left="72" w:leftChars="30" w:right="72" w:rightChars="30"/>
      <w:textAlignment w:val="baseline"/>
    </w:pPr>
    <w:rPr>
      <w:kern w:val="0"/>
      <w:szCs w:val="20"/>
    </w:rPr>
  </w:style>
  <w:style w:type="character" w:customStyle="1" w:styleId="258">
    <w:name w:val="表格3 Char"/>
    <w:link w:val="257"/>
    <w:qFormat/>
    <w:uiPriority w:val="0"/>
    <w:rPr>
      <w:rFonts w:ascii="Calibri" w:hAnsi="Calibri" w:eastAsia="宋体" w:cs="Times New Roman"/>
      <w:kern w:val="0"/>
    </w:rPr>
  </w:style>
  <w:style w:type="paragraph" w:customStyle="1" w:styleId="259">
    <w:name w:val="表格2"/>
    <w:basedOn w:val="1"/>
    <w:link w:val="260"/>
    <w:qFormat/>
    <w:uiPriority w:val="0"/>
    <w:pPr>
      <w:adjustRightInd w:val="0"/>
      <w:spacing w:after="60" w:line="360" w:lineRule="atLeast"/>
      <w:ind w:left="72" w:leftChars="30" w:right="72" w:rightChars="30"/>
      <w:jc w:val="center"/>
      <w:textAlignment w:val="baseline"/>
    </w:pPr>
    <w:rPr>
      <w:rFonts w:ascii="Arial" w:eastAsia="黑体"/>
      <w:kern w:val="0"/>
      <w:szCs w:val="20"/>
    </w:rPr>
  </w:style>
  <w:style w:type="character" w:customStyle="1" w:styleId="260">
    <w:name w:val="表格2 Char"/>
    <w:link w:val="259"/>
    <w:qFormat/>
    <w:uiPriority w:val="0"/>
    <w:rPr>
      <w:rFonts w:ascii="Arial" w:hAnsi="Calibri" w:eastAsia="黑体" w:cs="Times New Roman"/>
      <w:kern w:val="0"/>
    </w:rPr>
  </w:style>
  <w:style w:type="paragraph" w:customStyle="1" w:styleId="261">
    <w:name w:val="表格编号"/>
    <w:basedOn w:val="1"/>
    <w:qFormat/>
    <w:uiPriority w:val="0"/>
    <w:pPr>
      <w:numPr>
        <w:ilvl w:val="0"/>
        <w:numId w:val="3"/>
      </w:numPr>
      <w:adjustRightInd w:val="0"/>
      <w:spacing w:before="50" w:beforeLines="50" w:line="360" w:lineRule="atLeast"/>
      <w:jc w:val="center"/>
      <w:textAlignment w:val="baseline"/>
    </w:pPr>
    <w:rPr>
      <w:kern w:val="0"/>
      <w:sz w:val="24"/>
      <w:szCs w:val="20"/>
    </w:rPr>
  </w:style>
  <w:style w:type="paragraph" w:customStyle="1" w:styleId="262">
    <w:name w:val="图样编号"/>
    <w:basedOn w:val="1"/>
    <w:qFormat/>
    <w:uiPriority w:val="0"/>
    <w:pPr>
      <w:numPr>
        <w:ilvl w:val="0"/>
        <w:numId w:val="4"/>
      </w:numPr>
      <w:adjustRightInd w:val="0"/>
      <w:spacing w:after="50" w:afterLines="50" w:line="360" w:lineRule="atLeast"/>
      <w:jc w:val="center"/>
      <w:textAlignment w:val="baseline"/>
    </w:pPr>
    <w:rPr>
      <w:kern w:val="0"/>
      <w:sz w:val="24"/>
      <w:szCs w:val="24"/>
    </w:rPr>
  </w:style>
  <w:style w:type="paragraph" w:customStyle="1" w:styleId="263">
    <w:name w:val="cft"/>
    <w:basedOn w:val="1"/>
    <w:qFormat/>
    <w:uiPriority w:val="0"/>
    <w:pPr>
      <w:spacing w:line="360" w:lineRule="auto"/>
    </w:pPr>
    <w:rPr>
      <w:rFonts w:eastAsia="楷体_GB2312"/>
      <w:sz w:val="24"/>
      <w:szCs w:val="20"/>
    </w:rPr>
  </w:style>
  <w:style w:type="character" w:customStyle="1" w:styleId="264">
    <w:name w:val="Closing Char"/>
    <w:qFormat/>
    <w:uiPriority w:val="0"/>
    <w:rPr>
      <w:rFonts w:ascii="Calibri" w:hAnsi="Calibri" w:eastAsia="宋体" w:cs="Times New Roman"/>
      <w:sz w:val="30"/>
    </w:rPr>
  </w:style>
  <w:style w:type="paragraph" w:customStyle="1" w:styleId="265">
    <w:name w:val="H-TextFormat"/>
    <w:qFormat/>
    <w:uiPriority w:val="0"/>
    <w:rPr>
      <w:rFonts w:ascii="Arial" w:hAnsi="Arial" w:eastAsia="宋体" w:cs="Times New Roman"/>
      <w:sz w:val="22"/>
      <w:lang w:val="en-US" w:eastAsia="zh-CN" w:bidi="ar-SA"/>
    </w:rPr>
  </w:style>
  <w:style w:type="paragraph" w:customStyle="1" w:styleId="266">
    <w:name w:val="Preistext 4"/>
    <w:basedOn w:val="1"/>
    <w:qFormat/>
    <w:uiPriority w:val="0"/>
    <w:pPr>
      <w:widowControl/>
      <w:tabs>
        <w:tab w:val="left" w:pos="5178"/>
      </w:tabs>
      <w:ind w:left="-2" w:leftChars="-1" w:right="-93" w:firstLine="2" w:firstLineChars="1"/>
      <w:jc w:val="left"/>
    </w:pPr>
    <w:rPr>
      <w:szCs w:val="20"/>
      <w:lang w:bidi="he-IL"/>
    </w:rPr>
  </w:style>
  <w:style w:type="paragraph" w:customStyle="1" w:styleId="267">
    <w:name w:val="Preistext2"/>
    <w:basedOn w:val="1"/>
    <w:qFormat/>
    <w:uiPriority w:val="0"/>
    <w:pPr>
      <w:widowControl/>
      <w:tabs>
        <w:tab w:val="left" w:pos="709"/>
        <w:tab w:val="left" w:pos="1701"/>
        <w:tab w:val="left" w:pos="3119"/>
      </w:tabs>
      <w:ind w:left="1843" w:right="1701"/>
      <w:jc w:val="left"/>
    </w:pPr>
    <w:rPr>
      <w:rFonts w:ascii="Arial" w:hAnsi="Arial"/>
      <w:kern w:val="0"/>
      <w:sz w:val="18"/>
      <w:szCs w:val="20"/>
      <w:lang w:val="en-GB" w:eastAsia="de-DE"/>
    </w:rPr>
  </w:style>
  <w:style w:type="paragraph" w:customStyle="1" w:styleId="26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6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0">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int="eastAsia" w:ascii="宋体" w:hAnsi="宋体"/>
      <w:kern w:val="0"/>
      <w:sz w:val="20"/>
      <w:szCs w:val="20"/>
    </w:rPr>
  </w:style>
  <w:style w:type="paragraph" w:customStyle="1" w:styleId="271">
    <w:name w:val="xl2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72">
    <w:name w:val="xl28"/>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3">
    <w:name w:val="xl29"/>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5">
    <w:name w:val="xl3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hint="eastAsia" w:ascii="宋体" w:hAnsi="宋体"/>
      <w:kern w:val="0"/>
      <w:sz w:val="20"/>
      <w:szCs w:val="20"/>
    </w:rPr>
  </w:style>
  <w:style w:type="paragraph" w:customStyle="1" w:styleId="27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7">
    <w:name w:val="xl33"/>
    <w:basedOn w:val="1"/>
    <w:qFormat/>
    <w:uiPriority w:val="0"/>
    <w:pPr>
      <w:widowControl/>
      <w:pBdr>
        <w:left w:val="single" w:color="auto" w:sz="4" w:space="0"/>
        <w:bottom w:val="single" w:color="auto" w:sz="4" w:space="0"/>
      </w:pBdr>
      <w:spacing w:before="100" w:beforeAutospacing="1" w:after="100" w:afterAutospacing="1"/>
      <w:jc w:val="left"/>
      <w:textAlignment w:val="center"/>
    </w:pPr>
    <w:rPr>
      <w:rFonts w:ascii="Arial" w:hAnsi="Arial" w:cs="Arial"/>
      <w:b/>
      <w:bCs/>
      <w:kern w:val="0"/>
      <w:sz w:val="22"/>
      <w:szCs w:val="22"/>
    </w:rPr>
  </w:style>
  <w:style w:type="paragraph" w:customStyle="1" w:styleId="278">
    <w:name w:val="xl34"/>
    <w:basedOn w:val="1"/>
    <w:qFormat/>
    <w:uiPriority w:val="0"/>
    <w:pPr>
      <w:widowControl/>
      <w:pBdr>
        <w:bottom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79">
    <w:name w:val="xl35"/>
    <w:basedOn w:val="1"/>
    <w:qFormat/>
    <w:uiPriority w:val="0"/>
    <w:pPr>
      <w:widowControl/>
      <w:pBdr>
        <w:top w:val="double" w:color="auto" w:sz="6" w:space="0"/>
        <w:left w:val="double" w:color="auto" w:sz="6" w:space="0"/>
        <w:bottom w:val="double" w:color="auto" w:sz="6" w:space="0"/>
        <w:right w:val="single" w:color="auto" w:sz="4" w:space="0"/>
      </w:pBdr>
      <w:spacing w:before="100" w:beforeAutospacing="1" w:after="100" w:afterAutospacing="1"/>
      <w:jc w:val="left"/>
      <w:textAlignment w:val="center"/>
    </w:pPr>
    <w:rPr>
      <w:rFonts w:hint="eastAsia" w:ascii="楷体_GB2312" w:hAnsi="宋体" w:eastAsia="楷体_GB2312"/>
      <w:b/>
      <w:bCs/>
      <w:kern w:val="0"/>
      <w:sz w:val="22"/>
      <w:szCs w:val="22"/>
    </w:rPr>
  </w:style>
  <w:style w:type="paragraph" w:customStyle="1" w:styleId="280">
    <w:name w:val="xl3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281">
    <w:name w:val="xl37"/>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textAlignment w:val="center"/>
    </w:pPr>
    <w:rPr>
      <w:rFonts w:ascii="宋体" w:hAnsi="宋体"/>
      <w:b/>
      <w:bCs/>
      <w:color w:val="FF0000"/>
      <w:kern w:val="0"/>
      <w:sz w:val="24"/>
      <w:szCs w:val="24"/>
    </w:rPr>
  </w:style>
  <w:style w:type="paragraph" w:customStyle="1" w:styleId="282">
    <w:name w:val="xl3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b/>
      <w:bCs/>
      <w:kern w:val="0"/>
      <w:sz w:val="22"/>
      <w:szCs w:val="22"/>
    </w:rPr>
  </w:style>
  <w:style w:type="paragraph" w:customStyle="1" w:styleId="283">
    <w:name w:val="xl39"/>
    <w:basedOn w:val="1"/>
    <w:qFormat/>
    <w:uiPriority w:val="0"/>
    <w:pPr>
      <w:widowControl/>
      <w:pBdr>
        <w:top w:val="double" w:color="auto" w:sz="6" w:space="0"/>
        <w:left w:val="single" w:color="auto" w:sz="4" w:space="0"/>
        <w:bottom w:val="double" w:color="auto" w:sz="6" w:space="0"/>
        <w:right w:val="single" w:color="auto" w:sz="4" w:space="0"/>
      </w:pBdr>
      <w:spacing w:before="100" w:beforeAutospacing="1" w:after="100" w:afterAutospacing="1"/>
      <w:jc w:val="center"/>
      <w:textAlignment w:val="center"/>
    </w:pPr>
    <w:rPr>
      <w:rFonts w:ascii="宋体" w:hAnsi="宋体"/>
      <w:b/>
      <w:bCs/>
      <w:color w:val="FF0000"/>
      <w:kern w:val="0"/>
      <w:sz w:val="24"/>
      <w:szCs w:val="24"/>
    </w:rPr>
  </w:style>
  <w:style w:type="character" w:customStyle="1" w:styleId="284">
    <w:name w:val="标题 9 字符"/>
    <w:basedOn w:val="48"/>
    <w:link w:val="14"/>
    <w:qFormat/>
    <w:uiPriority w:val="0"/>
    <w:rPr>
      <w:rFonts w:ascii="Arial" w:hAnsi="Arial" w:eastAsia="黑体" w:cs="Arial"/>
      <w:kern w:val="2"/>
      <w:sz w:val="21"/>
    </w:rPr>
  </w:style>
  <w:style w:type="character" w:customStyle="1" w:styleId="285">
    <w:name w:val="日期 字符"/>
    <w:basedOn w:val="48"/>
    <w:link w:val="26"/>
    <w:qFormat/>
    <w:uiPriority w:val="0"/>
    <w:rPr>
      <w:rFonts w:hint="eastAsia" w:ascii="宋体" w:hAnsi="宋体" w:eastAsia="宋体" w:cs="宋体"/>
      <w:sz w:val="28"/>
    </w:rPr>
  </w:style>
  <w:style w:type="character" w:customStyle="1" w:styleId="286">
    <w:name w:val="正文文本 3 字符"/>
    <w:basedOn w:val="48"/>
    <w:link w:val="19"/>
    <w:qFormat/>
    <w:uiPriority w:val="0"/>
    <w:rPr>
      <w:rFonts w:hint="default" w:ascii="Times New Roman" w:hAnsi="Times New Roman" w:cs="Times New Roman"/>
      <w:kern w:val="2"/>
      <w:sz w:val="16"/>
      <w:szCs w:val="16"/>
    </w:rPr>
  </w:style>
  <w:style w:type="character" w:customStyle="1" w:styleId="287">
    <w:name w:val="标题 8 字符"/>
    <w:basedOn w:val="48"/>
    <w:link w:val="13"/>
    <w:qFormat/>
    <w:uiPriority w:val="0"/>
    <w:rPr>
      <w:rFonts w:hint="default" w:ascii="Arial" w:hAnsi="Arial" w:eastAsia="黑体" w:cs="Arial"/>
      <w:kern w:val="2"/>
      <w:sz w:val="24"/>
    </w:rPr>
  </w:style>
  <w:style w:type="character" w:customStyle="1" w:styleId="288">
    <w:name w:val="正文文本首行缩进 字符"/>
    <w:link w:val="44"/>
    <w:qFormat/>
    <w:uiPriority w:val="0"/>
    <w:rPr>
      <w:rFonts w:hint="default" w:ascii="Times New Roman" w:hAnsi="Times New Roman" w:cs="Times New Roman"/>
      <w:kern w:val="2"/>
      <w:sz w:val="24"/>
      <w:szCs w:val="24"/>
    </w:rPr>
  </w:style>
  <w:style w:type="character" w:customStyle="1" w:styleId="289">
    <w:name w:val="标题 6 字符"/>
    <w:basedOn w:val="48"/>
    <w:link w:val="11"/>
    <w:qFormat/>
    <w:uiPriority w:val="0"/>
    <w:rPr>
      <w:rFonts w:hint="default" w:ascii="Arial" w:hAnsi="Arial" w:eastAsia="黑体" w:cs="Arial"/>
      <w:b/>
      <w:kern w:val="2"/>
      <w:sz w:val="24"/>
    </w:rPr>
  </w:style>
  <w:style w:type="character" w:customStyle="1" w:styleId="290">
    <w:name w:val="标题 7 字符"/>
    <w:basedOn w:val="48"/>
    <w:link w:val="12"/>
    <w:qFormat/>
    <w:uiPriority w:val="0"/>
    <w:rPr>
      <w:rFonts w:hint="default" w:ascii="Times New Roman" w:hAnsi="Times New Roman" w:cs="Times New Roman"/>
      <w:b/>
      <w:kern w:val="2"/>
      <w:sz w:val="24"/>
    </w:rPr>
  </w:style>
  <w:style w:type="character" w:customStyle="1" w:styleId="291">
    <w:name w:val="正文缩进 字符"/>
    <w:basedOn w:val="48"/>
    <w:link w:val="9"/>
    <w:qFormat/>
    <w:uiPriority w:val="0"/>
    <w:rPr>
      <w:rFonts w:hint="default" w:ascii="Times New Roman" w:hAnsi="Times New Roman" w:cs="Times New Roman"/>
      <w:kern w:val="2"/>
      <w:sz w:val="21"/>
    </w:rPr>
  </w:style>
  <w:style w:type="character" w:customStyle="1" w:styleId="292">
    <w:name w:val="称呼 字符"/>
    <w:basedOn w:val="48"/>
    <w:link w:val="18"/>
    <w:qFormat/>
    <w:uiPriority w:val="0"/>
    <w:rPr>
      <w:sz w:val="21"/>
      <w:szCs w:val="22"/>
    </w:rPr>
  </w:style>
  <w:style w:type="character" w:customStyle="1" w:styleId="293">
    <w:name w:val="结束语 字符"/>
    <w:basedOn w:val="48"/>
    <w:link w:val="20"/>
    <w:qFormat/>
    <w:uiPriority w:val="0"/>
    <w:rPr>
      <w:rFonts w:hint="default" w:ascii="Times New Roman" w:hAnsi="Times New Roman" w:cs="Times New Roman"/>
      <w:kern w:val="2"/>
      <w:sz w:val="30"/>
    </w:rPr>
  </w:style>
  <w:style w:type="character" w:customStyle="1" w:styleId="294">
    <w:name w:val="纯文本 字符"/>
    <w:basedOn w:val="48"/>
    <w:link w:val="3"/>
    <w:qFormat/>
    <w:uiPriority w:val="0"/>
    <w:rPr>
      <w:rFonts w:hint="eastAsia" w:ascii="宋体" w:hAnsi="Courier New" w:eastAsia="宋体" w:cs="宋体"/>
      <w:kern w:val="2"/>
      <w:sz w:val="21"/>
    </w:rPr>
  </w:style>
  <w:style w:type="character" w:customStyle="1" w:styleId="295">
    <w:name w:val="副标题 字符"/>
    <w:basedOn w:val="48"/>
    <w:link w:val="34"/>
    <w:qFormat/>
    <w:uiPriority w:val="0"/>
    <w:rPr>
      <w:rFonts w:hint="default" w:ascii="Arial" w:hAnsi="Arial" w:eastAsia="黑体" w:cs="Arial"/>
      <w:i/>
      <w:sz w:val="24"/>
    </w:rPr>
  </w:style>
  <w:style w:type="character" w:customStyle="1" w:styleId="296">
    <w:name w:val="脚注文本 字符"/>
    <w:basedOn w:val="48"/>
    <w:link w:val="35"/>
    <w:qFormat/>
    <w:uiPriority w:val="0"/>
    <w:rPr>
      <w:rFonts w:hint="default" w:ascii="Times New Roman" w:hAnsi="Times New Roman" w:cs="Times New Roman"/>
      <w:kern w:val="2"/>
      <w:sz w:val="18"/>
    </w:rPr>
  </w:style>
  <w:style w:type="character" w:customStyle="1" w:styleId="297">
    <w:name w:val="正文文本缩进 3 字符"/>
    <w:basedOn w:val="48"/>
    <w:link w:val="37"/>
    <w:qFormat/>
    <w:uiPriority w:val="0"/>
    <w:rPr>
      <w:rFonts w:hint="default" w:ascii="Times New Roman" w:hAnsi="Times New Roman" w:eastAsia="楷体" w:cs="Times New Roman"/>
      <w:sz w:val="24"/>
    </w:rPr>
  </w:style>
  <w:style w:type="character" w:customStyle="1" w:styleId="298">
    <w:name w:val="正文文本 2 字符"/>
    <w:basedOn w:val="48"/>
    <w:link w:val="10"/>
    <w:qFormat/>
    <w:uiPriority w:val="0"/>
    <w:rPr>
      <w:rFonts w:hint="eastAsia" w:ascii="楷体_GB2312" w:hAnsi="Garamond" w:eastAsia="楷体_GB2312" w:cs="楷体_GB2312"/>
      <w:color w:val="FF0000"/>
      <w:sz w:val="24"/>
      <w:szCs w:val="24"/>
    </w:rPr>
  </w:style>
  <w:style w:type="character" w:customStyle="1" w:styleId="299">
    <w:name w:val="HTML 预设格式 字符"/>
    <w:basedOn w:val="48"/>
    <w:link w:val="40"/>
    <w:qFormat/>
    <w:uiPriority w:val="0"/>
    <w:rPr>
      <w:rFonts w:hint="eastAsia" w:ascii="宋体" w:hAnsi="宋体" w:eastAsia="宋体" w:cs="宋体"/>
      <w:color w:val="000000"/>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1C9996-9C39-4961-BD45-3BD335F75FFD}">
  <ds:schemaRefs/>
</ds:datastoreItem>
</file>

<file path=docProps/app.xml><?xml version="1.0" encoding="utf-8"?>
<Properties xmlns="http://schemas.openxmlformats.org/officeDocument/2006/extended-properties" xmlns:vt="http://schemas.openxmlformats.org/officeDocument/2006/docPropsVTypes">
  <Template>Normal.dotm</Template>
  <Company>Philips</Company>
  <Pages>62</Pages>
  <Words>25371</Words>
  <Characters>29305</Characters>
  <Lines>249</Lines>
  <Paragraphs>70</Paragraphs>
  <TotalTime>0</TotalTime>
  <ScaleCrop>false</ScaleCrop>
  <LinksUpToDate>false</LinksUpToDate>
  <CharactersWithSpaces>31262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2023-05-09T09:45:00Z</dcterms:created>
  <dc:creator>Philips</dc:creator>
  <cp:lastModifiedBy>河南中普德项目管理有限公司:杨龙丹</cp:lastModifiedBy>
  <cp:lastPrinted>2023-04-20T08:37:00Z</cp:lastPrinted>
  <dcterms:modified xsi:type="dcterms:W3CDTF">2023-05-09T11:22:17Z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600EE1E504074AAE9ADD1972A5E1C38D_13</vt:lpwstr>
  </property>
  <property fmtid="{D5CDD505-2E9C-101B-9397-08002B2CF9AE}" pid="4" name="ContentTypeId">
    <vt:lpwstr>0x010100FF0E72A084F79A4CB9C8166A29F1BCC4</vt:lpwstr>
  </property>
</Properties>
</file>