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center"/>
        <w:rPr>
          <w:rFonts w:ascii="宋体" w:hAnsi="宋体" w:cs="宋体"/>
          <w:b/>
          <w:bCs/>
          <w:sz w:val="52"/>
          <w:szCs w:val="52"/>
        </w:rPr>
      </w:pPr>
    </w:p>
    <w:p>
      <w:pPr>
        <w:spacing w:line="360" w:lineRule="auto"/>
        <w:jc w:val="center"/>
        <w:rPr>
          <w:rFonts w:ascii="宋体" w:hAnsi="宋体" w:cs="宋体"/>
          <w:b/>
          <w:bCs/>
          <w:spacing w:val="20"/>
          <w:sz w:val="44"/>
          <w:szCs w:val="44"/>
        </w:rPr>
      </w:pPr>
      <w:r>
        <w:rPr>
          <w:rFonts w:hint="eastAsia" w:ascii="宋体" w:hAnsi="宋体" w:cs="宋体"/>
          <w:b/>
          <w:bCs/>
          <w:spacing w:val="20"/>
          <w:sz w:val="44"/>
          <w:szCs w:val="44"/>
        </w:rPr>
        <w:t>汝州市陵头镇樊窑村东矿山生态修复</w:t>
      </w:r>
    </w:p>
    <w:p>
      <w:pPr>
        <w:spacing w:line="360" w:lineRule="auto"/>
        <w:jc w:val="center"/>
        <w:rPr>
          <w:rFonts w:ascii="仿宋_GB2312" w:eastAsia="仿宋_GB2312"/>
          <w:b/>
          <w:bCs/>
          <w:spacing w:val="20"/>
          <w:sz w:val="48"/>
          <w:szCs w:val="48"/>
        </w:rPr>
      </w:pPr>
      <w:r>
        <w:rPr>
          <w:rFonts w:hint="eastAsia" w:ascii="宋体" w:hAnsi="宋体" w:cs="宋体"/>
          <w:b/>
          <w:bCs/>
          <w:spacing w:val="20"/>
          <w:sz w:val="44"/>
          <w:szCs w:val="44"/>
        </w:rPr>
        <w:t>工程监理项目</w:t>
      </w:r>
    </w:p>
    <w:p>
      <w:pPr>
        <w:spacing w:line="540" w:lineRule="exact"/>
        <w:rPr>
          <w:rFonts w:ascii="宋体" w:hAnsi="宋体"/>
          <w:szCs w:val="21"/>
        </w:rPr>
      </w:pPr>
      <w:r>
        <w:rPr>
          <w:rFonts w:hint="eastAsia" w:ascii="宋体" w:hAnsi="宋体"/>
          <w:b/>
          <w:bCs/>
          <w:sz w:val="52"/>
          <w:szCs w:val="52"/>
        </w:rPr>
        <w:t xml:space="preserve"> </w:t>
      </w:r>
    </w:p>
    <w:p>
      <w:pPr>
        <w:jc w:val="center"/>
        <w:rPr>
          <w:rFonts w:ascii="黑体" w:hAnsi="宋体" w:eastAsia="黑体"/>
          <w:sz w:val="72"/>
          <w:szCs w:val="72"/>
        </w:rPr>
      </w:pPr>
      <w:r>
        <w:rPr>
          <w:rFonts w:hint="eastAsia" w:asciiTheme="minorEastAsia" w:hAnsiTheme="minorEastAsia" w:eastAsiaTheme="minorEastAsia" w:cstheme="minorEastAsia"/>
          <w:b/>
          <w:bCs/>
          <w:sz w:val="52"/>
          <w:szCs w:val="52"/>
        </w:rPr>
        <w:t>招标文件</w:t>
      </w:r>
    </w:p>
    <w:p>
      <w:pPr>
        <w:pStyle w:val="16"/>
        <w:ind w:firstLine="361"/>
        <w:rPr>
          <w:rFonts w:ascii="宋体" w:hAnsi="宋体" w:cs="宋体"/>
          <w:b/>
          <w:bCs/>
          <w:color w:val="000000"/>
          <w:sz w:val="36"/>
          <w:szCs w:val="36"/>
        </w:rPr>
      </w:pPr>
      <w:r>
        <w:rPr>
          <w:rFonts w:hint="eastAsia" w:ascii="宋体" w:hAnsi="宋体" w:cs="宋体"/>
          <w:b/>
          <w:bCs/>
          <w:color w:val="000000"/>
          <w:sz w:val="36"/>
          <w:szCs w:val="36"/>
        </w:rPr>
        <w:t xml:space="preserve">            </w:t>
      </w:r>
    </w:p>
    <w:p>
      <w:pPr>
        <w:pStyle w:val="16"/>
        <w:ind w:firstLine="361"/>
        <w:jc w:val="center"/>
        <w:rPr>
          <w:rFonts w:hint="default" w:ascii="宋体" w:hAnsi="宋体" w:eastAsia="宋体" w:cs="宋体"/>
          <w:b/>
          <w:bCs/>
          <w:color w:val="000000"/>
          <w:sz w:val="40"/>
          <w:szCs w:val="40"/>
          <w:lang w:val="en-US" w:eastAsia="zh-CN"/>
        </w:rPr>
      </w:pPr>
      <w:r>
        <w:rPr>
          <w:rFonts w:hint="eastAsia" w:ascii="宋体" w:hAnsi="宋体" w:cs="宋体"/>
          <w:b/>
          <w:bCs/>
          <w:color w:val="000000"/>
          <w:sz w:val="36"/>
          <w:szCs w:val="36"/>
        </w:rPr>
        <w:t>采购编号</w:t>
      </w:r>
      <w:r>
        <w:rPr>
          <w:rFonts w:hint="eastAsia" w:ascii="宋体" w:hAnsi="宋体" w:cs="宋体"/>
          <w:b/>
          <w:bCs/>
          <w:color w:val="000000"/>
          <w:sz w:val="40"/>
          <w:szCs w:val="40"/>
        </w:rPr>
        <w:t>：汝财招标采购-2024-</w:t>
      </w:r>
      <w:r>
        <w:rPr>
          <w:rFonts w:hint="eastAsia" w:ascii="宋体" w:hAnsi="宋体" w:cs="宋体"/>
          <w:b/>
          <w:bCs/>
          <w:color w:val="000000"/>
          <w:sz w:val="40"/>
          <w:szCs w:val="40"/>
          <w:lang w:val="en-US" w:eastAsia="zh-CN"/>
        </w:rPr>
        <w:t>10</w:t>
      </w:r>
    </w:p>
    <w:p>
      <w:pPr>
        <w:pStyle w:val="4"/>
      </w:pPr>
    </w:p>
    <w:p>
      <w:pPr>
        <w:pStyle w:val="4"/>
        <w:ind w:firstLine="960"/>
        <w:jc w:val="center"/>
      </w:pPr>
      <w:r>
        <w:rPr>
          <w:rFonts w:ascii="宋体" w:hAnsi="宋体"/>
          <w:sz w:val="48"/>
          <w:szCs w:val="48"/>
        </w:rPr>
        <w:drawing>
          <wp:anchor distT="0" distB="0" distL="114300" distR="114300" simplePos="0" relativeHeight="251659264" behindDoc="0" locked="0" layoutInCell="1" allowOverlap="1">
            <wp:simplePos x="0" y="0"/>
            <wp:positionH relativeFrom="column">
              <wp:posOffset>1252220</wp:posOffset>
            </wp:positionH>
            <wp:positionV relativeFrom="paragraph">
              <wp:posOffset>3175</wp:posOffset>
            </wp:positionV>
            <wp:extent cx="3037840" cy="2254250"/>
            <wp:effectExtent l="0" t="0" r="10160" b="12700"/>
            <wp:wrapSquare wrapText="bothSides"/>
            <wp:docPr id="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6"/>
                    <pic:cNvPicPr>
                      <a:picLocks noChangeAspect="1"/>
                    </pic:cNvPicPr>
                  </pic:nvPicPr>
                  <pic:blipFill>
                    <a:blip r:embed="rId6"/>
                    <a:stretch>
                      <a:fillRect/>
                    </a:stretch>
                  </pic:blipFill>
                  <pic:spPr>
                    <a:xfrm>
                      <a:off x="0" y="0"/>
                      <a:ext cx="3037840" cy="2254250"/>
                    </a:xfrm>
                    <a:prstGeom prst="rect">
                      <a:avLst/>
                    </a:prstGeom>
                    <a:noFill/>
                    <a:ln w="9525">
                      <a:noFill/>
                      <a:miter/>
                    </a:ln>
                  </pic:spPr>
                </pic:pic>
              </a:graphicData>
            </a:graphic>
          </wp:anchor>
        </w:drawing>
      </w:r>
    </w:p>
    <w:p>
      <w:pPr>
        <w:pStyle w:val="4"/>
      </w:pPr>
    </w:p>
    <w:p>
      <w:pPr>
        <w:pStyle w:val="4"/>
      </w:pPr>
    </w:p>
    <w:p>
      <w:pPr>
        <w:spacing w:line="540" w:lineRule="exact"/>
        <w:ind w:firstLine="437"/>
        <w:rPr>
          <w:rFonts w:ascii="宋体" w:hAnsi="宋体"/>
          <w:szCs w:val="21"/>
        </w:rPr>
      </w:pPr>
    </w:p>
    <w:p>
      <w:pPr>
        <w:spacing w:line="540" w:lineRule="exact"/>
        <w:ind w:firstLine="437"/>
        <w:rPr>
          <w:rFonts w:ascii="宋体" w:hAnsi="宋体"/>
          <w:szCs w:val="21"/>
        </w:rPr>
      </w:pPr>
    </w:p>
    <w:p>
      <w:pPr>
        <w:spacing w:line="540" w:lineRule="exact"/>
        <w:rPr>
          <w:rFonts w:ascii="宋体" w:hAnsi="宋体"/>
          <w:szCs w:val="21"/>
        </w:rPr>
      </w:pPr>
    </w:p>
    <w:p>
      <w:pPr>
        <w:spacing w:line="360" w:lineRule="auto"/>
        <w:ind w:firstLine="2400" w:firstLineChars="750"/>
        <w:rPr>
          <w:rFonts w:ascii="黑体" w:hAnsi="宋体" w:eastAsia="黑体"/>
          <w:sz w:val="32"/>
          <w:szCs w:val="32"/>
        </w:rPr>
      </w:pPr>
    </w:p>
    <w:p>
      <w:pPr>
        <w:spacing w:line="360" w:lineRule="auto"/>
        <w:ind w:firstLine="2400" w:firstLineChars="750"/>
        <w:rPr>
          <w:rFonts w:ascii="黑体" w:hAnsi="宋体" w:eastAsia="黑体"/>
          <w:sz w:val="32"/>
          <w:szCs w:val="32"/>
        </w:rPr>
      </w:pPr>
    </w:p>
    <w:p>
      <w:pPr>
        <w:spacing w:line="360" w:lineRule="auto"/>
        <w:ind w:firstLine="2400" w:firstLineChars="750"/>
        <w:rPr>
          <w:rFonts w:ascii="黑体" w:hAnsi="宋体" w:eastAsia="黑体"/>
          <w:sz w:val="32"/>
          <w:szCs w:val="32"/>
        </w:rPr>
      </w:pPr>
    </w:p>
    <w:p>
      <w:pPr>
        <w:spacing w:line="360" w:lineRule="auto"/>
        <w:rPr>
          <w:rFonts w:ascii="宋体" w:hAnsi="宋体" w:cs="宋体"/>
          <w:b/>
          <w:bCs/>
          <w:color w:val="000000"/>
          <w:sz w:val="32"/>
          <w:szCs w:val="32"/>
        </w:rPr>
      </w:pPr>
      <w:r>
        <w:rPr>
          <w:rFonts w:hint="eastAsia" w:ascii="宋体" w:hAnsi="宋体" w:cs="宋体"/>
          <w:b/>
          <w:bCs/>
          <w:color w:val="000000"/>
          <w:sz w:val="32"/>
          <w:szCs w:val="32"/>
        </w:rPr>
        <w:t xml:space="preserve">         </w:t>
      </w:r>
    </w:p>
    <w:p>
      <w:pPr>
        <w:spacing w:line="360" w:lineRule="auto"/>
        <w:rPr>
          <w:rFonts w:ascii="宋体" w:hAnsi="宋体" w:cs="宋体"/>
          <w:b/>
          <w:bCs/>
          <w:sz w:val="32"/>
          <w:szCs w:val="32"/>
        </w:rPr>
      </w:pPr>
      <w:r>
        <w:rPr>
          <w:rFonts w:hint="eastAsia" w:ascii="宋体" w:hAnsi="宋体" w:cs="宋体"/>
          <w:b/>
          <w:bCs/>
          <w:color w:val="000000"/>
          <w:sz w:val="32"/>
          <w:szCs w:val="32"/>
        </w:rPr>
        <w:t xml:space="preserve">           招 标 人：汝州市地质矿产保护发展中心</w:t>
      </w:r>
      <w:r>
        <w:rPr>
          <w:rFonts w:hint="eastAsia" w:ascii="宋体" w:hAnsi="宋体" w:cs="宋体"/>
          <w:b/>
          <w:bCs/>
          <w:sz w:val="32"/>
          <w:szCs w:val="32"/>
        </w:rPr>
        <w:fldChar w:fldCharType="begin"/>
      </w:r>
      <w:r>
        <w:rPr>
          <w:rFonts w:hint="eastAsia" w:ascii="宋体" w:hAnsi="宋体" w:cs="宋体"/>
          <w:b/>
          <w:bCs/>
          <w:sz w:val="32"/>
          <w:szCs w:val="32"/>
        </w:rPr>
        <w:instrText xml:space="preserve"> AUTOTEXT  input3 \* MERGEFORMAT </w:instrText>
      </w:r>
      <w:r>
        <w:rPr>
          <w:rFonts w:hint="eastAsia" w:ascii="宋体" w:hAnsi="宋体" w:cs="宋体"/>
          <w:b/>
          <w:bCs/>
          <w:sz w:val="32"/>
          <w:szCs w:val="32"/>
        </w:rPr>
        <w:fldChar w:fldCharType="end"/>
      </w:r>
    </w:p>
    <w:p>
      <w:pPr>
        <w:spacing w:line="360" w:lineRule="auto"/>
        <w:ind w:firstLine="964" w:firstLineChars="300"/>
        <w:rPr>
          <w:rFonts w:ascii="宋体" w:hAnsi="宋体" w:cs="宋体"/>
          <w:b/>
          <w:bCs/>
          <w:sz w:val="32"/>
          <w:szCs w:val="32"/>
        </w:rPr>
      </w:pPr>
      <w:r>
        <w:rPr>
          <w:rFonts w:hint="eastAsia" w:ascii="宋体" w:hAnsi="宋体" w:cs="宋体"/>
          <w:b/>
          <w:bCs/>
          <w:sz w:val="32"/>
          <w:szCs w:val="32"/>
        </w:rPr>
        <w:t xml:space="preserve">     代理机构：</w:t>
      </w:r>
      <w:r>
        <w:rPr>
          <w:rFonts w:hint="eastAsia" w:ascii="宋体" w:hAnsi="宋体" w:cs="宋体"/>
          <w:b/>
          <w:bCs/>
          <w:color w:val="000000"/>
          <w:sz w:val="32"/>
          <w:szCs w:val="32"/>
        </w:rPr>
        <w:t>国泰信华工程咨询有限公司</w:t>
      </w:r>
    </w:p>
    <w:p>
      <w:pPr>
        <w:spacing w:line="540" w:lineRule="exact"/>
        <w:ind w:firstLine="964" w:firstLineChars="300"/>
        <w:rPr>
          <w:rFonts w:ascii="宋体" w:hAnsi="宋体" w:cs="宋体"/>
          <w:sz w:val="32"/>
          <w:szCs w:val="32"/>
        </w:rPr>
      </w:pPr>
      <w:r>
        <w:rPr>
          <w:rFonts w:hint="eastAsia" w:ascii="宋体" w:hAnsi="宋体" w:cs="宋体"/>
          <w:b/>
          <w:bCs/>
          <w:color w:val="000000"/>
          <w:sz w:val="32"/>
          <w:szCs w:val="32"/>
        </w:rPr>
        <w:t xml:space="preserve">     日    期：二零二四</w:t>
      </w:r>
      <w:r>
        <w:rPr>
          <w:rFonts w:hint="eastAsia" w:ascii="宋体" w:hAnsi="宋体" w:cs="宋体"/>
          <w:b/>
          <w:bCs/>
          <w:sz w:val="32"/>
          <w:szCs w:val="32"/>
        </w:rPr>
        <w:fldChar w:fldCharType="begin"/>
      </w:r>
      <w:r>
        <w:rPr>
          <w:rFonts w:hint="eastAsia" w:ascii="宋体" w:hAnsi="宋体" w:cs="宋体"/>
          <w:b/>
          <w:bCs/>
          <w:sz w:val="32"/>
          <w:szCs w:val="32"/>
        </w:rPr>
        <w:instrText xml:space="preserve"> AUTOTEXT  input4 \* MERGEFORMAT </w:instrText>
      </w:r>
      <w:r>
        <w:rPr>
          <w:rFonts w:hint="eastAsia" w:ascii="宋体" w:hAnsi="宋体" w:cs="宋体"/>
          <w:b/>
          <w:bCs/>
          <w:sz w:val="32"/>
          <w:szCs w:val="32"/>
        </w:rPr>
        <w:fldChar w:fldCharType="end"/>
      </w:r>
      <w:r>
        <w:rPr>
          <w:rFonts w:hint="eastAsia" w:ascii="宋体" w:hAnsi="宋体" w:cs="宋体"/>
          <w:b/>
          <w:bCs/>
          <w:sz w:val="32"/>
          <w:szCs w:val="32"/>
        </w:rPr>
        <w:t>年三</w:t>
      </w:r>
      <w:r>
        <w:rPr>
          <w:rFonts w:hint="eastAsia" w:ascii="宋体" w:hAnsi="宋体" w:cs="宋体"/>
          <w:b/>
          <w:bCs/>
          <w:sz w:val="32"/>
          <w:szCs w:val="32"/>
        </w:rPr>
        <w:fldChar w:fldCharType="begin"/>
      </w:r>
      <w:r>
        <w:rPr>
          <w:rFonts w:hint="eastAsia" w:ascii="宋体" w:hAnsi="宋体" w:cs="宋体"/>
          <w:b/>
          <w:bCs/>
          <w:sz w:val="32"/>
          <w:szCs w:val="32"/>
        </w:rPr>
        <w:instrText xml:space="preserve"> AUTOTEXT  input5 \* MERGEFORMAT </w:instrText>
      </w:r>
      <w:r>
        <w:rPr>
          <w:rFonts w:hint="eastAsia" w:ascii="宋体" w:hAnsi="宋体" w:cs="宋体"/>
          <w:b/>
          <w:bCs/>
          <w:sz w:val="32"/>
          <w:szCs w:val="32"/>
        </w:rPr>
        <w:fldChar w:fldCharType="end"/>
      </w:r>
      <w:r>
        <w:rPr>
          <w:rFonts w:hint="eastAsia" w:ascii="宋体" w:hAnsi="宋体" w:cs="宋体"/>
          <w:b/>
          <w:bCs/>
          <w:sz w:val="32"/>
          <w:szCs w:val="32"/>
        </w:rPr>
        <w:t>月</w:t>
      </w:r>
    </w:p>
    <w:p>
      <w:pPr>
        <w:spacing w:after="360" w:afterLines="150" w:line="540" w:lineRule="exact"/>
        <w:rPr>
          <w:rFonts w:ascii="宋体" w:hAnsi="宋体"/>
          <w:b/>
          <w:sz w:val="52"/>
          <w:szCs w:val="52"/>
        </w:rPr>
      </w:pPr>
    </w:p>
    <w:p>
      <w:pPr>
        <w:spacing w:after="360" w:afterLines="150" w:line="540" w:lineRule="exact"/>
        <w:jc w:val="center"/>
        <w:rPr>
          <w:rFonts w:ascii="宋体" w:hAnsi="宋体"/>
          <w:b/>
          <w:sz w:val="52"/>
          <w:szCs w:val="52"/>
        </w:rPr>
      </w:pPr>
    </w:p>
    <w:p>
      <w:pPr>
        <w:spacing w:after="360" w:afterLines="150" w:line="540" w:lineRule="exact"/>
        <w:jc w:val="center"/>
        <w:rPr>
          <w:rFonts w:ascii="宋体" w:hAnsi="宋体"/>
          <w:b/>
          <w:sz w:val="52"/>
          <w:szCs w:val="52"/>
        </w:rPr>
      </w:pPr>
    </w:p>
    <w:p>
      <w:pPr>
        <w:spacing w:after="360" w:afterLines="150" w:line="540" w:lineRule="exact"/>
        <w:jc w:val="center"/>
        <w:rPr>
          <w:rFonts w:ascii="黑体" w:eastAsia="黑体"/>
          <w:sz w:val="52"/>
          <w:szCs w:val="52"/>
        </w:rPr>
      </w:pPr>
    </w:p>
    <w:p>
      <w:pPr>
        <w:spacing w:after="360" w:afterLines="150" w:line="540" w:lineRule="exact"/>
        <w:jc w:val="center"/>
        <w:rPr>
          <w:rFonts w:ascii="黑体" w:eastAsia="黑体"/>
          <w:sz w:val="52"/>
          <w:szCs w:val="52"/>
        </w:rPr>
      </w:pPr>
    </w:p>
    <w:p>
      <w:pPr>
        <w:spacing w:after="360" w:afterLines="150" w:line="540" w:lineRule="exact"/>
        <w:jc w:val="center"/>
        <w:rPr>
          <w:rFonts w:ascii="黑体" w:eastAsia="黑体"/>
          <w:sz w:val="52"/>
          <w:szCs w:val="52"/>
        </w:rPr>
      </w:pPr>
    </w:p>
    <w:p>
      <w:pPr>
        <w:pStyle w:val="6"/>
        <w:keepNext w:val="0"/>
        <w:keepLines w:val="0"/>
        <w:jc w:val="center"/>
        <w:rPr>
          <w:rFonts w:ascii="黑体" w:eastAsia="黑体"/>
          <w:sz w:val="52"/>
          <w:szCs w:val="52"/>
          <w:lang w:val="en-US"/>
        </w:rPr>
      </w:pPr>
      <w:bookmarkStart w:id="0" w:name="Book1"/>
      <w:r>
        <w:rPr>
          <w:rFonts w:hint="eastAsia" w:ascii="黑体" w:eastAsia="黑体"/>
          <w:sz w:val="52"/>
          <w:szCs w:val="52"/>
        </w:rPr>
        <w:t>第</w:t>
      </w:r>
      <w:r>
        <w:rPr>
          <w:rFonts w:hint="eastAsia" w:ascii="黑体" w:eastAsia="黑体"/>
          <w:sz w:val="52"/>
          <w:szCs w:val="52"/>
          <w:lang w:val="en-US"/>
        </w:rPr>
        <w:t xml:space="preserve"> </w:t>
      </w:r>
      <w:r>
        <w:rPr>
          <w:rFonts w:hint="eastAsia" w:ascii="黑体" w:eastAsia="黑体"/>
          <w:sz w:val="52"/>
          <w:szCs w:val="52"/>
        </w:rPr>
        <w:t>一</w:t>
      </w:r>
      <w:r>
        <w:rPr>
          <w:rFonts w:hint="eastAsia" w:ascii="黑体" w:eastAsia="黑体"/>
          <w:sz w:val="52"/>
          <w:szCs w:val="52"/>
          <w:lang w:val="en-US"/>
        </w:rPr>
        <w:t xml:space="preserve"> </w:t>
      </w:r>
      <w:r>
        <w:rPr>
          <w:rFonts w:hint="eastAsia" w:ascii="黑体" w:eastAsia="黑体"/>
          <w:sz w:val="52"/>
          <w:szCs w:val="52"/>
        </w:rPr>
        <w:t>卷</w:t>
      </w:r>
    </w:p>
    <w:bookmarkEnd w:id="0"/>
    <w:p/>
    <w:p>
      <w:pPr>
        <w:widowControl/>
        <w:jc w:val="left"/>
      </w:pPr>
      <w:r>
        <w:br w:type="page"/>
      </w:r>
    </w:p>
    <w:p>
      <w:pPr>
        <w:pStyle w:val="7"/>
        <w:keepNext w:val="0"/>
        <w:keepLines w:val="0"/>
        <w:numPr>
          <w:ilvl w:val="0"/>
          <w:numId w:val="2"/>
        </w:numPr>
        <w:spacing w:line="360" w:lineRule="auto"/>
        <w:jc w:val="center"/>
        <w:rPr>
          <w:rFonts w:ascii="黑体"/>
          <w:lang w:val="en-US"/>
        </w:rPr>
      </w:pPr>
      <w:bookmarkStart w:id="1" w:name="第一章1"/>
      <w:bookmarkStart w:id="2" w:name="Book2"/>
      <w:r>
        <w:rPr>
          <w:rFonts w:hint="eastAsia" w:ascii="黑体"/>
          <w:lang w:val="en-US"/>
        </w:rPr>
        <w:t xml:space="preserve"> 招标公告</w:t>
      </w:r>
      <w:bookmarkEnd w:id="1"/>
      <w:bookmarkEnd w:id="2"/>
      <w:bookmarkStart w:id="3" w:name="Book5"/>
    </w:p>
    <w:p>
      <w:pPr>
        <w:pStyle w:val="7"/>
        <w:keepNext w:val="0"/>
        <w:keepLines w:val="0"/>
        <w:spacing w:line="360" w:lineRule="auto"/>
        <w:rPr>
          <w:sz w:val="24"/>
          <w:szCs w:val="24"/>
          <w:lang w:val="en-US"/>
        </w:rPr>
      </w:pPr>
      <w:r>
        <w:rPr>
          <w:rFonts w:hint="eastAsia"/>
          <w:sz w:val="24"/>
          <w:szCs w:val="24"/>
          <w:lang w:val="en-US"/>
        </w:rPr>
        <w:t>项目概况</w:t>
      </w:r>
    </w:p>
    <w:p>
      <w:pPr>
        <w:spacing w:line="360" w:lineRule="auto"/>
        <w:rPr>
          <w:rFonts w:hAnsi="宋体" w:cs="宋体"/>
          <w:b/>
          <w:bCs/>
          <w:color w:val="000000"/>
          <w:sz w:val="24"/>
          <w:szCs w:val="24"/>
        </w:rPr>
      </w:pPr>
      <w:r>
        <w:rPr>
          <w:rFonts w:hint="eastAsia" w:ascii="宋体" w:hAnsi="宋体" w:cs="宋体"/>
          <w:sz w:val="24"/>
          <w:szCs w:val="24"/>
        </w:rPr>
        <w:t xml:space="preserve">   汝州市陵头镇樊窑村东矿山生态修复工程监理项目的潜在投标人应在全国公共资源交易平台（河南省·汝州市）（http：//www.rzggzy.com）获取招标文件，并于2024年04月29 日08时30分（北京时间）前递交投标文件。</w:t>
      </w:r>
    </w:p>
    <w:p>
      <w:pPr>
        <w:numPr>
          <w:ilvl w:val="0"/>
          <w:numId w:val="3"/>
        </w:numPr>
        <w:spacing w:line="360" w:lineRule="auto"/>
        <w:rPr>
          <w:rFonts w:ascii="宋体" w:hAnsi="宋体" w:cs="宋体"/>
          <w:b/>
          <w:bCs/>
          <w:color w:val="000000"/>
          <w:sz w:val="24"/>
          <w:szCs w:val="24"/>
        </w:rPr>
      </w:pPr>
      <w:r>
        <w:rPr>
          <w:rFonts w:hint="eastAsia" w:ascii="宋体" w:hAnsi="宋体" w:cs="宋体"/>
          <w:b/>
          <w:bCs/>
          <w:color w:val="000000"/>
          <w:sz w:val="24"/>
          <w:szCs w:val="24"/>
        </w:rPr>
        <w:t>项目基本情况</w:t>
      </w:r>
    </w:p>
    <w:p>
      <w:pPr>
        <w:spacing w:line="360" w:lineRule="auto"/>
        <w:rPr>
          <w:rFonts w:hint="default" w:eastAsia="宋体"/>
          <w:sz w:val="24"/>
          <w:szCs w:val="24"/>
          <w:lang w:val="en-US" w:eastAsia="zh-CN"/>
        </w:rPr>
      </w:pPr>
      <w:r>
        <w:rPr>
          <w:rFonts w:hint="eastAsia"/>
          <w:sz w:val="24"/>
          <w:szCs w:val="24"/>
        </w:rPr>
        <w:t>1、采购项目</w:t>
      </w:r>
      <w:r>
        <w:rPr>
          <w:sz w:val="24"/>
          <w:szCs w:val="24"/>
        </w:rPr>
        <w:t>编号：</w:t>
      </w:r>
      <w:r>
        <w:rPr>
          <w:rFonts w:hint="eastAsia"/>
          <w:sz w:val="24"/>
          <w:szCs w:val="24"/>
        </w:rPr>
        <w:t>汝财招标采购-2024-</w:t>
      </w:r>
      <w:r>
        <w:rPr>
          <w:rFonts w:hint="eastAsia"/>
          <w:sz w:val="24"/>
          <w:szCs w:val="24"/>
          <w:lang w:val="en-US" w:eastAsia="zh-CN"/>
        </w:rPr>
        <w:t>10</w:t>
      </w:r>
      <w:bookmarkStart w:id="150" w:name="_GoBack"/>
      <w:bookmarkEnd w:id="150"/>
    </w:p>
    <w:p>
      <w:pPr>
        <w:widowControl/>
        <w:spacing w:line="360" w:lineRule="auto"/>
        <w:jc w:val="left"/>
        <w:rPr>
          <w:rFonts w:hAnsi="宋体" w:cs="宋体"/>
          <w:color w:val="000000"/>
          <w:sz w:val="24"/>
          <w:szCs w:val="24"/>
        </w:rPr>
      </w:pPr>
      <w:r>
        <w:rPr>
          <w:rFonts w:hint="eastAsia" w:hAnsi="宋体" w:cs="宋体"/>
          <w:color w:val="000000"/>
          <w:sz w:val="24"/>
          <w:szCs w:val="24"/>
        </w:rPr>
        <w:t>2、采购项目名称：汝州市陵头镇樊窑村东矿山生态修复工程监理项目</w:t>
      </w:r>
    </w:p>
    <w:p>
      <w:pPr>
        <w:widowControl/>
        <w:spacing w:line="360" w:lineRule="auto"/>
        <w:jc w:val="left"/>
        <w:rPr>
          <w:rFonts w:hAnsi="宋体" w:cs="宋体"/>
          <w:color w:val="000000"/>
          <w:sz w:val="24"/>
          <w:szCs w:val="24"/>
        </w:rPr>
      </w:pPr>
      <w:r>
        <w:rPr>
          <w:rFonts w:hint="eastAsia" w:hAnsi="宋体" w:cs="宋体"/>
          <w:color w:val="000000"/>
          <w:sz w:val="24"/>
          <w:szCs w:val="24"/>
        </w:rPr>
        <w:t>3、采购方式：公开招标</w:t>
      </w:r>
    </w:p>
    <w:p>
      <w:pPr>
        <w:widowControl/>
        <w:spacing w:line="360" w:lineRule="auto"/>
        <w:jc w:val="left"/>
        <w:rPr>
          <w:rFonts w:ascii="宋体" w:hAnsi="宋体" w:cs="宋体"/>
          <w:color w:val="000000"/>
          <w:sz w:val="24"/>
          <w:szCs w:val="24"/>
        </w:rPr>
      </w:pPr>
      <w:r>
        <w:rPr>
          <w:rFonts w:hint="eastAsia" w:hAnsi="宋体" w:cs="宋体"/>
          <w:color w:val="000000"/>
          <w:sz w:val="24"/>
          <w:szCs w:val="24"/>
        </w:rPr>
        <w:t>4、预算金额：</w:t>
      </w:r>
      <w:r>
        <w:rPr>
          <w:rFonts w:hint="eastAsia" w:ascii="宋体" w:hAnsi="宋体" w:cs="宋体"/>
          <w:color w:val="000000"/>
          <w:sz w:val="24"/>
          <w:szCs w:val="24"/>
        </w:rPr>
        <w:t>1330000.00元</w:t>
      </w:r>
    </w:p>
    <w:p>
      <w:pPr>
        <w:widowControl/>
        <w:spacing w:line="360" w:lineRule="auto"/>
        <w:jc w:val="left"/>
        <w:rPr>
          <w:rFonts w:hAnsi="宋体" w:cs="宋体"/>
          <w:color w:val="000000"/>
          <w:sz w:val="24"/>
          <w:szCs w:val="24"/>
        </w:rPr>
      </w:pPr>
      <w:r>
        <w:rPr>
          <w:rFonts w:hint="eastAsia" w:ascii="宋体" w:hAnsi="宋体" w:cs="宋体"/>
          <w:color w:val="000000"/>
          <w:sz w:val="24"/>
          <w:szCs w:val="24"/>
        </w:rPr>
        <w:t xml:space="preserve">   最高限价：1330000.00元</w:t>
      </w:r>
    </w:p>
    <w:tbl>
      <w:tblPr>
        <w:tblStyle w:val="18"/>
        <w:tblpPr w:leftFromText="180" w:rightFromText="180" w:vertAnchor="text" w:horzAnchor="page" w:tblpX="1720" w:tblpY="345"/>
        <w:tblOverlap w:val="never"/>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459"/>
        <w:gridCol w:w="2326"/>
        <w:gridCol w:w="1449"/>
        <w:gridCol w:w="1480"/>
        <w:gridCol w:w="132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19" w:type="dxa"/>
          </w:tcPr>
          <w:p>
            <w:pPr>
              <w:jc w:val="left"/>
              <w:rPr>
                <w:rFonts w:ascii="宋体" w:hAnsi="宋体" w:cs="宋体"/>
                <w:sz w:val="24"/>
                <w:szCs w:val="24"/>
              </w:rPr>
            </w:pPr>
            <w:r>
              <w:rPr>
                <w:rFonts w:hint="eastAsia" w:ascii="宋体" w:hAnsi="宋体" w:cs="宋体"/>
                <w:sz w:val="24"/>
                <w:szCs w:val="24"/>
              </w:rPr>
              <w:t>序</w:t>
            </w:r>
          </w:p>
          <w:p>
            <w:pPr>
              <w:jc w:val="left"/>
              <w:rPr>
                <w:rFonts w:ascii="宋体" w:hAnsi="宋体" w:cs="宋体"/>
                <w:sz w:val="24"/>
                <w:szCs w:val="24"/>
              </w:rPr>
            </w:pPr>
            <w:r>
              <w:rPr>
                <w:rFonts w:hint="eastAsia" w:ascii="宋体" w:hAnsi="宋体" w:cs="宋体"/>
                <w:sz w:val="24"/>
                <w:szCs w:val="24"/>
              </w:rPr>
              <w:t>号</w:t>
            </w:r>
          </w:p>
        </w:tc>
        <w:tc>
          <w:tcPr>
            <w:tcW w:w="459" w:type="dxa"/>
          </w:tcPr>
          <w:p>
            <w:pPr>
              <w:jc w:val="left"/>
              <w:rPr>
                <w:rFonts w:ascii="宋体" w:hAnsi="宋体" w:cs="宋体"/>
                <w:sz w:val="24"/>
                <w:szCs w:val="24"/>
              </w:rPr>
            </w:pPr>
            <w:r>
              <w:rPr>
                <w:rFonts w:hint="eastAsia" w:ascii="宋体" w:hAnsi="宋体" w:cs="宋体"/>
                <w:sz w:val="24"/>
                <w:szCs w:val="24"/>
              </w:rPr>
              <w:t>包</w:t>
            </w:r>
          </w:p>
          <w:p>
            <w:pPr>
              <w:jc w:val="left"/>
              <w:rPr>
                <w:rFonts w:ascii="宋体" w:hAnsi="宋体" w:cs="宋体"/>
                <w:sz w:val="24"/>
                <w:szCs w:val="24"/>
              </w:rPr>
            </w:pPr>
            <w:r>
              <w:rPr>
                <w:rFonts w:hint="eastAsia" w:ascii="宋体" w:hAnsi="宋体" w:cs="宋体"/>
                <w:sz w:val="24"/>
                <w:szCs w:val="24"/>
              </w:rPr>
              <w:t>号</w:t>
            </w:r>
          </w:p>
        </w:tc>
        <w:tc>
          <w:tcPr>
            <w:tcW w:w="2326" w:type="dxa"/>
          </w:tcPr>
          <w:p>
            <w:pPr>
              <w:jc w:val="left"/>
              <w:rPr>
                <w:rFonts w:ascii="宋体" w:hAnsi="宋体" w:cs="宋体"/>
                <w:sz w:val="24"/>
                <w:szCs w:val="24"/>
              </w:rPr>
            </w:pPr>
            <w:r>
              <w:rPr>
                <w:rFonts w:hint="eastAsia" w:ascii="宋体" w:hAnsi="宋体" w:cs="宋体"/>
                <w:sz w:val="24"/>
                <w:szCs w:val="24"/>
              </w:rPr>
              <w:t xml:space="preserve">     包名称</w:t>
            </w:r>
          </w:p>
        </w:tc>
        <w:tc>
          <w:tcPr>
            <w:tcW w:w="1449" w:type="dxa"/>
          </w:tcPr>
          <w:p>
            <w:pPr>
              <w:jc w:val="left"/>
              <w:rPr>
                <w:rFonts w:ascii="宋体" w:hAnsi="宋体" w:cs="宋体"/>
                <w:sz w:val="24"/>
                <w:szCs w:val="24"/>
              </w:rPr>
            </w:pPr>
            <w:r>
              <w:rPr>
                <w:rFonts w:hint="eastAsia" w:ascii="宋体" w:hAnsi="宋体" w:cs="宋体"/>
                <w:sz w:val="24"/>
                <w:szCs w:val="24"/>
              </w:rPr>
              <w:t>包预算（元）</w:t>
            </w:r>
          </w:p>
        </w:tc>
        <w:tc>
          <w:tcPr>
            <w:tcW w:w="1480" w:type="dxa"/>
          </w:tcPr>
          <w:p>
            <w:pPr>
              <w:jc w:val="left"/>
              <w:rPr>
                <w:rFonts w:ascii="宋体" w:hAnsi="宋体" w:cs="宋体"/>
                <w:sz w:val="24"/>
                <w:szCs w:val="24"/>
              </w:rPr>
            </w:pPr>
            <w:r>
              <w:rPr>
                <w:rFonts w:hint="eastAsia" w:ascii="宋体" w:hAnsi="宋体" w:cs="宋体"/>
                <w:sz w:val="24"/>
                <w:szCs w:val="24"/>
              </w:rPr>
              <w:t>包最高限价（元）</w:t>
            </w:r>
          </w:p>
        </w:tc>
        <w:tc>
          <w:tcPr>
            <w:tcW w:w="1326" w:type="dxa"/>
          </w:tcPr>
          <w:p>
            <w:pPr>
              <w:jc w:val="left"/>
              <w:rPr>
                <w:rFonts w:ascii="宋体" w:hAnsi="宋体" w:cs="宋体"/>
                <w:sz w:val="24"/>
                <w:szCs w:val="24"/>
              </w:rPr>
            </w:pPr>
            <w:r>
              <w:rPr>
                <w:rFonts w:hint="eastAsia" w:ascii="宋体" w:hAnsi="宋体" w:cs="宋体"/>
                <w:sz w:val="24"/>
                <w:szCs w:val="24"/>
              </w:rPr>
              <w:t>是否专门面向中小企业</w:t>
            </w:r>
          </w:p>
        </w:tc>
        <w:tc>
          <w:tcPr>
            <w:tcW w:w="1449" w:type="dxa"/>
          </w:tcPr>
          <w:p>
            <w:pPr>
              <w:jc w:val="left"/>
              <w:rPr>
                <w:rFonts w:ascii="宋体" w:hAnsi="宋体" w:cs="宋体"/>
                <w:sz w:val="24"/>
                <w:szCs w:val="24"/>
              </w:rPr>
            </w:pPr>
            <w:r>
              <w:rPr>
                <w:rFonts w:hint="eastAsia" w:ascii="宋体" w:hAnsi="宋体" w:cs="宋体"/>
                <w:sz w:val="24"/>
                <w:szCs w:val="24"/>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19" w:type="dxa"/>
          </w:tcPr>
          <w:p>
            <w:pPr>
              <w:spacing w:line="360" w:lineRule="auto"/>
              <w:rPr>
                <w:rFonts w:ascii="宋体" w:hAnsi="宋体" w:cs="宋体"/>
                <w:sz w:val="24"/>
                <w:szCs w:val="24"/>
              </w:rPr>
            </w:pPr>
            <w:r>
              <w:rPr>
                <w:rFonts w:hint="eastAsia" w:ascii="宋体" w:hAnsi="宋体" w:cs="宋体"/>
                <w:sz w:val="24"/>
                <w:szCs w:val="24"/>
              </w:rPr>
              <w:t>1</w:t>
            </w:r>
          </w:p>
        </w:tc>
        <w:tc>
          <w:tcPr>
            <w:tcW w:w="459" w:type="dxa"/>
          </w:tcPr>
          <w:p>
            <w:pPr>
              <w:spacing w:line="360" w:lineRule="auto"/>
              <w:rPr>
                <w:rFonts w:ascii="宋体" w:hAnsi="宋体" w:cs="宋体"/>
                <w:sz w:val="24"/>
                <w:szCs w:val="24"/>
              </w:rPr>
            </w:pPr>
            <w:r>
              <w:rPr>
                <w:rFonts w:hint="eastAsia" w:ascii="宋体" w:hAnsi="宋体" w:cs="宋体"/>
                <w:sz w:val="24"/>
                <w:szCs w:val="24"/>
              </w:rPr>
              <w:t>1</w:t>
            </w:r>
          </w:p>
        </w:tc>
        <w:tc>
          <w:tcPr>
            <w:tcW w:w="2326" w:type="dxa"/>
          </w:tcPr>
          <w:p>
            <w:pPr>
              <w:pStyle w:val="4"/>
              <w:tabs>
                <w:tab w:val="clear" w:pos="945"/>
                <w:tab w:val="clear" w:pos="1155"/>
              </w:tabs>
              <w:ind w:left="0" w:leftChars="0" w:firstLine="0" w:firstLineChars="0"/>
            </w:pPr>
            <w:r>
              <w:rPr>
                <w:rFonts w:hint="eastAsia"/>
                <w:sz w:val="24"/>
                <w:szCs w:val="24"/>
              </w:rPr>
              <w:t>汝州市陵头镇樊窑村东矿山生态修复工程监理项目</w:t>
            </w:r>
          </w:p>
        </w:tc>
        <w:tc>
          <w:tcPr>
            <w:tcW w:w="1449" w:type="dxa"/>
          </w:tcPr>
          <w:p>
            <w:pPr>
              <w:spacing w:line="360" w:lineRule="auto"/>
              <w:rPr>
                <w:rFonts w:ascii="宋体" w:hAnsi="宋体" w:cs="宋体"/>
                <w:sz w:val="24"/>
                <w:szCs w:val="24"/>
              </w:rPr>
            </w:pPr>
            <w:r>
              <w:rPr>
                <w:rFonts w:hint="eastAsia" w:ascii="宋体" w:hAnsi="宋体" w:cs="宋体"/>
                <w:color w:val="000000"/>
                <w:sz w:val="24"/>
                <w:szCs w:val="24"/>
              </w:rPr>
              <w:t>1330000.00</w:t>
            </w:r>
          </w:p>
        </w:tc>
        <w:tc>
          <w:tcPr>
            <w:tcW w:w="1480" w:type="dxa"/>
          </w:tcPr>
          <w:p>
            <w:pPr>
              <w:spacing w:line="360" w:lineRule="auto"/>
              <w:rPr>
                <w:rFonts w:ascii="宋体" w:hAnsi="宋体" w:cs="宋体"/>
                <w:sz w:val="24"/>
                <w:szCs w:val="24"/>
              </w:rPr>
            </w:pPr>
            <w:r>
              <w:rPr>
                <w:rFonts w:hint="eastAsia" w:ascii="宋体" w:hAnsi="宋体" w:cs="宋体"/>
                <w:color w:val="000000"/>
                <w:sz w:val="24"/>
                <w:szCs w:val="24"/>
              </w:rPr>
              <w:t>1330000.00</w:t>
            </w:r>
          </w:p>
        </w:tc>
        <w:tc>
          <w:tcPr>
            <w:tcW w:w="1326" w:type="dxa"/>
          </w:tcPr>
          <w:p>
            <w:pPr>
              <w:spacing w:line="360" w:lineRule="auto"/>
              <w:rPr>
                <w:rFonts w:ascii="宋体" w:hAnsi="宋体" w:cs="宋体"/>
                <w:color w:val="000000"/>
                <w:sz w:val="24"/>
                <w:szCs w:val="24"/>
              </w:rPr>
            </w:pPr>
            <w:r>
              <w:rPr>
                <w:rFonts w:hint="eastAsia" w:ascii="宋体" w:hAnsi="宋体" w:cs="宋体"/>
                <w:color w:val="000000"/>
                <w:sz w:val="24"/>
                <w:szCs w:val="24"/>
              </w:rPr>
              <w:t xml:space="preserve">   是</w:t>
            </w:r>
          </w:p>
        </w:tc>
        <w:tc>
          <w:tcPr>
            <w:tcW w:w="1449" w:type="dxa"/>
          </w:tcPr>
          <w:p>
            <w:pPr>
              <w:spacing w:line="360" w:lineRule="auto"/>
              <w:rPr>
                <w:rFonts w:ascii="宋体" w:hAnsi="宋体" w:cs="宋体"/>
                <w:color w:val="000000"/>
                <w:sz w:val="24"/>
                <w:szCs w:val="24"/>
              </w:rPr>
            </w:pPr>
            <w:r>
              <w:rPr>
                <w:rFonts w:hint="eastAsia" w:ascii="宋体" w:hAnsi="宋体" w:cs="宋体"/>
                <w:color w:val="000000"/>
                <w:sz w:val="24"/>
                <w:szCs w:val="24"/>
              </w:rPr>
              <w:t>1330000.00</w:t>
            </w:r>
          </w:p>
        </w:tc>
      </w:tr>
    </w:tbl>
    <w:p>
      <w:pPr>
        <w:widowControl/>
        <w:spacing w:line="360" w:lineRule="auto"/>
        <w:jc w:val="left"/>
        <w:rPr>
          <w:rFonts w:ascii="宋体" w:hAnsi="宋体" w:cs="宋体"/>
          <w:bCs/>
          <w:color w:val="000000"/>
          <w:sz w:val="24"/>
          <w:szCs w:val="24"/>
        </w:rPr>
      </w:pPr>
      <w:r>
        <w:rPr>
          <w:rFonts w:hint="eastAsia" w:ascii="宋体" w:hAnsi="宋体" w:cs="宋体"/>
          <w:bCs/>
          <w:color w:val="000000"/>
          <w:sz w:val="24"/>
          <w:szCs w:val="24"/>
        </w:rPr>
        <w:t>5、采购需求（包括但不限于标的的名称、数量、简要技术需求或服务要求等）</w:t>
      </w:r>
    </w:p>
    <w:p>
      <w:pPr>
        <w:widowControl/>
        <w:spacing w:line="360" w:lineRule="auto"/>
        <w:jc w:val="left"/>
        <w:rPr>
          <w:rFonts w:ascii="宋体" w:hAnsi="宋体" w:cs="宋体"/>
          <w:bCs/>
          <w:color w:val="000000"/>
          <w:sz w:val="24"/>
          <w:szCs w:val="24"/>
        </w:rPr>
      </w:pPr>
      <w:r>
        <w:rPr>
          <w:rFonts w:hint="eastAsia" w:ascii="宋体" w:hAnsi="宋体" w:cs="宋体"/>
          <w:bCs/>
          <w:color w:val="000000"/>
          <w:sz w:val="24"/>
          <w:szCs w:val="24"/>
        </w:rPr>
        <w:t>5.1采购内容：</w:t>
      </w:r>
      <w:r>
        <w:rPr>
          <w:rFonts w:hint="eastAsia" w:ascii="宋体" w:hAnsi="宋体" w:cs="宋体"/>
          <w:sz w:val="24"/>
          <w:szCs w:val="24"/>
        </w:rPr>
        <w:t>工程监理服务</w:t>
      </w:r>
    </w:p>
    <w:p>
      <w:pPr>
        <w:widowControl/>
        <w:spacing w:line="360" w:lineRule="auto"/>
        <w:jc w:val="left"/>
        <w:rPr>
          <w:rFonts w:ascii="宋体" w:hAnsi="宋体" w:cs="宋体"/>
          <w:bCs/>
          <w:color w:val="000000"/>
          <w:sz w:val="24"/>
          <w:szCs w:val="24"/>
        </w:rPr>
      </w:pPr>
      <w:r>
        <w:rPr>
          <w:rFonts w:hint="eastAsia" w:ascii="宋体" w:hAnsi="宋体" w:cs="宋体"/>
          <w:bCs/>
          <w:color w:val="000000"/>
          <w:sz w:val="24"/>
          <w:szCs w:val="24"/>
        </w:rPr>
        <w:t>5.2建设地点：汝州市</w:t>
      </w:r>
    </w:p>
    <w:p>
      <w:pPr>
        <w:widowControl/>
        <w:spacing w:line="360" w:lineRule="auto"/>
        <w:jc w:val="left"/>
        <w:rPr>
          <w:rFonts w:ascii="宋体" w:hAnsi="宋体" w:cs="宋体"/>
          <w:bCs/>
          <w:color w:val="000000"/>
          <w:sz w:val="24"/>
          <w:szCs w:val="24"/>
        </w:rPr>
      </w:pPr>
      <w:r>
        <w:rPr>
          <w:rFonts w:hint="eastAsia" w:ascii="宋体" w:hAnsi="宋体" w:cs="宋体"/>
          <w:bCs/>
          <w:color w:val="000000"/>
          <w:sz w:val="24"/>
          <w:szCs w:val="24"/>
        </w:rPr>
        <w:t>5.3资金来源：</w:t>
      </w:r>
      <w:r>
        <w:rPr>
          <w:rFonts w:hint="eastAsia" w:ascii="宋体" w:hAnsi="宋体" w:cs="宋体"/>
          <w:sz w:val="24"/>
          <w:szCs w:val="24"/>
        </w:rPr>
        <w:t>自筹资金</w:t>
      </w:r>
    </w:p>
    <w:p>
      <w:pPr>
        <w:widowControl/>
        <w:spacing w:line="360" w:lineRule="auto"/>
        <w:jc w:val="left"/>
        <w:rPr>
          <w:rFonts w:ascii="宋体" w:hAnsi="宋体" w:cs="宋体"/>
          <w:bCs/>
          <w:color w:val="000000"/>
          <w:sz w:val="24"/>
          <w:szCs w:val="24"/>
        </w:rPr>
      </w:pPr>
      <w:r>
        <w:rPr>
          <w:rFonts w:hint="eastAsia" w:ascii="宋体" w:hAnsi="宋体" w:cs="宋体"/>
          <w:bCs/>
          <w:color w:val="000000"/>
          <w:sz w:val="24"/>
          <w:szCs w:val="24"/>
        </w:rPr>
        <w:t>5.4计划工期：</w:t>
      </w:r>
      <w:r>
        <w:rPr>
          <w:rFonts w:hint="eastAsia" w:ascii="宋体" w:hAnsi="宋体" w:cs="宋体"/>
          <w:sz w:val="24"/>
          <w:szCs w:val="24"/>
        </w:rPr>
        <w:t>施工阶段及保修阶段全过程的监理服务</w:t>
      </w:r>
    </w:p>
    <w:p>
      <w:pPr>
        <w:widowControl/>
        <w:spacing w:line="360" w:lineRule="auto"/>
        <w:jc w:val="left"/>
        <w:rPr>
          <w:rFonts w:ascii="宋体" w:hAnsi="宋体" w:cs="宋体"/>
          <w:bCs/>
          <w:color w:val="000000"/>
          <w:sz w:val="24"/>
          <w:szCs w:val="24"/>
        </w:rPr>
      </w:pPr>
      <w:r>
        <w:rPr>
          <w:rFonts w:hint="eastAsia" w:ascii="宋体" w:hAnsi="宋体" w:cs="宋体"/>
          <w:bCs/>
          <w:color w:val="000000"/>
          <w:sz w:val="24"/>
          <w:szCs w:val="24"/>
        </w:rPr>
        <w:t>5.5质量要求：合格</w:t>
      </w:r>
    </w:p>
    <w:p>
      <w:pPr>
        <w:widowControl/>
        <w:spacing w:line="360" w:lineRule="auto"/>
        <w:jc w:val="left"/>
        <w:rPr>
          <w:rFonts w:ascii="宋体" w:hAnsi="宋体" w:cs="宋体"/>
          <w:bCs/>
          <w:color w:val="000000"/>
          <w:sz w:val="24"/>
          <w:szCs w:val="24"/>
        </w:rPr>
      </w:pPr>
      <w:r>
        <w:rPr>
          <w:rFonts w:hint="eastAsia" w:ascii="宋体" w:hAnsi="宋体" w:cs="宋体"/>
          <w:bCs/>
          <w:color w:val="000000"/>
          <w:sz w:val="24"/>
          <w:szCs w:val="24"/>
        </w:rPr>
        <w:t>5.6招标范围：服务要求包含的所有内容（详见招标文件）</w:t>
      </w:r>
    </w:p>
    <w:p>
      <w:pPr>
        <w:pStyle w:val="16"/>
        <w:spacing w:after="0" w:line="360" w:lineRule="auto"/>
        <w:ind w:right="63" w:firstLine="0" w:firstLineChars="0"/>
      </w:pPr>
      <w:r>
        <w:rPr>
          <w:rFonts w:hint="eastAsia" w:ascii="宋体" w:hAnsi="宋体" w:cs="宋体"/>
          <w:sz w:val="24"/>
          <w:szCs w:val="24"/>
        </w:rPr>
        <w:t>5.7标段划分：本项目划分为1个标段</w:t>
      </w:r>
    </w:p>
    <w:p>
      <w:pPr>
        <w:numPr>
          <w:ilvl w:val="0"/>
          <w:numId w:val="4"/>
        </w:numPr>
        <w:spacing w:line="360" w:lineRule="auto"/>
        <w:rPr>
          <w:rFonts w:ascii="宋体" w:hAnsi="宋体" w:cs="宋体"/>
          <w:bCs/>
          <w:color w:val="000000"/>
          <w:sz w:val="24"/>
          <w:szCs w:val="24"/>
        </w:rPr>
      </w:pPr>
      <w:r>
        <w:rPr>
          <w:rFonts w:hint="eastAsia" w:ascii="宋体" w:hAnsi="宋体" w:cs="宋体"/>
          <w:bCs/>
          <w:color w:val="000000"/>
          <w:sz w:val="24"/>
          <w:szCs w:val="24"/>
        </w:rPr>
        <w:t>合同履行期限：</w:t>
      </w:r>
      <w:r>
        <w:rPr>
          <w:rFonts w:hint="eastAsia" w:ascii="宋体" w:hAnsi="宋体" w:cs="宋体"/>
          <w:sz w:val="24"/>
          <w:szCs w:val="24"/>
        </w:rPr>
        <w:t>施工阶段及保修阶段全过程的监理服务</w:t>
      </w:r>
      <w:r>
        <w:rPr>
          <w:rFonts w:hint="eastAsia" w:ascii="宋体" w:hAnsi="宋体" w:cs="宋体"/>
          <w:bCs/>
          <w:color w:val="000000"/>
          <w:sz w:val="24"/>
          <w:szCs w:val="24"/>
        </w:rPr>
        <w:t xml:space="preserve">  </w:t>
      </w:r>
    </w:p>
    <w:p>
      <w:pPr>
        <w:widowControl/>
        <w:numPr>
          <w:ilvl w:val="0"/>
          <w:numId w:val="4"/>
        </w:numPr>
        <w:spacing w:line="360" w:lineRule="auto"/>
        <w:jc w:val="left"/>
        <w:rPr>
          <w:rFonts w:ascii="宋体" w:hAnsi="宋体" w:cs="宋体"/>
          <w:b/>
          <w:bCs/>
          <w:kern w:val="0"/>
          <w:sz w:val="24"/>
          <w:szCs w:val="24"/>
          <w:lang w:val="zh-CN"/>
        </w:rPr>
      </w:pPr>
      <w:r>
        <w:rPr>
          <w:rFonts w:hint="eastAsia" w:ascii="宋体" w:hAnsi="宋体" w:cs="宋体"/>
          <w:bCs/>
          <w:color w:val="000000"/>
          <w:sz w:val="24"/>
          <w:szCs w:val="24"/>
        </w:rPr>
        <w:t>本项目是否接受联合体投标：否</w:t>
      </w:r>
    </w:p>
    <w:p>
      <w:pPr>
        <w:pStyle w:val="9"/>
        <w:rPr>
          <w:lang w:val="zh-CN"/>
        </w:rPr>
      </w:pPr>
      <w:r>
        <w:rPr>
          <w:rFonts w:hint="eastAsia" w:ascii="宋体" w:hAnsi="宋体" w:cs="宋体"/>
          <w:sz w:val="24"/>
          <w:szCs w:val="24"/>
        </w:rPr>
        <w:t>8、</w:t>
      </w:r>
      <w:r>
        <w:rPr>
          <w:sz w:val="24"/>
          <w:szCs w:val="24"/>
          <w:lang w:val="zh-CN"/>
        </w:rPr>
        <w:t>是否接受进口产品：否</w:t>
      </w:r>
    </w:p>
    <w:p>
      <w:pPr>
        <w:spacing w:line="360" w:lineRule="auto"/>
        <w:rPr>
          <w:sz w:val="24"/>
          <w:szCs w:val="24"/>
        </w:rPr>
      </w:pPr>
      <w:r>
        <w:rPr>
          <w:rFonts w:hint="eastAsia"/>
          <w:sz w:val="24"/>
          <w:szCs w:val="24"/>
        </w:rPr>
        <w:t>9、是否专门面向中小企业：是</w:t>
      </w:r>
    </w:p>
    <w:p>
      <w:pPr>
        <w:spacing w:line="360" w:lineRule="auto"/>
        <w:rPr>
          <w:rFonts w:ascii="宋体" w:hAnsi="宋体" w:cs="宋体"/>
          <w:b/>
          <w:bCs/>
          <w:kern w:val="0"/>
          <w:sz w:val="24"/>
          <w:szCs w:val="24"/>
          <w:lang w:val="zh-CN"/>
        </w:rPr>
      </w:pPr>
      <w:r>
        <w:rPr>
          <w:rFonts w:hint="eastAsia" w:ascii="宋体" w:hAnsi="宋体" w:cs="宋体"/>
          <w:b/>
          <w:bCs/>
          <w:sz w:val="24"/>
          <w:szCs w:val="24"/>
        </w:rPr>
        <w:t>二、</w:t>
      </w:r>
      <w:r>
        <w:rPr>
          <w:rFonts w:hint="eastAsia" w:ascii="宋体" w:hAnsi="宋体" w:cs="宋体"/>
          <w:b/>
          <w:bCs/>
          <w:kern w:val="0"/>
          <w:sz w:val="24"/>
          <w:szCs w:val="24"/>
          <w:lang w:val="zh-CN"/>
        </w:rPr>
        <w:t>投标人资格要求</w:t>
      </w:r>
    </w:p>
    <w:p>
      <w:pPr>
        <w:pStyle w:val="16"/>
        <w:spacing w:after="0" w:line="360" w:lineRule="auto"/>
        <w:ind w:right="63" w:firstLine="0" w:firstLineChars="0"/>
        <w:rPr>
          <w:rFonts w:ascii="宋体" w:hAnsi="宋体" w:cs="宋体"/>
          <w:kern w:val="0"/>
          <w:sz w:val="24"/>
          <w:szCs w:val="24"/>
          <w:lang w:val="zh-CN"/>
        </w:rPr>
      </w:pPr>
      <w:r>
        <w:rPr>
          <w:rFonts w:hint="eastAsia" w:ascii="宋体" w:hAnsi="宋体" w:cs="宋体"/>
          <w:b/>
          <w:bCs/>
          <w:kern w:val="0"/>
          <w:sz w:val="24"/>
          <w:szCs w:val="24"/>
        </w:rPr>
        <w:t xml:space="preserve">    </w:t>
      </w:r>
      <w:r>
        <w:rPr>
          <w:rFonts w:hint="eastAsia" w:ascii="宋体" w:hAnsi="宋体" w:cs="宋体"/>
          <w:kern w:val="0"/>
          <w:sz w:val="24"/>
          <w:szCs w:val="24"/>
          <w:lang w:val="zh-CN"/>
        </w:rPr>
        <w:t>1、满足《中华人民共和国政府采购法》第二十二条规定；</w:t>
      </w:r>
    </w:p>
    <w:p>
      <w:pPr>
        <w:spacing w:line="360" w:lineRule="auto"/>
        <w:ind w:firstLine="480" w:firstLineChars="200"/>
        <w:jc w:val="left"/>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2、落实政府采购政策满足的资格要求：</w:t>
      </w:r>
    </w:p>
    <w:p>
      <w:pPr>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落实的节能环保、中小微型企业扶持（含支持监狱企业发展、促进残疾人就业）等相关政府采购政策；本项目专门面向中小微企业采购。</w:t>
      </w:r>
    </w:p>
    <w:p>
      <w:pPr>
        <w:spacing w:line="360" w:lineRule="auto"/>
        <w:ind w:firstLine="480" w:firstLineChars="200"/>
        <w:jc w:val="left"/>
        <w:rPr>
          <w:rFonts w:ascii="宋体" w:hAnsi="宋体" w:cs="宋体"/>
          <w:bCs/>
          <w:color w:val="000000" w:themeColor="text1"/>
          <w:sz w:val="24"/>
          <w:szCs w:val="24"/>
          <w:lang w:val="zh-CN"/>
          <w14:textFill>
            <w14:solidFill>
              <w14:schemeClr w14:val="tx1"/>
            </w14:solidFill>
          </w14:textFill>
        </w:rPr>
      </w:pPr>
      <w:bookmarkStart w:id="4" w:name="_Toc9053"/>
      <w:bookmarkStart w:id="5" w:name="_Toc24645"/>
      <w:bookmarkStart w:id="6" w:name="_Toc3858"/>
      <w:bookmarkStart w:id="7" w:name="_Toc10108"/>
      <w:bookmarkStart w:id="8" w:name="_Toc25264"/>
      <w:r>
        <w:rPr>
          <w:rFonts w:hint="eastAsia" w:ascii="宋体" w:hAnsi="宋体" w:cs="宋体"/>
          <w:bCs/>
          <w:color w:val="000000" w:themeColor="text1"/>
          <w:sz w:val="24"/>
          <w:szCs w:val="24"/>
          <w14:textFill>
            <w14:solidFill>
              <w14:schemeClr w14:val="tx1"/>
            </w14:solidFill>
          </w14:textFill>
        </w:rPr>
        <w:t>3、</w:t>
      </w:r>
      <w:r>
        <w:rPr>
          <w:rFonts w:hint="eastAsia" w:ascii="宋体" w:hAnsi="宋体" w:cs="宋体"/>
          <w:bCs/>
          <w:color w:val="000000" w:themeColor="text1"/>
          <w:sz w:val="24"/>
          <w:szCs w:val="24"/>
          <w:lang w:val="zh-CN"/>
          <w14:textFill>
            <w14:solidFill>
              <w14:schemeClr w14:val="tx1"/>
            </w14:solidFill>
          </w14:textFill>
        </w:rPr>
        <w:t>本项目的特定资格要求：</w:t>
      </w:r>
    </w:p>
    <w:bookmarkEnd w:id="4"/>
    <w:bookmarkEnd w:id="5"/>
    <w:bookmarkEnd w:id="6"/>
    <w:bookmarkEnd w:id="7"/>
    <w:bookmarkEnd w:id="8"/>
    <w:p>
      <w:pPr>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3.1投标人具有独立承担民事责任的能力，具有有效的营业执照；</w:t>
      </w:r>
    </w:p>
    <w:p>
      <w:pPr>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3.2投标人具有自然资源（原国土资源）主管部门颁发的地质灾害防治监理甲级资质；</w:t>
      </w:r>
    </w:p>
    <w:p>
      <w:pPr>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3.3投标人须提供2022年经审计合格的财务审计报告（若为新成立企业，则以企业成立年月份向后推算，提供相应年月份的财务报表或银行出具的资信证明）；</w:t>
      </w:r>
    </w:p>
    <w:p>
      <w:pPr>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3.4投标人具有依法缴纳税收的良好记录；（提供2023年1月以来连续3个月依法缴纳税收的证明材料）；</w:t>
      </w:r>
    </w:p>
    <w:p>
      <w:pPr>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3.5参加政府采购活动近三年内，在经营活动中没有重大违法记录(需提供具有法定代表人签字的承诺书并对真实性负责，格式自拟)；</w:t>
      </w:r>
    </w:p>
    <w:p>
      <w:pPr>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3.6未被列入“中国执行信息公开网（http://zxgk.court.gov.cn）”网站的 “失信被执行人”和“信用中国（www.creditchina.gov.cn）”网站的“重大税收违法失信主体”及中国政府采购网（www.ccgp.gov.cn）的“政府采购严重违法失信行为记录名单”以上各页面截图；如有不良信用记录（包括行政主管部门公布的弄虚作假等的不良行为）其投标申请将被拒绝；投标人须提供上述三个网站相关栏目公告发布之日起信用记录查询截图</w:t>
      </w:r>
      <w:r>
        <w:rPr>
          <w:rFonts w:hint="eastAsia" w:ascii="宋体" w:hAnsi="宋体" w:cs="宋体"/>
          <w:bCs/>
          <w:iCs/>
          <w:kern w:val="44"/>
          <w:sz w:val="24"/>
          <w:szCs w:val="24"/>
          <w:lang w:bidi="en-US"/>
        </w:rPr>
        <w:t>；</w:t>
      </w:r>
      <w:r>
        <w:rPr>
          <w:rFonts w:hint="eastAsia" w:ascii="宋体" w:hAnsi="宋体" w:cs="宋体"/>
          <w:bCs/>
          <w:color w:val="000000" w:themeColor="text1"/>
          <w:sz w:val="24"/>
          <w:szCs w:val="24"/>
          <w14:textFill>
            <w14:solidFill>
              <w14:schemeClr w14:val="tx1"/>
            </w14:solidFill>
          </w14:textFill>
        </w:rPr>
        <w:t xml:space="preserve">     </w:t>
      </w:r>
    </w:p>
    <w:p>
      <w:pPr>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3.7本项目不接受联合体投标。</w:t>
      </w:r>
    </w:p>
    <w:p>
      <w:pPr>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三、获取招标文件</w:t>
      </w:r>
    </w:p>
    <w:p>
      <w:pPr>
        <w:spacing w:line="360" w:lineRule="auto"/>
        <w:rPr>
          <w:rFonts w:ascii="宋体" w:hAnsi="宋体" w:cs="宋体"/>
          <w:bCs/>
          <w:color w:val="000000" w:themeColor="text1"/>
          <w:sz w:val="24"/>
          <w:szCs w:val="24"/>
          <w14:textFill>
            <w14:solidFill>
              <w14:schemeClr w14:val="tx1"/>
            </w14:solidFill>
          </w14:textFill>
        </w:rPr>
      </w:pPr>
      <w:bookmarkStart w:id="9" w:name="_Toc10148"/>
      <w:bookmarkStart w:id="10" w:name="_Toc24607"/>
      <w:r>
        <w:rPr>
          <w:rFonts w:hint="eastAsia" w:ascii="宋体" w:hAnsi="宋体" w:cs="宋体"/>
          <w:bCs/>
          <w:color w:val="000000" w:themeColor="text1"/>
          <w:sz w:val="24"/>
          <w:szCs w:val="24"/>
          <w14:textFill>
            <w14:solidFill>
              <w14:schemeClr w14:val="tx1"/>
            </w14:solidFill>
          </w14:textFill>
        </w:rPr>
        <w:t xml:space="preserve">    1、时间：2024年04月03日至2024年04月28日，每天上午00:00至12:00，下午12:00至23:59（北京时间，法定节假日除外）</w:t>
      </w:r>
    </w:p>
    <w:p>
      <w:pPr>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2、地点：全国公共资源交易平台（河南省·汝州市）公共资源交易系统（www.rzggzy.com）。</w:t>
      </w:r>
    </w:p>
    <w:p>
      <w:pPr>
        <w:spacing w:line="336"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3、方式：①供应商须在全国公共资源交易平台（河南省·汝州市）注册入库。操作说明：</w:t>
      </w:r>
      <w:r>
        <w:rPr>
          <w:rFonts w:hint="eastAsia" w:ascii="宋体" w:hAnsi="宋体" w:cs="宋体"/>
          <w:bCs/>
          <w:color w:val="000000" w:themeColor="text1"/>
          <w:sz w:val="24"/>
          <w:szCs w:val="24"/>
          <w14:textFill>
            <w14:solidFill>
              <w14:schemeClr w14:val="tx1"/>
            </w14:solidFill>
          </w14:textFill>
        </w:rPr>
        <w:fldChar w:fldCharType="begin"/>
      </w:r>
      <w:r>
        <w:rPr>
          <w:rFonts w:hint="eastAsia" w:ascii="宋体" w:hAnsi="宋体" w:cs="宋体"/>
          <w:bCs/>
          <w:color w:val="000000" w:themeColor="text1"/>
          <w:sz w:val="24"/>
          <w:szCs w:val="24"/>
          <w14:textFill>
            <w14:solidFill>
              <w14:schemeClr w14:val="tx1"/>
            </w14:solidFill>
          </w14:textFill>
        </w:rPr>
        <w:instrText xml:space="preserve"> HYPERLINK "http://www.rzggzy.com/HNRZ/ServiceInteraction/indexMore.do?id=fdd6c8fc-bb0a-4c07-8715-d29609fc7a80" </w:instrText>
      </w:r>
      <w:r>
        <w:rPr>
          <w:rFonts w:hint="eastAsia" w:ascii="宋体" w:hAnsi="宋体" w:cs="宋体"/>
          <w:bCs/>
          <w:color w:val="000000" w:themeColor="text1"/>
          <w:sz w:val="24"/>
          <w:szCs w:val="24"/>
          <w14:textFill>
            <w14:solidFill>
              <w14:schemeClr w14:val="tx1"/>
            </w14:solidFill>
          </w14:textFill>
        </w:rPr>
        <w:fldChar w:fldCharType="separate"/>
      </w:r>
      <w:r>
        <w:rPr>
          <w:rFonts w:hint="eastAsia" w:ascii="宋体" w:hAnsi="宋体" w:cs="宋体"/>
          <w:bCs/>
          <w:color w:val="000000" w:themeColor="text1"/>
          <w:sz w:val="24"/>
          <w:szCs w:val="24"/>
          <w14:textFill>
            <w14:solidFill>
              <w14:schemeClr w14:val="tx1"/>
            </w14:solidFill>
          </w14:textFill>
        </w:rPr>
        <w:t>http://www.rzggzy.com/HNRZ/ServiceInteraction/indexMore.do?id=fdd6c8fc-bb0a-4c07-8715-d29609fc7a80</w:t>
      </w:r>
      <w:r>
        <w:rPr>
          <w:rFonts w:hint="eastAsia" w:ascii="宋体" w:hAnsi="宋体" w:cs="宋体"/>
          <w:bCs/>
          <w:color w:val="000000" w:themeColor="text1"/>
          <w:sz w:val="24"/>
          <w:szCs w:val="24"/>
          <w14:textFill>
            <w14:solidFill>
              <w14:schemeClr w14:val="tx1"/>
            </w14:solidFill>
          </w14:textFill>
        </w:rPr>
        <w:fldChar w:fldCharType="end"/>
      </w:r>
      <w:r>
        <w:rPr>
          <w:rFonts w:hint="eastAsia" w:ascii="宋体" w:hAnsi="宋体" w:cs="宋体"/>
          <w:bCs/>
          <w:color w:val="000000" w:themeColor="text1"/>
          <w:sz w:val="24"/>
          <w:szCs w:val="24"/>
          <w14:textFill>
            <w14:solidFill>
              <w14:schemeClr w14:val="tx1"/>
            </w14:solidFill>
          </w14:textFill>
        </w:rPr>
        <w:t>），并办理‘数字证书（CA）’；②登录交易系统选择进入计划投标的项目，下载电子采购文件（gef格式），或者访问网站‘交易信息’找到并点开项目招标或采购公告，下载电子招标采购文件（gef格式）；③电子采购文件（gef格式）使用‘电子投标人工具箱’打开，电子投标人工具箱的安装包下载和使用说明见网站‘办事服务’-‘下载专区’和‘系统操作指南’。</w:t>
      </w:r>
    </w:p>
    <w:p>
      <w:pPr>
        <w:spacing w:line="336"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4、售价：0元</w:t>
      </w:r>
    </w:p>
    <w:p>
      <w:pPr>
        <w:spacing w:line="336"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四、投标文件递交截止时间及地点</w:t>
      </w:r>
      <w:bookmarkEnd w:id="9"/>
      <w:bookmarkEnd w:id="10"/>
    </w:p>
    <w:p>
      <w:pPr>
        <w:spacing w:line="336" w:lineRule="auto"/>
        <w:ind w:firstLine="480" w:firstLineChars="200"/>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时间：2024年</w:t>
      </w:r>
      <w:r>
        <w:rPr>
          <w:rFonts w:hint="eastAsia" w:ascii="宋体" w:hAnsi="宋体" w:cs="宋体"/>
          <w:bCs/>
          <w:color w:val="000000" w:themeColor="text1"/>
          <w:sz w:val="24"/>
          <w:szCs w:val="24"/>
          <w:u w:val="single"/>
          <w14:textFill>
            <w14:solidFill>
              <w14:schemeClr w14:val="tx1"/>
            </w14:solidFill>
          </w14:textFill>
        </w:rPr>
        <w:t xml:space="preserve"> 04 </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u w:val="single"/>
          <w14:textFill>
            <w14:solidFill>
              <w14:schemeClr w14:val="tx1"/>
            </w14:solidFill>
          </w14:textFill>
        </w:rPr>
        <w:t xml:space="preserve"> 29 </w:t>
      </w:r>
      <w:r>
        <w:rPr>
          <w:rFonts w:hint="eastAsia" w:ascii="宋体" w:hAnsi="宋体" w:cs="宋体"/>
          <w:bCs/>
          <w:color w:val="000000" w:themeColor="text1"/>
          <w:sz w:val="24"/>
          <w:szCs w:val="24"/>
          <w14:textFill>
            <w14:solidFill>
              <w14:schemeClr w14:val="tx1"/>
            </w14:solidFill>
          </w14:textFill>
        </w:rPr>
        <w:t>日8时30分（北京时间）</w:t>
      </w:r>
    </w:p>
    <w:p>
      <w:pPr>
        <w:spacing w:line="336" w:lineRule="auto"/>
        <w:ind w:firstLine="480" w:firstLineChars="200"/>
        <w:rPr>
          <w:color w:val="000000" w:themeColor="text1"/>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地点：全国公共资源交易平台（河南省·汝州市）电子交易系统上传</w:t>
      </w:r>
    </w:p>
    <w:p>
      <w:pPr>
        <w:spacing w:line="336" w:lineRule="auto"/>
        <w:rPr>
          <w:rFonts w:ascii="宋体" w:hAnsi="宋体" w:cs="宋体"/>
          <w:b/>
          <w:color w:val="000000" w:themeColor="text1"/>
          <w:sz w:val="24"/>
          <w:szCs w:val="24"/>
          <w14:textFill>
            <w14:solidFill>
              <w14:schemeClr w14:val="tx1"/>
            </w14:solidFill>
          </w14:textFill>
        </w:rPr>
      </w:pPr>
      <w:bookmarkStart w:id="11" w:name="_Toc4171"/>
      <w:bookmarkStart w:id="12" w:name="_Toc20539"/>
      <w:r>
        <w:rPr>
          <w:rFonts w:hint="eastAsia" w:ascii="宋体" w:hAnsi="宋体" w:cs="宋体"/>
          <w:b/>
          <w:color w:val="000000" w:themeColor="text1"/>
          <w:sz w:val="24"/>
          <w:szCs w:val="24"/>
          <w14:textFill>
            <w14:solidFill>
              <w14:schemeClr w14:val="tx1"/>
            </w14:solidFill>
          </w14:textFill>
        </w:rPr>
        <w:t>五、开标时间及地点</w:t>
      </w:r>
      <w:bookmarkEnd w:id="11"/>
      <w:bookmarkEnd w:id="12"/>
    </w:p>
    <w:p>
      <w:pPr>
        <w:spacing w:line="336" w:lineRule="auto"/>
        <w:ind w:firstLine="480" w:firstLineChars="200"/>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时间：2024年</w:t>
      </w:r>
      <w:r>
        <w:rPr>
          <w:rFonts w:hint="eastAsia" w:ascii="宋体" w:hAnsi="宋体" w:cs="宋体"/>
          <w:bCs/>
          <w:color w:val="000000" w:themeColor="text1"/>
          <w:sz w:val="24"/>
          <w:szCs w:val="24"/>
          <w:u w:val="single"/>
          <w14:textFill>
            <w14:solidFill>
              <w14:schemeClr w14:val="tx1"/>
            </w14:solidFill>
          </w14:textFill>
        </w:rPr>
        <w:t xml:space="preserve"> 04 </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u w:val="single"/>
          <w14:textFill>
            <w14:solidFill>
              <w14:schemeClr w14:val="tx1"/>
            </w14:solidFill>
          </w14:textFill>
        </w:rPr>
        <w:t xml:space="preserve"> 29 </w:t>
      </w:r>
      <w:r>
        <w:rPr>
          <w:rFonts w:hint="eastAsia" w:ascii="宋体" w:hAnsi="宋体" w:cs="宋体"/>
          <w:bCs/>
          <w:color w:val="000000" w:themeColor="text1"/>
          <w:sz w:val="24"/>
          <w:szCs w:val="24"/>
          <w14:textFill>
            <w14:solidFill>
              <w14:schemeClr w14:val="tx1"/>
            </w14:solidFill>
          </w14:textFill>
        </w:rPr>
        <w:t>日8时30分（北京时间）</w:t>
      </w:r>
    </w:p>
    <w:p>
      <w:pPr>
        <w:spacing w:line="336" w:lineRule="auto"/>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地点：汝州市公共资源交易中心</w:t>
      </w:r>
      <w:r>
        <w:rPr>
          <w:rFonts w:hint="eastAsia" w:ascii="宋体" w:hAnsi="宋体" w:cs="宋体"/>
          <w:bCs/>
          <w:color w:val="000000" w:themeColor="text1"/>
          <w:sz w:val="24"/>
          <w:szCs w:val="24"/>
          <w:u w:val="single"/>
          <w14:textFill>
            <w14:solidFill>
              <w14:schemeClr w14:val="tx1"/>
            </w14:solidFill>
          </w14:textFill>
        </w:rPr>
        <w:t xml:space="preserve"> 301 </w:t>
      </w:r>
      <w:r>
        <w:rPr>
          <w:rFonts w:hint="eastAsia" w:ascii="宋体" w:hAnsi="宋体" w:cs="宋体"/>
          <w:bCs/>
          <w:color w:val="000000" w:themeColor="text1"/>
          <w:sz w:val="24"/>
          <w:szCs w:val="24"/>
          <w14:textFill>
            <w14:solidFill>
              <w14:schemeClr w14:val="tx1"/>
            </w14:solidFill>
          </w14:textFill>
        </w:rPr>
        <w:t>开标室</w:t>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AUTOTEXT  input33 \* MERGEFORMAT </w:instrText>
      </w:r>
      <w:r>
        <w:rPr>
          <w:rFonts w:hint="eastAsia" w:ascii="宋体" w:hAnsi="宋体" w:cs="宋体"/>
          <w:color w:val="000000" w:themeColor="text1"/>
          <w:sz w:val="24"/>
          <w:szCs w:val="24"/>
          <w14:textFill>
            <w14:solidFill>
              <w14:schemeClr w14:val="tx1"/>
            </w14:solidFill>
          </w14:textFill>
        </w:rPr>
        <w:fldChar w:fldCharType="end"/>
      </w:r>
    </w:p>
    <w:p>
      <w:pPr>
        <w:spacing w:line="336"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六、发布招标公告的媒介及招标公告期限：</w:t>
      </w:r>
    </w:p>
    <w:p>
      <w:pPr>
        <w:spacing w:line="336" w:lineRule="auto"/>
        <w:ind w:firstLine="437"/>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本次招标公告同时在</w:t>
      </w:r>
      <w:r>
        <w:rPr>
          <w:rFonts w:hint="eastAsia" w:ascii="宋体" w:hAnsi="宋体" w:cs="宋体"/>
          <w:color w:val="000000" w:themeColor="text1"/>
          <w:sz w:val="24"/>
          <w:szCs w:val="24"/>
          <w:shd w:val="clear" w:color="auto" w:fill="FFFFFF"/>
          <w14:textFill>
            <w14:solidFill>
              <w14:schemeClr w14:val="tx1"/>
            </w14:solidFill>
          </w14:textFill>
        </w:rPr>
        <w:t>《河南省政府采购网》、《汝州市政府采购网》、《全国公共资源交易平台（河南省·汝州市）（http：//www.rzggzy.com）》</w:t>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AUTOTEXT  input38 \* MERGEFORMAT </w:instrTex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上发布。</w:t>
      </w:r>
    </w:p>
    <w:p>
      <w:pPr>
        <w:spacing w:line="336" w:lineRule="auto"/>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招标公告期限为五个工作日。</w:t>
      </w:r>
    </w:p>
    <w:p>
      <w:pPr>
        <w:pStyle w:val="15"/>
        <w:numPr>
          <w:ilvl w:val="0"/>
          <w:numId w:val="5"/>
        </w:numPr>
        <w:shd w:val="clear" w:color="auto" w:fill="FFFFFF"/>
        <w:spacing w:before="0" w:beforeAutospacing="0" w:after="0" w:afterAutospacing="0" w:line="336" w:lineRule="auto"/>
        <w:jc w:val="both"/>
        <w:rPr>
          <w:rFonts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其他补充事宜</w:t>
      </w:r>
    </w:p>
    <w:p>
      <w:pPr>
        <w:pStyle w:val="14"/>
        <w:numPr>
          <w:ilvl w:val="0"/>
          <w:numId w:val="6"/>
        </w:numPr>
        <w:spacing w:after="0" w:line="336"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受理投诉监督管理部门：</w:t>
      </w:r>
    </w:p>
    <w:p>
      <w:pPr>
        <w:pStyle w:val="14"/>
        <w:spacing w:after="0" w:line="336" w:lineRule="auto"/>
        <w:rPr>
          <w:rFonts w:cs="宋体"/>
          <w:color w:val="000000" w:themeColor="text1"/>
          <w:sz w:val="24"/>
          <w:szCs w:val="24"/>
          <w:lang w:val="zh-CN"/>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 </w:t>
      </w:r>
      <w:r>
        <w:rPr>
          <w:rFonts w:hint="eastAsia" w:cs="宋体"/>
          <w:b/>
          <w:bCs/>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汝州市财政局 联系人：王女士     </w:t>
      </w:r>
      <w:r>
        <w:rPr>
          <w:rFonts w:hint="eastAsia" w:cs="宋体"/>
          <w:color w:val="000000" w:themeColor="text1"/>
          <w:sz w:val="24"/>
          <w:szCs w:val="24"/>
          <w:lang w:val="zh-CN"/>
          <w14:textFill>
            <w14:solidFill>
              <w14:schemeClr w14:val="tx1"/>
            </w14:solidFill>
          </w14:textFill>
        </w:rPr>
        <w:t>联系电话：0375-6862799</w:t>
      </w:r>
    </w:p>
    <w:p>
      <w:pPr>
        <w:pStyle w:val="14"/>
        <w:spacing w:after="0" w:line="336"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       </w:t>
      </w:r>
      <w:r>
        <w:rPr>
          <w:rFonts w:hint="eastAsia" w:cs="宋体"/>
          <w:color w:val="000000" w:themeColor="text1"/>
          <w:sz w:val="24"/>
          <w:szCs w:val="24"/>
          <w:lang w:val="zh-CN"/>
          <w14:textFill>
            <w14:solidFill>
              <w14:schemeClr w14:val="tx1"/>
            </w14:solidFill>
          </w14:textFill>
        </w:rPr>
        <w:t>邮箱地址</w:t>
      </w:r>
      <w:r>
        <w:rPr>
          <w:rFonts w:hint="eastAsia" w:cs="宋体"/>
          <w:color w:val="000000" w:themeColor="text1"/>
          <w:sz w:val="24"/>
          <w:szCs w:val="24"/>
          <w14:textFill>
            <w14:solidFill>
              <w14:schemeClr w14:val="tx1"/>
            </w14:solidFill>
          </w14:textFill>
        </w:rPr>
        <w:t>：</w:t>
      </w:r>
      <w:r>
        <w:fldChar w:fldCharType="begin"/>
      </w:r>
      <w:r>
        <w:instrText xml:space="preserve"> HYPERLINK "mailto:rzcgb406@163.com" </w:instrText>
      </w:r>
      <w:r>
        <w:fldChar w:fldCharType="separate"/>
      </w:r>
      <w:r>
        <w:rPr>
          <w:rStyle w:val="21"/>
          <w:rFonts w:hint="eastAsia" w:cs="宋体"/>
          <w:color w:val="000000" w:themeColor="text1"/>
          <w:sz w:val="24"/>
          <w:szCs w:val="24"/>
          <w14:textFill>
            <w14:solidFill>
              <w14:schemeClr w14:val="tx1"/>
            </w14:solidFill>
          </w14:textFill>
        </w:rPr>
        <w:t>rzcgb406@163.com</w:t>
      </w:r>
      <w:r>
        <w:rPr>
          <w:rStyle w:val="21"/>
          <w:rFonts w:hint="eastAsia" w:cs="宋体"/>
          <w:color w:val="000000" w:themeColor="text1"/>
          <w:sz w:val="24"/>
          <w:szCs w:val="24"/>
          <w14:textFill>
            <w14:solidFill>
              <w14:schemeClr w14:val="tx1"/>
            </w14:solidFill>
          </w14:textFill>
        </w:rPr>
        <w:fldChar w:fldCharType="end"/>
      </w:r>
    </w:p>
    <w:p>
      <w:pPr>
        <w:pStyle w:val="14"/>
        <w:spacing w:after="0" w:line="336" w:lineRule="auto"/>
        <w:rPr>
          <w:rFonts w:cs="宋体"/>
          <w:color w:val="000000" w:themeColor="text1"/>
          <w:sz w:val="24"/>
          <w:szCs w:val="24"/>
          <w:lang w:val="zh-CN"/>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       </w:t>
      </w:r>
      <w:r>
        <w:rPr>
          <w:rFonts w:hint="eastAsia" w:cs="宋体"/>
          <w:color w:val="000000" w:themeColor="text1"/>
          <w:sz w:val="24"/>
          <w:szCs w:val="24"/>
          <w:lang w:val="zh-CN"/>
          <w14:textFill>
            <w14:solidFill>
              <w14:schemeClr w14:val="tx1"/>
            </w14:solidFill>
          </w14:textFill>
        </w:rPr>
        <w:t>联系地址：汝州市望嵩中路 116 号</w:t>
      </w:r>
    </w:p>
    <w:p>
      <w:pPr>
        <w:pStyle w:val="14"/>
        <w:spacing w:after="0" w:line="336"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    2、投标人在主体诚信库中自行上传企业相关资质、业绩等证明材料，并自行承担真伪责任。投标人主体诚信库信息作为资格审查和评标依据，在中心网站予以公示接受社会监督。</w:t>
      </w:r>
    </w:p>
    <w:p>
      <w:pPr>
        <w:pStyle w:val="14"/>
        <w:spacing w:after="0" w:line="336" w:lineRule="auto"/>
        <w:ind w:firstLine="480" w:firstLineChars="200"/>
        <w:rPr>
          <w:rFonts w:cs="宋体"/>
          <w:color w:val="000000" w:themeColor="text1"/>
          <w:sz w:val="24"/>
          <w:szCs w:val="24"/>
          <w:lang w:val="zh-CN"/>
          <w14:textFill>
            <w14:solidFill>
              <w14:schemeClr w14:val="tx1"/>
            </w14:solidFill>
          </w14:textFill>
        </w:rPr>
      </w:pPr>
      <w:r>
        <w:rPr>
          <w:rFonts w:hint="eastAsia" w:cs="宋体"/>
          <w:color w:val="000000" w:themeColor="text1"/>
          <w:sz w:val="24"/>
          <w:szCs w:val="24"/>
          <w14:textFill>
            <w14:solidFill>
              <w14:schemeClr w14:val="tx1"/>
            </w14:solidFill>
          </w14:textFill>
        </w:rPr>
        <w:t>3</w:t>
      </w:r>
      <w:r>
        <w:rPr>
          <w:rFonts w:hint="eastAsia" w:cs="宋体"/>
          <w:color w:val="000000" w:themeColor="text1"/>
          <w:sz w:val="24"/>
          <w:szCs w:val="24"/>
          <w:lang w:val="zh-CN"/>
          <w14:textFill>
            <w14:solidFill>
              <w14:schemeClr w14:val="tx1"/>
            </w14:solidFill>
          </w14:textFill>
        </w:rPr>
        <w:t>、本项目采用“不见面”开标方式，</w:t>
      </w:r>
      <w:r>
        <w:rPr>
          <w:rFonts w:hint="eastAsia" w:cs="宋体"/>
          <w:color w:val="000000" w:themeColor="text1"/>
          <w:sz w:val="24"/>
          <w:szCs w:val="24"/>
          <w14:textFill>
            <w14:solidFill>
              <w14:schemeClr w14:val="tx1"/>
            </w14:solidFill>
          </w14:textFill>
        </w:rPr>
        <w:t>投标人</w:t>
      </w:r>
      <w:r>
        <w:rPr>
          <w:rFonts w:hint="eastAsia" w:cs="宋体"/>
          <w:color w:val="000000" w:themeColor="text1"/>
          <w:sz w:val="24"/>
          <w:szCs w:val="24"/>
          <w:lang w:val="zh-CN"/>
          <w14:textFill>
            <w14:solidFill>
              <w14:schemeClr w14:val="tx1"/>
            </w14:solidFill>
          </w14:textFill>
        </w:rPr>
        <w:t>只需要递交电子投标文件，无需到达现场提交原件资料、无需到现场参加开标会议活动。</w:t>
      </w:r>
    </w:p>
    <w:p>
      <w:pPr>
        <w:pStyle w:val="14"/>
        <w:spacing w:after="0" w:line="336" w:lineRule="auto"/>
        <w:ind w:firstLine="480" w:firstLineChars="200"/>
        <w:rPr>
          <w:rFonts w:ascii="宋体" w:hAnsi="宋体" w:cs="宋体"/>
          <w:b/>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w:t>
      </w:r>
      <w:r>
        <w:rPr>
          <w:rFonts w:hint="eastAsia" w:cs="宋体"/>
          <w:color w:val="000000" w:themeColor="text1"/>
          <w:sz w:val="24"/>
          <w:szCs w:val="24"/>
          <w:lang w:val="zh-CN"/>
          <w14:textFill>
            <w14:solidFill>
              <w14:schemeClr w14:val="tx1"/>
            </w14:solidFill>
          </w14:textFill>
        </w:rPr>
        <w:t>、投标人应当在开标会议活动开始时间前,登录开标会议大厅,</w:t>
      </w:r>
      <w:r>
        <w:rPr>
          <w:rFonts w:ascii="Microsoft Yahei Font" w:hAnsi="Microsoft Yahei Font" w:eastAsia="Microsoft Yahei Font" w:cs="Microsoft Yahei Font"/>
          <w:sz w:val="24"/>
          <w:szCs w:val="24"/>
        </w:rPr>
        <w:t>在线准时参加</w:t>
      </w:r>
      <w:r>
        <w:rPr>
          <w:rFonts w:hint="eastAsia" w:cs="宋体"/>
          <w:color w:val="000000" w:themeColor="text1"/>
          <w:sz w:val="24"/>
          <w:szCs w:val="24"/>
          <w:lang w:val="zh-CN"/>
          <w14:textFill>
            <w14:solidFill>
              <w14:schemeClr w14:val="tx1"/>
            </w14:solidFill>
          </w14:textFill>
        </w:rPr>
        <w:t>开标会议活动并进行电子开标招标文件解密。</w:t>
      </w:r>
    </w:p>
    <w:p>
      <w:pPr>
        <w:widowControl/>
        <w:spacing w:line="360" w:lineRule="auto"/>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八、凡对本次招标提出询问，请按照以下方式联系</w:t>
      </w:r>
    </w:p>
    <w:p>
      <w:pPr>
        <w:widowControl/>
        <w:spacing w:line="360" w:lineRule="auto"/>
        <w:ind w:firstLine="480" w:firstLineChars="200"/>
        <w:jc w:val="left"/>
        <w:rPr>
          <w:rFonts w:ascii="宋体" w:hAns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1. 采购人信息 </w:t>
      </w:r>
      <w:r>
        <w:rPr>
          <w:rFonts w:hint="eastAsia" w:ascii="宋体" w:hAnsi="宋体" w:cs="宋体"/>
          <w:b/>
          <w:color w:val="000000" w:themeColor="text1"/>
          <w:sz w:val="24"/>
          <w:szCs w:val="24"/>
          <w14:textFill>
            <w14:solidFill>
              <w14:schemeClr w14:val="tx1"/>
            </w14:solidFill>
          </w14:textFill>
        </w:rPr>
        <w:t xml:space="preserve">   </w:t>
      </w:r>
    </w:p>
    <w:p>
      <w:pPr>
        <w:widowControl/>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名    称：汝州市地质矿产保护发展中心     </w:t>
      </w:r>
    </w:p>
    <w:p>
      <w:pPr>
        <w:widowControl/>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 系 人：李先生   </w:t>
      </w:r>
    </w:p>
    <w:p>
      <w:pPr>
        <w:widowControl/>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联系方式：15093832333 </w:t>
      </w:r>
    </w:p>
    <w:p>
      <w:pPr>
        <w:widowControl/>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  址：</w:t>
      </w:r>
      <w:r>
        <w:rPr>
          <w:rFonts w:hint="eastAsia" w:ascii="宋体" w:hAnsi="宋体" w:cs="宋体"/>
          <w:bCs/>
          <w:color w:val="000000" w:themeColor="text1"/>
          <w:sz w:val="24"/>
          <w:szCs w:val="24"/>
          <w:lang w:val="zh-CN"/>
          <w14:textFill>
            <w14:solidFill>
              <w14:schemeClr w14:val="tx1"/>
            </w14:solidFill>
          </w14:textFill>
        </w:rPr>
        <w:t>汝州市风穴路</w:t>
      </w:r>
      <w:r>
        <w:rPr>
          <w:rFonts w:hint="eastAsia" w:ascii="宋体" w:hAnsi="宋体" w:cs="宋体"/>
          <w:bCs/>
          <w:color w:val="000000" w:themeColor="text1"/>
          <w:sz w:val="24"/>
          <w:szCs w:val="24"/>
          <w14:textFill>
            <w14:solidFill>
              <w14:schemeClr w14:val="tx1"/>
            </w14:solidFill>
          </w14:textFill>
        </w:rPr>
        <w:t>203号      </w:t>
      </w:r>
    </w:p>
    <w:p>
      <w:pPr>
        <w:widowControl/>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2.采购代理机构信息（如有）        </w:t>
      </w:r>
    </w:p>
    <w:p>
      <w:pPr>
        <w:widowControl/>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名    称：国泰信华工程咨询有限公司</w:t>
      </w:r>
    </w:p>
    <w:p>
      <w:pPr>
        <w:widowControl/>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联 系 人：</w:t>
      </w:r>
      <w:r>
        <w:rPr>
          <w:rFonts w:hint="eastAsia" w:ascii="宋体" w:hAnsi="宋体" w:cs="宋体"/>
          <w:color w:val="000000" w:themeColor="text1"/>
          <w:sz w:val="24"/>
          <w14:textFill>
            <w14:solidFill>
              <w14:schemeClr w14:val="tx1"/>
            </w14:solidFill>
          </w14:textFill>
        </w:rPr>
        <w:t>郭女士</w:t>
      </w:r>
      <w:r>
        <w:rPr>
          <w:rFonts w:hint="eastAsia" w:ascii="宋体" w:hAnsi="宋体" w:cs="宋体"/>
          <w:bCs/>
          <w:color w:val="000000" w:themeColor="text1"/>
          <w:sz w:val="24"/>
          <w:szCs w:val="24"/>
          <w14:textFill>
            <w14:solidFill>
              <w14:schemeClr w14:val="tx1"/>
            </w14:solidFill>
          </w14:textFill>
        </w:rPr>
        <w:t>   </w:t>
      </w:r>
    </w:p>
    <w:p>
      <w:pPr>
        <w:widowControl/>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联系方式：</w:t>
      </w:r>
      <w:r>
        <w:rPr>
          <w:rFonts w:hint="eastAsia" w:ascii="宋体" w:hAnsi="宋体" w:cs="宋体"/>
          <w:color w:val="000000" w:themeColor="text1"/>
          <w:kern w:val="0"/>
          <w:sz w:val="24"/>
          <w:lang w:bidi="ar"/>
          <w14:textFill>
            <w14:solidFill>
              <w14:schemeClr w14:val="tx1"/>
            </w14:solidFill>
          </w14:textFill>
        </w:rPr>
        <w:t>17337592227</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  址：郑州市高新技术开发区莲花街316号3幢6层22号</w:t>
      </w:r>
    </w:p>
    <w:p>
      <w:pPr>
        <w:pStyle w:val="4"/>
        <w:tabs>
          <w:tab w:val="clear" w:pos="945"/>
          <w:tab w:val="clear" w:pos="1155"/>
        </w:tabs>
        <w:spacing w:line="360" w:lineRule="auto"/>
        <w:ind w:left="0" w:leftChars="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3.项目联系方式  </w:t>
      </w:r>
    </w:p>
    <w:p>
      <w:pPr>
        <w:pStyle w:val="4"/>
        <w:tabs>
          <w:tab w:val="clear" w:pos="945"/>
          <w:tab w:val="clear" w:pos="1155"/>
        </w:tabs>
        <w:spacing w:line="360" w:lineRule="auto"/>
        <w:ind w:left="0" w:leftChars="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w:t>
      </w:r>
      <w:r>
        <w:rPr>
          <w:rFonts w:hint="eastAsia" w:ascii="宋体" w:hAnsi="宋体" w:cs="宋体"/>
          <w:color w:val="000000" w:themeColor="text1"/>
          <w:sz w:val="24"/>
          <w14:textFill>
            <w14:solidFill>
              <w14:schemeClr w14:val="tx1"/>
            </w14:solidFill>
          </w14:textFill>
        </w:rPr>
        <w:t>郭</w:t>
      </w:r>
      <w:r>
        <w:rPr>
          <w:rFonts w:hint="eastAsia" w:ascii="宋体" w:hAnsi="宋体" w:cs="宋体"/>
          <w:color w:val="000000" w:themeColor="text1"/>
          <w:sz w:val="24"/>
          <w:szCs w:val="24"/>
          <w14:textFill>
            <w14:solidFill>
              <w14:schemeClr w14:val="tx1"/>
            </w14:solidFill>
          </w14:textFill>
        </w:rPr>
        <w:t>女士</w:t>
      </w:r>
    </w:p>
    <w:p>
      <w:pPr>
        <w:widowControl/>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联系方式：</w:t>
      </w:r>
      <w:r>
        <w:rPr>
          <w:rFonts w:hint="eastAsia" w:ascii="宋体" w:hAnsi="宋体" w:cs="宋体"/>
          <w:color w:val="000000" w:themeColor="text1"/>
          <w:kern w:val="0"/>
          <w:sz w:val="24"/>
          <w:lang w:bidi="ar"/>
          <w14:textFill>
            <w14:solidFill>
              <w14:schemeClr w14:val="tx1"/>
            </w14:solidFill>
          </w14:textFill>
        </w:rPr>
        <w:t>17337592227</w:t>
      </w:r>
    </w:p>
    <w:p>
      <w:pPr>
        <w:widowControl/>
        <w:spacing w:line="360" w:lineRule="auto"/>
        <w:ind w:firstLine="480" w:firstLineChars="200"/>
        <w:jc w:val="left"/>
        <w:rPr>
          <w:rFonts w:hAnsi="宋体" w:cs="宋体"/>
          <w:bCs/>
          <w:color w:val="000000"/>
          <w:sz w:val="24"/>
          <w:szCs w:val="24"/>
        </w:rPr>
      </w:pPr>
    </w:p>
    <w:p>
      <w:pPr>
        <w:spacing w:before="120" w:after="120" w:line="360" w:lineRule="auto"/>
        <w:ind w:firstLine="480" w:firstLineChars="200"/>
        <w:rPr>
          <w:rFonts w:ascii="宋体" w:hAnsi="宋体" w:cs="宋体"/>
          <w:color w:val="000000"/>
          <w:sz w:val="24"/>
          <w:szCs w:val="24"/>
        </w:rPr>
      </w:pPr>
    </w:p>
    <w:p>
      <w:pPr>
        <w:pStyle w:val="16"/>
        <w:ind w:firstLine="240"/>
        <w:rPr>
          <w:rFonts w:ascii="宋体" w:hAnsi="宋体" w:cs="宋体"/>
          <w:color w:val="000000"/>
          <w:sz w:val="24"/>
          <w:szCs w:val="24"/>
        </w:rPr>
      </w:pPr>
    </w:p>
    <w:p>
      <w:pPr>
        <w:pStyle w:val="4"/>
        <w:ind w:firstLine="480"/>
        <w:rPr>
          <w:rFonts w:ascii="宋体" w:hAnsi="宋体" w:cs="宋体"/>
          <w:color w:val="000000"/>
          <w:sz w:val="24"/>
          <w:szCs w:val="24"/>
        </w:rPr>
      </w:pPr>
    </w:p>
    <w:p>
      <w:pPr>
        <w:spacing w:line="360" w:lineRule="auto"/>
        <w:ind w:firstLine="480" w:firstLineChars="200"/>
      </w:pPr>
      <w:r>
        <w:rPr>
          <w:rFonts w:hint="eastAsia" w:ascii="宋体" w:hAnsi="宋体" w:cs="宋体"/>
          <w:color w:val="000000"/>
          <w:sz w:val="24"/>
          <w:szCs w:val="24"/>
        </w:rPr>
        <w:t xml:space="preserve">                                       </w:t>
      </w:r>
    </w:p>
    <w:p>
      <w:pPr>
        <w:pStyle w:val="7"/>
        <w:keepNext w:val="0"/>
        <w:keepLines w:val="0"/>
        <w:jc w:val="center"/>
        <w:rPr>
          <w:b w:val="0"/>
        </w:rPr>
      </w:pPr>
    </w:p>
    <w:p/>
    <w:p>
      <w:pPr>
        <w:pStyle w:val="2"/>
      </w:pPr>
    </w:p>
    <w:p>
      <w:pPr>
        <w:pStyle w:val="3"/>
      </w:pPr>
    </w:p>
    <w:p/>
    <w:p>
      <w:pPr>
        <w:pStyle w:val="7"/>
        <w:keepNext w:val="0"/>
        <w:keepLines w:val="0"/>
        <w:rPr>
          <w:b w:val="0"/>
        </w:rPr>
      </w:pPr>
      <w:r>
        <w:rPr>
          <w:rFonts w:hint="eastAsia"/>
          <w:b w:val="0"/>
          <w:lang w:val="en-US"/>
        </w:rPr>
        <w:t xml:space="preserve">                  </w:t>
      </w:r>
      <w:r>
        <w:rPr>
          <w:rFonts w:hint="eastAsia"/>
          <w:b w:val="0"/>
        </w:rPr>
        <w:t>第二章  投标人须知</w:t>
      </w:r>
    </w:p>
    <w:bookmarkEnd w:id="3"/>
    <w:p>
      <w:pPr>
        <w:pStyle w:val="8"/>
        <w:keepNext w:val="0"/>
        <w:keepLines w:val="0"/>
        <w:spacing w:before="240" w:beforeLines="100" w:after="0" w:line="360" w:lineRule="auto"/>
        <w:jc w:val="center"/>
        <w:rPr>
          <w:rFonts w:ascii="黑体" w:eastAsia="黑体"/>
          <w:b w:val="0"/>
          <w:sz w:val="28"/>
          <w:szCs w:val="28"/>
        </w:rPr>
      </w:pPr>
      <w:bookmarkStart w:id="13" w:name="Book6"/>
      <w:r>
        <w:rPr>
          <w:rFonts w:hint="eastAsia" w:ascii="黑体" w:eastAsia="黑体"/>
          <w:b w:val="0"/>
          <w:sz w:val="28"/>
          <w:szCs w:val="28"/>
        </w:rPr>
        <w:t>投标人须知前附表</w:t>
      </w:r>
    </w:p>
    <w:bookmarkEnd w:id="13"/>
    <w:tbl>
      <w:tblPr>
        <w:tblStyle w:val="17"/>
        <w:tblW w:w="91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0"/>
        <w:gridCol w:w="129"/>
        <w:gridCol w:w="2792"/>
        <w:gridCol w:w="141"/>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序号</w:t>
            </w:r>
          </w:p>
        </w:tc>
        <w:tc>
          <w:tcPr>
            <w:tcW w:w="2792" w:type="dxa"/>
            <w:vAlign w:val="center"/>
          </w:tcPr>
          <w:p>
            <w:pPr>
              <w:jc w:val="center"/>
              <w:rPr>
                <w:rFonts w:ascii="宋体" w:hAnsi="宋体"/>
                <w:szCs w:val="21"/>
              </w:rPr>
            </w:pPr>
            <w:r>
              <w:rPr>
                <w:rFonts w:hint="eastAsia" w:ascii="宋体" w:hAnsi="宋体"/>
                <w:szCs w:val="21"/>
              </w:rPr>
              <w:t>条 款 名 称</w:t>
            </w:r>
          </w:p>
        </w:tc>
        <w:tc>
          <w:tcPr>
            <w:tcW w:w="5244" w:type="dxa"/>
            <w:gridSpan w:val="2"/>
            <w:vAlign w:val="center"/>
          </w:tcPr>
          <w:p>
            <w:pPr>
              <w:jc w:val="center"/>
              <w:rPr>
                <w:rFonts w:ascii="宋体" w:hAnsi="宋体"/>
                <w:szCs w:val="21"/>
              </w:rPr>
            </w:pPr>
            <w:r>
              <w:rPr>
                <w:rFonts w:hint="eastAsia" w:ascii="宋体" w:hAnsi="宋体"/>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1.1.4</w:t>
            </w:r>
          </w:p>
        </w:tc>
        <w:tc>
          <w:tcPr>
            <w:tcW w:w="2792" w:type="dxa"/>
            <w:vAlign w:val="center"/>
          </w:tcPr>
          <w:p>
            <w:pPr>
              <w:jc w:val="center"/>
              <w:rPr>
                <w:rFonts w:ascii="宋体" w:hAnsi="宋体"/>
                <w:szCs w:val="21"/>
              </w:rPr>
            </w:pPr>
            <w:r>
              <w:rPr>
                <w:rFonts w:hint="eastAsia" w:ascii="宋体" w:hAnsi="宋体"/>
                <w:szCs w:val="21"/>
              </w:rPr>
              <w:t>项目名称</w:t>
            </w:r>
          </w:p>
        </w:tc>
        <w:tc>
          <w:tcPr>
            <w:tcW w:w="5244" w:type="dxa"/>
            <w:gridSpan w:val="2"/>
            <w:vAlign w:val="center"/>
          </w:tcPr>
          <w:p>
            <w:pPr>
              <w:jc w:val="center"/>
              <w:rPr>
                <w:rFonts w:ascii="宋体" w:hAnsi="宋体"/>
                <w:szCs w:val="21"/>
              </w:rPr>
            </w:pPr>
            <w:r>
              <w:rPr>
                <w:rFonts w:hint="eastAsia" w:ascii="宋体" w:hAnsi="宋体" w:cs="宋体"/>
                <w:color w:val="000000"/>
                <w:kern w:val="0"/>
                <w:szCs w:val="21"/>
                <w:lang w:bidi="ar"/>
              </w:rPr>
              <w:t>汝州市陵头镇樊窑村东矿山生态修复工程监理项目</w:t>
            </w:r>
            <w:r>
              <w:rPr>
                <w:rFonts w:ascii="宋体" w:hAnsi="宋体"/>
                <w:szCs w:val="21"/>
              </w:rPr>
              <w:fldChar w:fldCharType="begin"/>
            </w:r>
            <w:r>
              <w:rPr>
                <w:rFonts w:ascii="宋体" w:hAnsi="宋体"/>
                <w:szCs w:val="21"/>
              </w:rPr>
              <w:instrText xml:space="preserve"> AUTOTEXT  input177 \* MERGEFORMAT </w:instrText>
            </w:r>
            <w:r>
              <w:rPr>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1.1.5</w:t>
            </w:r>
          </w:p>
        </w:tc>
        <w:tc>
          <w:tcPr>
            <w:tcW w:w="2792" w:type="dxa"/>
            <w:vAlign w:val="center"/>
          </w:tcPr>
          <w:p>
            <w:pPr>
              <w:jc w:val="center"/>
              <w:rPr>
                <w:rFonts w:ascii="宋体" w:hAnsi="宋体"/>
                <w:szCs w:val="21"/>
              </w:rPr>
            </w:pPr>
            <w:r>
              <w:rPr>
                <w:rFonts w:hint="eastAsia" w:ascii="宋体" w:hAnsi="宋体"/>
                <w:szCs w:val="21"/>
              </w:rPr>
              <w:t>建设地点</w:t>
            </w:r>
          </w:p>
        </w:tc>
        <w:tc>
          <w:tcPr>
            <w:tcW w:w="5244" w:type="dxa"/>
            <w:gridSpan w:val="2"/>
            <w:vAlign w:val="center"/>
          </w:tcPr>
          <w:p>
            <w:pPr>
              <w:jc w:val="center"/>
              <w:rPr>
                <w:rFonts w:ascii="宋体" w:hAnsi="宋体"/>
                <w:szCs w:val="21"/>
              </w:rPr>
            </w:pPr>
            <w:r>
              <w:rPr>
                <w:rFonts w:hint="eastAsia" w:ascii="宋体" w:hAnsi="宋体" w:cs="宋体"/>
                <w:szCs w:val="21"/>
              </w:rPr>
              <w:t>汝州市</w:t>
            </w:r>
            <w:r>
              <w:rPr>
                <w:rFonts w:ascii="宋体" w:hAnsi="宋体"/>
                <w:szCs w:val="21"/>
                <w:u w:val="single"/>
              </w:rPr>
              <w:fldChar w:fldCharType="begin"/>
            </w:r>
            <w:r>
              <w:rPr>
                <w:rFonts w:ascii="宋体" w:hAnsi="宋体"/>
                <w:szCs w:val="21"/>
                <w:u w:val="single"/>
              </w:rPr>
              <w:instrText xml:space="preserve"> AUTOTEXT  input178 \* MERGEFORMAT </w:instrText>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1.2.1</w:t>
            </w:r>
          </w:p>
        </w:tc>
        <w:tc>
          <w:tcPr>
            <w:tcW w:w="2792" w:type="dxa"/>
            <w:vAlign w:val="center"/>
          </w:tcPr>
          <w:p>
            <w:pPr>
              <w:jc w:val="center"/>
              <w:rPr>
                <w:rFonts w:ascii="宋体" w:hAnsi="宋体"/>
                <w:szCs w:val="21"/>
              </w:rPr>
            </w:pPr>
            <w:r>
              <w:rPr>
                <w:rFonts w:hint="eastAsia" w:ascii="宋体" w:hAnsi="宋体"/>
                <w:szCs w:val="21"/>
              </w:rPr>
              <w:t>资金来源</w:t>
            </w:r>
          </w:p>
        </w:tc>
        <w:tc>
          <w:tcPr>
            <w:tcW w:w="5244" w:type="dxa"/>
            <w:gridSpan w:val="2"/>
            <w:vAlign w:val="center"/>
          </w:tcPr>
          <w:p>
            <w:pPr>
              <w:jc w:val="center"/>
              <w:rPr>
                <w:rFonts w:ascii="宋体" w:hAnsi="宋体"/>
                <w:szCs w:val="21"/>
              </w:rPr>
            </w:pPr>
            <w:r>
              <w:rPr>
                <w:rFonts w:hint="eastAsia" w:ascii="宋体" w:hAnsi="宋体"/>
                <w:szCs w:val="21"/>
              </w:rPr>
              <w:t>自筹资金</w:t>
            </w:r>
            <w:r>
              <w:rPr>
                <w:rFonts w:ascii="宋体" w:hAnsi="宋体"/>
                <w:szCs w:val="21"/>
              </w:rPr>
              <w:fldChar w:fldCharType="begin"/>
            </w:r>
            <w:r>
              <w:rPr>
                <w:rFonts w:ascii="宋体" w:hAnsi="宋体"/>
                <w:szCs w:val="21"/>
              </w:rPr>
              <w:instrText xml:space="preserve"> AUTOTEXT  input183 \* MERGEFORMAT </w:instrText>
            </w:r>
            <w:r>
              <w:rPr>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1.2.2</w:t>
            </w:r>
          </w:p>
        </w:tc>
        <w:tc>
          <w:tcPr>
            <w:tcW w:w="2792" w:type="dxa"/>
            <w:vAlign w:val="center"/>
          </w:tcPr>
          <w:p>
            <w:pPr>
              <w:jc w:val="center"/>
              <w:rPr>
                <w:rFonts w:ascii="宋体" w:hAnsi="宋体"/>
                <w:szCs w:val="21"/>
              </w:rPr>
            </w:pPr>
            <w:r>
              <w:rPr>
                <w:rFonts w:hint="eastAsia" w:ascii="宋体" w:hAnsi="宋体"/>
                <w:szCs w:val="21"/>
              </w:rPr>
              <w:t>出资比例</w:t>
            </w:r>
          </w:p>
        </w:tc>
        <w:tc>
          <w:tcPr>
            <w:tcW w:w="5244" w:type="dxa"/>
            <w:gridSpan w:val="2"/>
            <w:vAlign w:val="center"/>
          </w:tcPr>
          <w:p>
            <w:pPr>
              <w:jc w:val="center"/>
              <w:rPr>
                <w:rFonts w:ascii="宋体" w:hAnsi="宋体"/>
                <w:szCs w:val="21"/>
              </w:rPr>
            </w:pPr>
            <w:r>
              <w:rPr>
                <w:rFonts w:ascii="宋体" w:hAnsi="宋体" w:cs="宋体"/>
                <w:color w:val="000000"/>
              </w:rPr>
              <w:t>100%</w:t>
            </w:r>
            <w:r>
              <w:rPr>
                <w:rFonts w:ascii="宋体" w:hAnsi="宋体"/>
                <w:szCs w:val="21"/>
              </w:rPr>
              <w:fldChar w:fldCharType="begin"/>
            </w:r>
            <w:r>
              <w:rPr>
                <w:rFonts w:ascii="宋体" w:hAnsi="宋体"/>
                <w:szCs w:val="21"/>
              </w:rPr>
              <w:instrText xml:space="preserve"> AUTOTEXT  input184 \* MERGEFORMAT </w:instrText>
            </w:r>
            <w:r>
              <w:rPr>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1.2.3</w:t>
            </w:r>
          </w:p>
        </w:tc>
        <w:tc>
          <w:tcPr>
            <w:tcW w:w="2792" w:type="dxa"/>
            <w:vAlign w:val="center"/>
          </w:tcPr>
          <w:p>
            <w:pPr>
              <w:jc w:val="center"/>
              <w:rPr>
                <w:rFonts w:ascii="宋体" w:hAnsi="宋体"/>
                <w:szCs w:val="21"/>
              </w:rPr>
            </w:pPr>
            <w:r>
              <w:rPr>
                <w:rFonts w:hint="eastAsia" w:ascii="宋体" w:hAnsi="宋体"/>
                <w:szCs w:val="21"/>
              </w:rPr>
              <w:t>资金落实情况</w:t>
            </w:r>
          </w:p>
        </w:tc>
        <w:tc>
          <w:tcPr>
            <w:tcW w:w="5244" w:type="dxa"/>
            <w:gridSpan w:val="2"/>
            <w:vAlign w:val="center"/>
          </w:tcPr>
          <w:p>
            <w:pPr>
              <w:jc w:val="center"/>
              <w:rPr>
                <w:rFonts w:ascii="宋体" w:hAnsi="宋体"/>
                <w:szCs w:val="21"/>
              </w:rPr>
            </w:pPr>
            <w:r>
              <w:rPr>
                <w:color w:val="000000"/>
              </w:rPr>
              <w:t>已落实</w:t>
            </w:r>
            <w:r>
              <w:rPr>
                <w:rFonts w:ascii="宋体" w:hAnsi="宋体"/>
                <w:szCs w:val="21"/>
              </w:rPr>
              <w:fldChar w:fldCharType="begin"/>
            </w:r>
            <w:r>
              <w:rPr>
                <w:rFonts w:ascii="宋体" w:hAnsi="宋体"/>
                <w:szCs w:val="21"/>
              </w:rPr>
              <w:instrText xml:space="preserve"> AUTOTEXT  input255 \* MERGEFORMAT </w:instrText>
            </w:r>
            <w:r>
              <w:rPr>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1.3.1</w:t>
            </w:r>
          </w:p>
        </w:tc>
        <w:tc>
          <w:tcPr>
            <w:tcW w:w="2792" w:type="dxa"/>
            <w:vAlign w:val="center"/>
          </w:tcPr>
          <w:p>
            <w:pPr>
              <w:jc w:val="center"/>
              <w:rPr>
                <w:rFonts w:ascii="宋体" w:hAnsi="宋体"/>
                <w:szCs w:val="21"/>
              </w:rPr>
            </w:pPr>
            <w:r>
              <w:rPr>
                <w:rFonts w:hint="eastAsia" w:ascii="宋体" w:hAnsi="宋体"/>
                <w:szCs w:val="21"/>
              </w:rPr>
              <w:t>招标范围</w:t>
            </w:r>
          </w:p>
        </w:tc>
        <w:tc>
          <w:tcPr>
            <w:tcW w:w="5244" w:type="dxa"/>
            <w:gridSpan w:val="2"/>
            <w:vAlign w:val="center"/>
          </w:tcPr>
          <w:p>
            <w:pPr>
              <w:jc w:val="center"/>
              <w:rPr>
                <w:rFonts w:ascii="宋体" w:hAnsi="宋体"/>
                <w:szCs w:val="21"/>
              </w:rPr>
            </w:pPr>
            <w:r>
              <w:rPr>
                <w:rFonts w:hint="eastAsia" w:ascii="宋体" w:hAnsi="宋体"/>
                <w:szCs w:val="21"/>
              </w:rPr>
              <w:t>生态环境修复工程监理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1.3.2</w:t>
            </w:r>
          </w:p>
        </w:tc>
        <w:tc>
          <w:tcPr>
            <w:tcW w:w="2792" w:type="dxa"/>
            <w:vAlign w:val="center"/>
          </w:tcPr>
          <w:p>
            <w:pPr>
              <w:jc w:val="center"/>
              <w:rPr>
                <w:rFonts w:ascii="宋体" w:hAnsi="宋体"/>
                <w:szCs w:val="21"/>
              </w:rPr>
            </w:pPr>
            <w:r>
              <w:rPr>
                <w:rFonts w:hint="eastAsia" w:ascii="宋体" w:hAnsi="宋体"/>
                <w:szCs w:val="21"/>
              </w:rPr>
              <w:t>计划工期</w:t>
            </w:r>
          </w:p>
        </w:tc>
        <w:tc>
          <w:tcPr>
            <w:tcW w:w="5244" w:type="dxa"/>
            <w:gridSpan w:val="2"/>
            <w:vAlign w:val="center"/>
          </w:tcPr>
          <w:p>
            <w:pPr>
              <w:jc w:val="center"/>
              <w:rPr>
                <w:rFonts w:ascii="宋体" w:hAnsi="宋体"/>
                <w:szCs w:val="21"/>
              </w:rPr>
            </w:pPr>
            <w:r>
              <w:rPr>
                <w:rFonts w:hint="eastAsia" w:ascii="宋体" w:hAnsi="宋体"/>
                <w:szCs w:val="21"/>
              </w:rPr>
              <w:t>施工阶段及保修阶段全过程的监理服务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90" w:type="dxa"/>
            <w:gridSpan w:val="3"/>
            <w:vAlign w:val="center"/>
          </w:tcPr>
          <w:p>
            <w:pPr>
              <w:jc w:val="center"/>
              <w:rPr>
                <w:rFonts w:ascii="宋体" w:hAnsi="宋体"/>
                <w:szCs w:val="21"/>
              </w:rPr>
            </w:pPr>
            <w:r>
              <w:rPr>
                <w:rFonts w:hint="eastAsia" w:ascii="宋体" w:hAnsi="宋体"/>
                <w:szCs w:val="21"/>
              </w:rPr>
              <w:t>1.3.3</w:t>
            </w:r>
          </w:p>
        </w:tc>
        <w:tc>
          <w:tcPr>
            <w:tcW w:w="2792" w:type="dxa"/>
            <w:vAlign w:val="center"/>
          </w:tcPr>
          <w:p>
            <w:pPr>
              <w:jc w:val="center"/>
              <w:rPr>
                <w:rFonts w:ascii="宋体" w:hAnsi="宋体"/>
                <w:szCs w:val="21"/>
              </w:rPr>
            </w:pPr>
            <w:r>
              <w:rPr>
                <w:rFonts w:hint="eastAsia" w:ascii="宋体" w:hAnsi="宋体"/>
                <w:szCs w:val="21"/>
              </w:rPr>
              <w:t>质量要求</w:t>
            </w:r>
          </w:p>
        </w:tc>
        <w:tc>
          <w:tcPr>
            <w:tcW w:w="5244" w:type="dxa"/>
            <w:gridSpan w:val="2"/>
            <w:vAlign w:val="center"/>
          </w:tcPr>
          <w:p>
            <w:pPr>
              <w:jc w:val="center"/>
              <w:rPr>
                <w:rFonts w:ascii="宋体" w:hAnsi="宋体"/>
                <w:szCs w:val="21"/>
              </w:rPr>
            </w:pPr>
            <w:r>
              <w:rPr>
                <w:rFonts w:hint="eastAsia" w:hAnsi="宋体"/>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1.4.1</w:t>
            </w:r>
          </w:p>
        </w:tc>
        <w:tc>
          <w:tcPr>
            <w:tcW w:w="2792" w:type="dxa"/>
            <w:vAlign w:val="center"/>
          </w:tcPr>
          <w:p>
            <w:pPr>
              <w:jc w:val="center"/>
              <w:rPr>
                <w:rFonts w:ascii="宋体" w:hAnsi="宋体"/>
                <w:szCs w:val="21"/>
              </w:rPr>
            </w:pPr>
            <w:r>
              <w:rPr>
                <w:rFonts w:hint="eastAsia" w:ascii="宋体" w:hAnsi="宋体"/>
                <w:szCs w:val="21"/>
              </w:rPr>
              <w:t>投标人资质条件</w:t>
            </w:r>
          </w:p>
        </w:tc>
        <w:tc>
          <w:tcPr>
            <w:tcW w:w="5244" w:type="dxa"/>
            <w:gridSpan w:val="2"/>
            <w:vAlign w:val="center"/>
          </w:tcPr>
          <w:p>
            <w:pPr>
              <w:pStyle w:val="9"/>
              <w:spacing w:line="300" w:lineRule="exact"/>
              <w:rPr>
                <w:lang w:val="zh-CN"/>
              </w:rPr>
            </w:pPr>
            <w:r>
              <w:rPr>
                <w:rFonts w:hint="eastAsia"/>
                <w:lang w:val="zh-CN"/>
              </w:rPr>
              <w:t>1、满足《中华人民共和国政府采购法》第二十二条规定；</w:t>
            </w:r>
          </w:p>
          <w:p>
            <w:pPr>
              <w:pStyle w:val="9"/>
              <w:spacing w:line="300" w:lineRule="exact"/>
              <w:rPr>
                <w:lang w:val="zh-CN"/>
              </w:rPr>
            </w:pPr>
            <w:r>
              <w:rPr>
                <w:rFonts w:hint="eastAsia"/>
                <w:lang w:val="zh-CN"/>
              </w:rPr>
              <w:t>2、落实政府采购政策满足的资格要求：</w:t>
            </w:r>
          </w:p>
          <w:p>
            <w:pPr>
              <w:pStyle w:val="9"/>
              <w:spacing w:line="300" w:lineRule="exact"/>
            </w:pPr>
            <w:r>
              <w:rPr>
                <w:rFonts w:hint="eastAsia"/>
              </w:rPr>
              <w:t xml:space="preserve"> 落实的节能环保、中小微型企业扶持（含支持监狱企业发展、促进残疾人就业）等相关政府采购政策；本项目专门面向中小微企业采购。</w:t>
            </w:r>
          </w:p>
          <w:p>
            <w:pPr>
              <w:pStyle w:val="9"/>
              <w:spacing w:line="300" w:lineRule="exact"/>
              <w:rPr>
                <w:lang w:val="zh-CN"/>
              </w:rPr>
            </w:pPr>
            <w:r>
              <w:rPr>
                <w:rFonts w:hint="eastAsia"/>
              </w:rPr>
              <w:t>3、</w:t>
            </w:r>
            <w:r>
              <w:rPr>
                <w:rFonts w:hint="eastAsia"/>
                <w:lang w:val="zh-CN"/>
              </w:rPr>
              <w:t>本项目的特定资格要求：</w:t>
            </w:r>
          </w:p>
          <w:p>
            <w:pPr>
              <w:pStyle w:val="9"/>
              <w:spacing w:line="300" w:lineRule="exact"/>
            </w:pPr>
            <w:r>
              <w:rPr>
                <w:rFonts w:hint="eastAsia"/>
              </w:rPr>
              <w:t>3.1投标人具有独立承担民事责任的能力，具有有效的营业执照；</w:t>
            </w:r>
          </w:p>
          <w:p>
            <w:pPr>
              <w:pStyle w:val="9"/>
              <w:spacing w:line="300" w:lineRule="exact"/>
            </w:pPr>
            <w:r>
              <w:rPr>
                <w:rFonts w:hint="eastAsia"/>
              </w:rPr>
              <w:t>3.2投标人具有自然资源（原国土资源）主管部门颁发的地质灾害防治监理甲级资质；</w:t>
            </w:r>
          </w:p>
          <w:p>
            <w:pPr>
              <w:pStyle w:val="9"/>
              <w:spacing w:line="300" w:lineRule="exact"/>
            </w:pPr>
            <w:r>
              <w:rPr>
                <w:rFonts w:hint="eastAsia"/>
              </w:rPr>
              <w:t>3.3投标人须提供2022年经审计合格的财务审计报告（若为新成立企业，则以企业成立年月份向后推算，提供相应年月份的财务报表或银行出具的资信证明）；</w:t>
            </w:r>
          </w:p>
          <w:p>
            <w:pPr>
              <w:pStyle w:val="9"/>
              <w:spacing w:line="300" w:lineRule="exact"/>
            </w:pPr>
            <w:r>
              <w:rPr>
                <w:rFonts w:hint="eastAsia"/>
              </w:rPr>
              <w:t>3.4投标人具有依法缴纳税收的良好记录；（提供2023年1月以来连续3个月依法缴纳税收的证明材料）；</w:t>
            </w:r>
          </w:p>
          <w:p>
            <w:pPr>
              <w:pStyle w:val="9"/>
              <w:spacing w:line="300" w:lineRule="exact"/>
            </w:pPr>
            <w:r>
              <w:rPr>
                <w:rFonts w:hint="eastAsia"/>
              </w:rPr>
              <w:t>3.5参加政府采购活动近三年内，在经营活动中没有重大违法记录(需提供具有法定代表人签字的承诺书并对真实性负责，格式自拟)；</w:t>
            </w:r>
          </w:p>
          <w:p>
            <w:pPr>
              <w:pStyle w:val="9"/>
              <w:spacing w:line="300" w:lineRule="exact"/>
            </w:pPr>
            <w:r>
              <w:rPr>
                <w:rFonts w:hint="eastAsia"/>
              </w:rPr>
              <w:t xml:space="preserve">3.6未被列入“中国执行信息公开网（http://zxgk.court.gov.cn）”网站的 “失信被执行人”和“信用中国（www.creditchina.gov.cn）”网站的“重大税收违法失信主体”及中国政府采购网（www.ccgp.gov.cn）的“政府采购严重违法失信行为记录名单”以上各页面截图；如有不良信用记录（包括行政主管部门公布的弄虚作假等的不良行为）其投标申请将被拒绝；投标人须提供上述三个网站相关栏目公告发布之日起信用记录查询截图；     </w:t>
            </w:r>
          </w:p>
          <w:p>
            <w:pPr>
              <w:pStyle w:val="9"/>
              <w:spacing w:line="300" w:lineRule="exact"/>
            </w:pPr>
            <w:r>
              <w:rPr>
                <w:rFonts w:hint="eastAsia"/>
              </w:rPr>
              <w:t>3.7本项目不接受联合体投标。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1.4.2</w:t>
            </w:r>
          </w:p>
        </w:tc>
        <w:tc>
          <w:tcPr>
            <w:tcW w:w="2792" w:type="dxa"/>
            <w:vAlign w:val="center"/>
          </w:tcPr>
          <w:p>
            <w:pPr>
              <w:jc w:val="center"/>
              <w:rPr>
                <w:rFonts w:ascii="宋体" w:hAnsi="宋体"/>
                <w:szCs w:val="21"/>
              </w:rPr>
            </w:pPr>
            <w:r>
              <w:rPr>
                <w:rFonts w:hint="eastAsia" w:ascii="宋体" w:hAnsi="宋体"/>
                <w:szCs w:val="21"/>
              </w:rPr>
              <w:t>是否接受联合体投标</w:t>
            </w:r>
          </w:p>
        </w:tc>
        <w:tc>
          <w:tcPr>
            <w:tcW w:w="5244" w:type="dxa"/>
            <w:gridSpan w:val="2"/>
            <w:vAlign w:val="center"/>
          </w:tcPr>
          <w:p>
            <w:pPr>
              <w:rPr>
                <w:rFonts w:ascii="宋体" w:hAnsi="宋体"/>
                <w:szCs w:val="21"/>
              </w:rPr>
            </w:pPr>
            <w:r>
              <w:rPr>
                <w:rFonts w:hint="eastAsia" w:ascii="宋体" w:hAnsi="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1.9.1</w:t>
            </w:r>
          </w:p>
        </w:tc>
        <w:tc>
          <w:tcPr>
            <w:tcW w:w="2792" w:type="dxa"/>
            <w:vAlign w:val="center"/>
          </w:tcPr>
          <w:p>
            <w:pPr>
              <w:jc w:val="center"/>
              <w:rPr>
                <w:rFonts w:ascii="宋体" w:hAnsi="宋体"/>
                <w:szCs w:val="21"/>
              </w:rPr>
            </w:pPr>
            <w:r>
              <w:rPr>
                <w:rFonts w:hint="eastAsia" w:ascii="宋体" w:hAnsi="宋体"/>
                <w:szCs w:val="21"/>
              </w:rPr>
              <w:t>踏勘现场</w:t>
            </w:r>
          </w:p>
        </w:tc>
        <w:tc>
          <w:tcPr>
            <w:tcW w:w="5244" w:type="dxa"/>
            <w:gridSpan w:val="2"/>
            <w:vAlign w:val="center"/>
          </w:tcPr>
          <w:p>
            <w:pPr>
              <w:rPr>
                <w:rFonts w:ascii="宋体" w:hAnsi="宋体"/>
                <w:szCs w:val="21"/>
              </w:rPr>
            </w:pPr>
            <w:r>
              <w:rPr>
                <w:rFonts w:hint="eastAsia" w:ascii="宋体" w:hAnsi="宋体"/>
                <w:szCs w:val="21"/>
              </w:rPr>
              <w:t>投标人自行踏勘现场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1.10.2</w:t>
            </w:r>
          </w:p>
        </w:tc>
        <w:tc>
          <w:tcPr>
            <w:tcW w:w="2792" w:type="dxa"/>
            <w:vAlign w:val="center"/>
          </w:tcPr>
          <w:p>
            <w:pPr>
              <w:jc w:val="center"/>
              <w:rPr>
                <w:rFonts w:ascii="宋体" w:hAnsi="宋体"/>
                <w:szCs w:val="21"/>
              </w:rPr>
            </w:pPr>
            <w:r>
              <w:rPr>
                <w:rFonts w:hint="eastAsia" w:ascii="宋体" w:hAnsi="宋体"/>
                <w:szCs w:val="21"/>
              </w:rPr>
              <w:t>投标人提出问题的截止时间</w:t>
            </w:r>
          </w:p>
        </w:tc>
        <w:tc>
          <w:tcPr>
            <w:tcW w:w="5244" w:type="dxa"/>
            <w:gridSpan w:val="2"/>
            <w:vAlign w:val="center"/>
          </w:tcPr>
          <w:p>
            <w:pPr>
              <w:rPr>
                <w:rFonts w:ascii="宋体" w:hAnsi="宋体"/>
                <w:szCs w:val="21"/>
              </w:rPr>
            </w:pPr>
            <w:r>
              <w:rPr>
                <w:rFonts w:hint="eastAsia"/>
                <w:szCs w:val="21"/>
              </w:rPr>
              <w:t>投标截止10日前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1.10.3</w:t>
            </w:r>
          </w:p>
        </w:tc>
        <w:tc>
          <w:tcPr>
            <w:tcW w:w="2792" w:type="dxa"/>
            <w:vAlign w:val="center"/>
          </w:tcPr>
          <w:p>
            <w:pPr>
              <w:jc w:val="center"/>
              <w:rPr>
                <w:rFonts w:ascii="宋体" w:hAnsi="宋体"/>
                <w:szCs w:val="21"/>
              </w:rPr>
            </w:pPr>
            <w:r>
              <w:rPr>
                <w:rFonts w:hint="eastAsia" w:ascii="宋体" w:hAnsi="宋体"/>
                <w:szCs w:val="21"/>
              </w:rPr>
              <w:t>招标人书面澄清的时间</w:t>
            </w:r>
          </w:p>
        </w:tc>
        <w:tc>
          <w:tcPr>
            <w:tcW w:w="5244" w:type="dxa"/>
            <w:gridSpan w:val="2"/>
            <w:vAlign w:val="center"/>
          </w:tcPr>
          <w:p>
            <w:pPr>
              <w:rPr>
                <w:rFonts w:ascii="宋体" w:hAnsi="宋体"/>
                <w:szCs w:val="21"/>
              </w:rPr>
            </w:pPr>
            <w:r>
              <w:rPr>
                <w:rFonts w:hint="eastAsia"/>
                <w:szCs w:val="21"/>
              </w:rPr>
              <w:t>投标截止15天前（招标人在截止时间前网上发布澄清，不再书面通知,投标申请人应随时关注汝州市公共资源交易中心网站，如有遗漏，后果自负。）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gridSpan w:val="3"/>
            <w:vAlign w:val="center"/>
          </w:tcPr>
          <w:p>
            <w:pPr>
              <w:jc w:val="center"/>
              <w:rPr>
                <w:rFonts w:ascii="宋体" w:hAnsi="宋体"/>
                <w:szCs w:val="21"/>
              </w:rPr>
            </w:pPr>
            <w:r>
              <w:rPr>
                <w:rFonts w:hint="eastAsia" w:ascii="宋体" w:hAnsi="宋体"/>
                <w:szCs w:val="21"/>
              </w:rPr>
              <w:t>1.11</w:t>
            </w:r>
          </w:p>
        </w:tc>
        <w:tc>
          <w:tcPr>
            <w:tcW w:w="2792" w:type="dxa"/>
            <w:vAlign w:val="center"/>
          </w:tcPr>
          <w:p>
            <w:pPr>
              <w:jc w:val="center"/>
              <w:rPr>
                <w:rFonts w:ascii="宋体" w:hAnsi="宋体"/>
                <w:szCs w:val="21"/>
              </w:rPr>
            </w:pPr>
            <w:r>
              <w:rPr>
                <w:rFonts w:hint="eastAsia" w:ascii="宋体" w:hAnsi="宋体"/>
                <w:szCs w:val="21"/>
              </w:rPr>
              <w:t>分  包</w:t>
            </w:r>
          </w:p>
        </w:tc>
        <w:tc>
          <w:tcPr>
            <w:tcW w:w="5244" w:type="dxa"/>
            <w:gridSpan w:val="2"/>
            <w:vAlign w:val="center"/>
          </w:tcPr>
          <w:p>
            <w:pPr>
              <w:rPr>
                <w:rFonts w:ascii="宋体" w:hAnsi="宋体"/>
                <w:szCs w:val="21"/>
              </w:rPr>
            </w:pPr>
            <w:r>
              <w:rPr>
                <w:rFonts w:hint="eastAsia" w:ascii="宋体" w:hAnsi="宋体"/>
                <w:szCs w:val="21"/>
              </w:rPr>
              <w:t>不允许</w:t>
            </w:r>
            <w:r>
              <w:rPr>
                <w:rFonts w:ascii="宋体" w:hAnsi="宋体"/>
                <w:szCs w:val="21"/>
                <w:u w:val="single"/>
              </w:rPr>
              <w:fldChar w:fldCharType="begin"/>
            </w:r>
            <w:r>
              <w:rPr>
                <w:rFonts w:ascii="宋体" w:hAnsi="宋体"/>
                <w:szCs w:val="21"/>
                <w:u w:val="single"/>
              </w:rPr>
              <w:instrText xml:space="preserve"> AUTOTEXT  input219 \* MERGEFORMAT </w:instrText>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90" w:type="dxa"/>
            <w:gridSpan w:val="3"/>
            <w:vAlign w:val="center"/>
          </w:tcPr>
          <w:p>
            <w:pPr>
              <w:jc w:val="center"/>
              <w:rPr>
                <w:rFonts w:ascii="宋体" w:hAnsi="宋体"/>
                <w:szCs w:val="21"/>
              </w:rPr>
            </w:pPr>
            <w:r>
              <w:rPr>
                <w:rFonts w:hint="eastAsia" w:ascii="宋体" w:hAnsi="宋体"/>
                <w:szCs w:val="21"/>
              </w:rPr>
              <w:t>1.12</w:t>
            </w:r>
          </w:p>
        </w:tc>
        <w:tc>
          <w:tcPr>
            <w:tcW w:w="2792" w:type="dxa"/>
            <w:vAlign w:val="center"/>
          </w:tcPr>
          <w:p>
            <w:pPr>
              <w:jc w:val="center"/>
              <w:rPr>
                <w:rFonts w:ascii="宋体" w:hAnsi="宋体"/>
                <w:szCs w:val="21"/>
              </w:rPr>
            </w:pPr>
            <w:r>
              <w:rPr>
                <w:rFonts w:hint="eastAsia" w:ascii="宋体" w:hAnsi="宋体"/>
                <w:szCs w:val="21"/>
              </w:rPr>
              <w:t>偏  离</w:t>
            </w:r>
          </w:p>
        </w:tc>
        <w:tc>
          <w:tcPr>
            <w:tcW w:w="5244" w:type="dxa"/>
            <w:gridSpan w:val="2"/>
            <w:vAlign w:val="center"/>
          </w:tcPr>
          <w:p>
            <w:pPr>
              <w:rPr>
                <w:rFonts w:ascii="宋体" w:hAnsi="宋体"/>
                <w:szCs w:val="21"/>
              </w:rPr>
            </w:pPr>
            <w:r>
              <w:rPr>
                <w:rFonts w:hint="eastAsia" w:ascii="宋体" w:hAnsi="宋体"/>
                <w:szCs w:val="21"/>
              </w:rPr>
              <w:t>实质内容</w:t>
            </w:r>
            <w:r>
              <w:rPr>
                <w:rFonts w:ascii="宋体" w:hAnsi="宋体"/>
                <w:szCs w:val="21"/>
              </w:rPr>
              <w:fldChar w:fldCharType="begin"/>
            </w:r>
            <w:r>
              <w:rPr>
                <w:rFonts w:ascii="宋体" w:hAnsi="宋体"/>
                <w:szCs w:val="21"/>
              </w:rPr>
              <w:instrText xml:space="preserve"> AUTOTEXT  input220 \* MERGEFORMAT </w:instrText>
            </w:r>
            <w:r>
              <w:rPr>
                <w:rFonts w:ascii="宋体" w:hAnsi="宋体"/>
                <w:szCs w:val="21"/>
              </w:rPr>
              <w:fldChar w:fldCharType="end"/>
            </w:r>
            <w:r>
              <w:rPr>
                <w:rFonts w:hint="eastAsia" w:ascii="宋体" w:hAnsi="宋体"/>
                <w:szCs w:val="21"/>
              </w:rPr>
              <w:t>不允许</w:t>
            </w:r>
            <w:r>
              <w:rPr>
                <w:rFonts w:ascii="宋体" w:hAnsi="宋体"/>
                <w:szCs w:val="21"/>
                <w:u w:val="single"/>
              </w:rPr>
              <w:fldChar w:fldCharType="begin"/>
            </w:r>
            <w:r>
              <w:rPr>
                <w:rFonts w:ascii="宋体" w:hAnsi="宋体"/>
                <w:szCs w:val="21"/>
                <w:u w:val="single"/>
              </w:rPr>
              <w:instrText xml:space="preserve"> AUTOTEXT  input224 \* MERGEFORMAT </w:instrText>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2.1</w:t>
            </w:r>
          </w:p>
        </w:tc>
        <w:tc>
          <w:tcPr>
            <w:tcW w:w="2792" w:type="dxa"/>
            <w:vAlign w:val="center"/>
          </w:tcPr>
          <w:p>
            <w:pPr>
              <w:jc w:val="center"/>
              <w:rPr>
                <w:rFonts w:ascii="宋体" w:hAnsi="宋体"/>
                <w:szCs w:val="21"/>
              </w:rPr>
            </w:pPr>
            <w:r>
              <w:rPr>
                <w:rFonts w:hint="eastAsia" w:ascii="宋体" w:hAnsi="宋体"/>
                <w:szCs w:val="21"/>
              </w:rPr>
              <w:t>构成招标文件的其他材料</w:t>
            </w:r>
          </w:p>
        </w:tc>
        <w:tc>
          <w:tcPr>
            <w:tcW w:w="5244" w:type="dxa"/>
            <w:gridSpan w:val="2"/>
            <w:vAlign w:val="center"/>
          </w:tcPr>
          <w:p>
            <w:pPr>
              <w:rPr>
                <w:rFonts w:ascii="宋体" w:hAnsi="宋体"/>
                <w:szCs w:val="21"/>
              </w:rPr>
            </w:pPr>
            <w:r>
              <w:rPr>
                <w:rFonts w:ascii="宋体" w:hAnsi="宋体" w:cs="宋体"/>
                <w:color w:val="000000"/>
                <w:u w:val="single"/>
              </w:rPr>
              <w:t>招标文件的补充、答疑等（如有）</w:t>
            </w:r>
            <w:r>
              <w:rPr>
                <w:rFonts w:ascii="宋体" w:hAnsi="宋体"/>
                <w:szCs w:val="21"/>
                <w:u w:val="single"/>
              </w:rPr>
              <w:fldChar w:fldCharType="begin"/>
            </w:r>
            <w:r>
              <w:rPr>
                <w:rFonts w:ascii="宋体" w:hAnsi="宋体"/>
                <w:szCs w:val="21"/>
                <w:u w:val="single"/>
              </w:rPr>
              <w:instrText xml:space="preserve"> AUTOTEXT  input225 \* MERGEFORMAT </w:instrText>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2.2.2</w:t>
            </w:r>
          </w:p>
        </w:tc>
        <w:tc>
          <w:tcPr>
            <w:tcW w:w="2792" w:type="dxa"/>
            <w:vAlign w:val="center"/>
          </w:tcPr>
          <w:p>
            <w:pPr>
              <w:jc w:val="center"/>
              <w:rPr>
                <w:rFonts w:ascii="宋体" w:hAnsi="宋体"/>
                <w:szCs w:val="21"/>
              </w:rPr>
            </w:pPr>
            <w:r>
              <w:rPr>
                <w:rFonts w:hint="eastAsia" w:ascii="宋体" w:hAnsi="宋体"/>
                <w:szCs w:val="21"/>
              </w:rPr>
              <w:t>投标截止时间</w:t>
            </w:r>
          </w:p>
        </w:tc>
        <w:tc>
          <w:tcPr>
            <w:tcW w:w="5244" w:type="dxa"/>
            <w:gridSpan w:val="2"/>
            <w:vAlign w:val="center"/>
          </w:tcPr>
          <w:p>
            <w:pPr>
              <w:rPr>
                <w:rFonts w:ascii="宋体" w:hAnsi="宋体"/>
                <w:szCs w:val="21"/>
                <w:u w:val="single"/>
              </w:rPr>
            </w:pPr>
            <w:r>
              <w:rPr>
                <w:rFonts w:hint="eastAsia" w:ascii="宋体" w:hAnsi="宋体"/>
                <w:szCs w:val="21"/>
                <w:u w:val="single"/>
              </w:rPr>
              <w:t>2024 年04月29日8 时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3.1.1</w:t>
            </w:r>
          </w:p>
        </w:tc>
        <w:tc>
          <w:tcPr>
            <w:tcW w:w="2792" w:type="dxa"/>
            <w:vAlign w:val="center"/>
          </w:tcPr>
          <w:p>
            <w:pPr>
              <w:jc w:val="center"/>
              <w:rPr>
                <w:rFonts w:ascii="宋体" w:hAnsi="宋体"/>
                <w:szCs w:val="21"/>
              </w:rPr>
            </w:pPr>
            <w:r>
              <w:rPr>
                <w:rFonts w:hint="eastAsia" w:ascii="宋体" w:hAnsi="宋体"/>
                <w:szCs w:val="21"/>
              </w:rPr>
              <w:t>构成投标文件的其他材料</w:t>
            </w:r>
          </w:p>
        </w:tc>
        <w:tc>
          <w:tcPr>
            <w:tcW w:w="5244" w:type="dxa"/>
            <w:gridSpan w:val="2"/>
            <w:vAlign w:val="center"/>
          </w:tcPr>
          <w:p>
            <w:pPr>
              <w:rPr>
                <w:rFonts w:ascii="宋体" w:hAnsi="宋体"/>
                <w:szCs w:val="21"/>
              </w:rPr>
            </w:pPr>
            <w:r>
              <w:rPr>
                <w:rFonts w:ascii="宋体" w:hAnsi="宋体" w:cs="宋体"/>
              </w:rPr>
              <w:t>招标文件的补充文件（如有）、招标答疑纪要（如有）、招标控制价（如有）</w:t>
            </w:r>
            <w:r>
              <w:rPr>
                <w:rFonts w:ascii="宋体" w:hAnsi="宋体"/>
                <w:szCs w:val="21"/>
                <w:u w:val="single"/>
              </w:rPr>
              <w:fldChar w:fldCharType="begin"/>
            </w:r>
            <w:r>
              <w:rPr>
                <w:rFonts w:ascii="宋体" w:hAnsi="宋体"/>
                <w:szCs w:val="21"/>
                <w:u w:val="single"/>
              </w:rPr>
              <w:instrText xml:space="preserve"> AUTOTEXT  input234 \* MERGEFORMAT </w:instrText>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3.3.1</w:t>
            </w:r>
          </w:p>
        </w:tc>
        <w:tc>
          <w:tcPr>
            <w:tcW w:w="2792" w:type="dxa"/>
            <w:vAlign w:val="center"/>
          </w:tcPr>
          <w:p>
            <w:pPr>
              <w:jc w:val="center"/>
              <w:rPr>
                <w:rFonts w:ascii="宋体" w:hAnsi="宋体"/>
                <w:szCs w:val="21"/>
              </w:rPr>
            </w:pPr>
            <w:r>
              <w:rPr>
                <w:rFonts w:hint="eastAsia" w:ascii="宋体" w:hAnsi="宋体"/>
                <w:szCs w:val="21"/>
              </w:rPr>
              <w:t>投标有效期</w:t>
            </w:r>
          </w:p>
        </w:tc>
        <w:tc>
          <w:tcPr>
            <w:tcW w:w="5244" w:type="dxa"/>
            <w:gridSpan w:val="2"/>
            <w:vAlign w:val="center"/>
          </w:tcPr>
          <w:p>
            <w:pPr>
              <w:rPr>
                <w:rFonts w:ascii="宋体" w:hAnsi="宋体"/>
                <w:szCs w:val="21"/>
              </w:rPr>
            </w:pPr>
            <w:r>
              <w:rPr>
                <w:rFonts w:hint="eastAsia" w:ascii="宋体" w:hAnsi="宋体"/>
                <w:szCs w:val="21"/>
              </w:rPr>
              <w:t>自投标截止时间止</w:t>
            </w:r>
            <w:r>
              <w:rPr>
                <w:rFonts w:ascii="宋体" w:hAnsi="宋体"/>
                <w:szCs w:val="21"/>
              </w:rPr>
              <w:t>60</w:t>
            </w:r>
            <w:r>
              <w:rPr>
                <w:rFonts w:hint="eastAsia" w:ascii="宋体" w:hAnsi="宋体"/>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90" w:type="dxa"/>
            <w:gridSpan w:val="3"/>
            <w:vAlign w:val="center"/>
          </w:tcPr>
          <w:p>
            <w:pPr>
              <w:jc w:val="center"/>
              <w:rPr>
                <w:rFonts w:ascii="宋体" w:hAnsi="宋体"/>
                <w:szCs w:val="21"/>
              </w:rPr>
            </w:pPr>
            <w:r>
              <w:rPr>
                <w:rFonts w:hint="eastAsia" w:ascii="宋体" w:hAnsi="宋体"/>
                <w:szCs w:val="21"/>
              </w:rPr>
              <w:t>3.4.1</w:t>
            </w:r>
          </w:p>
        </w:tc>
        <w:tc>
          <w:tcPr>
            <w:tcW w:w="2792" w:type="dxa"/>
            <w:vAlign w:val="center"/>
          </w:tcPr>
          <w:p>
            <w:pPr>
              <w:jc w:val="center"/>
              <w:rPr>
                <w:rFonts w:ascii="宋体" w:hAnsi="宋体"/>
                <w:szCs w:val="21"/>
              </w:rPr>
            </w:pPr>
            <w:r>
              <w:rPr>
                <w:rFonts w:hint="eastAsia" w:ascii="宋体" w:hAnsi="宋体"/>
                <w:szCs w:val="21"/>
              </w:rPr>
              <w:t>投标保证金</w:t>
            </w:r>
          </w:p>
        </w:tc>
        <w:tc>
          <w:tcPr>
            <w:tcW w:w="5244" w:type="dxa"/>
            <w:gridSpan w:val="2"/>
            <w:vAlign w:val="center"/>
          </w:tcPr>
          <w:p>
            <w:pPr>
              <w:rPr>
                <w:rFonts w:ascii="宋体" w:hAnsi="宋体"/>
                <w:szCs w:val="21"/>
              </w:rPr>
            </w:pPr>
            <w:r>
              <w:rPr>
                <w:rFonts w:hint="eastAsia" w:ascii="宋体" w:hAnsi="宋体"/>
                <w:szCs w:val="21"/>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3.5.2</w:t>
            </w:r>
          </w:p>
        </w:tc>
        <w:tc>
          <w:tcPr>
            <w:tcW w:w="2792" w:type="dxa"/>
            <w:vAlign w:val="center"/>
          </w:tcPr>
          <w:p>
            <w:pPr>
              <w:jc w:val="center"/>
              <w:rPr>
                <w:rFonts w:ascii="宋体" w:hAnsi="宋体"/>
                <w:szCs w:val="21"/>
              </w:rPr>
            </w:pPr>
            <w:r>
              <w:rPr>
                <w:rFonts w:hint="eastAsia" w:ascii="宋体" w:hAnsi="宋体"/>
                <w:szCs w:val="21"/>
              </w:rPr>
              <w:t>近年财务状况的年份要求</w:t>
            </w:r>
          </w:p>
        </w:tc>
        <w:tc>
          <w:tcPr>
            <w:tcW w:w="5244" w:type="dxa"/>
            <w:gridSpan w:val="2"/>
            <w:vAlign w:val="center"/>
          </w:tcPr>
          <w:p>
            <w:pPr>
              <w:spacing w:line="340" w:lineRule="exact"/>
              <w:jc w:val="left"/>
              <w:rPr>
                <w:rFonts w:ascii="宋体" w:hAnsi="宋体"/>
                <w:szCs w:val="21"/>
              </w:rPr>
            </w:pPr>
            <w:r>
              <w:rPr>
                <w:rFonts w:hint="eastAsia"/>
              </w:rPr>
              <w:t>投标人须提供2022年经审计合格的财务审计报告（若为新成立企业，则以企业成立年月份向后推算，提供相应年月份的财务报表）</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3.6</w:t>
            </w:r>
          </w:p>
        </w:tc>
        <w:tc>
          <w:tcPr>
            <w:tcW w:w="2792" w:type="dxa"/>
            <w:vAlign w:val="center"/>
          </w:tcPr>
          <w:p>
            <w:pPr>
              <w:jc w:val="center"/>
              <w:rPr>
                <w:rFonts w:ascii="宋体" w:hAnsi="宋体"/>
                <w:szCs w:val="21"/>
              </w:rPr>
            </w:pPr>
            <w:r>
              <w:rPr>
                <w:rFonts w:hint="eastAsia" w:ascii="宋体" w:hAnsi="宋体"/>
                <w:szCs w:val="21"/>
              </w:rPr>
              <w:t>是否允许递交备选投标方案</w:t>
            </w:r>
          </w:p>
        </w:tc>
        <w:tc>
          <w:tcPr>
            <w:tcW w:w="5244" w:type="dxa"/>
            <w:gridSpan w:val="2"/>
            <w:vAlign w:val="center"/>
          </w:tcPr>
          <w:p>
            <w:pPr>
              <w:spacing w:line="340" w:lineRule="exact"/>
              <w:rPr>
                <w:rFonts w:ascii="宋体" w:hAnsi="宋体"/>
                <w:szCs w:val="21"/>
                <w:u w:val="single"/>
              </w:rPr>
            </w:pPr>
            <w:r>
              <w:rPr>
                <w:rFonts w:hint="eastAsia" w:ascii="宋体" w:hAnsi="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3.7.3</w:t>
            </w:r>
          </w:p>
        </w:tc>
        <w:tc>
          <w:tcPr>
            <w:tcW w:w="2792" w:type="dxa"/>
            <w:vAlign w:val="center"/>
          </w:tcPr>
          <w:p>
            <w:pPr>
              <w:jc w:val="center"/>
              <w:rPr>
                <w:rFonts w:ascii="宋体" w:hAnsi="宋体"/>
                <w:szCs w:val="21"/>
              </w:rPr>
            </w:pPr>
            <w:r>
              <w:rPr>
                <w:rFonts w:hint="eastAsia" w:ascii="宋体" w:hAnsi="宋体"/>
                <w:szCs w:val="21"/>
              </w:rPr>
              <w:t>签字和盖章要求</w:t>
            </w:r>
          </w:p>
        </w:tc>
        <w:tc>
          <w:tcPr>
            <w:tcW w:w="5244" w:type="dxa"/>
            <w:gridSpan w:val="2"/>
            <w:vAlign w:val="center"/>
          </w:tcPr>
          <w:p>
            <w:pPr>
              <w:spacing w:line="340" w:lineRule="exact"/>
              <w:jc w:val="left"/>
              <w:rPr>
                <w:rFonts w:ascii="宋体" w:hAnsi="宋体"/>
                <w:szCs w:val="21"/>
              </w:rPr>
            </w:pPr>
            <w:r>
              <w:rPr>
                <w:rFonts w:hint="eastAsia" w:ascii="宋体" w:hAnsi="宋体"/>
                <w:szCs w:val="21"/>
              </w:rPr>
              <w:t xml:space="preserve">   1、投标人在生成电子化投标文件后，应对电子化投标文件进行签章，未进行签章的视为无效投标。</w:t>
            </w:r>
          </w:p>
          <w:p>
            <w:pPr>
              <w:spacing w:line="340" w:lineRule="exact"/>
              <w:jc w:val="left"/>
              <w:rPr>
                <w:rFonts w:ascii="宋体" w:hAnsi="宋体"/>
                <w:szCs w:val="21"/>
              </w:rPr>
            </w:pPr>
            <w:r>
              <w:rPr>
                <w:rFonts w:hint="eastAsia" w:ascii="宋体" w:hAnsi="宋体"/>
                <w:szCs w:val="21"/>
              </w:rPr>
              <w:t xml:space="preserve">   2、招标文件中要求法定代表人或授权委托人签字或盖章的，投标人在进行电子化投标文件签章时，以签盖法定代表人签章为准。电子化投标文件具体制作教材请投标人通过CA证书登录汝州市公共资源电子化交易系统在右上角“组建下载”中查看。</w:t>
            </w:r>
          </w:p>
          <w:p>
            <w:pPr>
              <w:spacing w:line="340" w:lineRule="exact"/>
              <w:ind w:firstLine="420" w:firstLineChars="200"/>
              <w:rPr>
                <w:rFonts w:ascii="宋体" w:hAnsi="宋体"/>
                <w:szCs w:val="21"/>
              </w:rPr>
            </w:pPr>
            <w:r>
              <w:rPr>
                <w:rFonts w:hint="eastAsia" w:ascii="宋体" w:hAnsi="宋体"/>
                <w:szCs w:val="21"/>
              </w:rPr>
              <w:t>3、</w:t>
            </w:r>
            <w:r>
              <w:rPr>
                <w:rFonts w:ascii="宋体" w:hAnsi="宋体"/>
                <w:szCs w:val="21"/>
              </w:rPr>
              <w:t>招标文件规定的投标文件格式中所有签字盖章的地方必须按招标文件明示的方式签字或盖章，委托代理人</w:t>
            </w:r>
            <w:r>
              <w:rPr>
                <w:rFonts w:hint="eastAsia" w:ascii="宋体" w:hAnsi="宋体"/>
                <w:szCs w:val="21"/>
              </w:rPr>
              <w:t>或</w:t>
            </w:r>
            <w:r>
              <w:rPr>
                <w:rFonts w:ascii="宋体" w:hAnsi="宋体"/>
                <w:szCs w:val="21"/>
              </w:rPr>
              <w:t>其他人员需要电子版的签字盖章页应用签字盖章后的扫描件</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4.2.2</w:t>
            </w:r>
          </w:p>
        </w:tc>
        <w:tc>
          <w:tcPr>
            <w:tcW w:w="2792" w:type="dxa"/>
            <w:vAlign w:val="center"/>
          </w:tcPr>
          <w:p>
            <w:pPr>
              <w:jc w:val="center"/>
              <w:rPr>
                <w:rFonts w:ascii="宋体" w:hAnsi="宋体"/>
                <w:szCs w:val="21"/>
              </w:rPr>
            </w:pPr>
            <w:r>
              <w:rPr>
                <w:rFonts w:hint="eastAsia" w:ascii="宋体" w:hAnsi="宋体"/>
                <w:szCs w:val="21"/>
              </w:rPr>
              <w:t>递交投标文件地点</w:t>
            </w:r>
          </w:p>
        </w:tc>
        <w:tc>
          <w:tcPr>
            <w:tcW w:w="5244" w:type="dxa"/>
            <w:gridSpan w:val="2"/>
            <w:vAlign w:val="center"/>
          </w:tcPr>
          <w:p>
            <w:pPr>
              <w:spacing w:line="340" w:lineRule="exact"/>
              <w:ind w:firstLine="422" w:firstLineChars="200"/>
              <w:rPr>
                <w:rFonts w:ascii="宋体" w:hAnsi="宋体"/>
                <w:szCs w:val="21"/>
              </w:rPr>
            </w:pPr>
            <w:r>
              <w:rPr>
                <w:rFonts w:hint="eastAsia" w:ascii="宋体" w:hAnsi="宋体"/>
                <w:b/>
                <w:color w:val="000000"/>
                <w:szCs w:val="21"/>
              </w:rPr>
              <w:t xml:space="preserve">汝州市公共资源交易中心第 </w:t>
            </w:r>
            <w:r>
              <w:rPr>
                <w:rFonts w:hint="eastAsia" w:ascii="宋体" w:hAnsi="宋体"/>
                <w:b/>
                <w:color w:val="000000"/>
                <w:szCs w:val="21"/>
                <w:u w:val="single"/>
              </w:rPr>
              <w:t xml:space="preserve"> 301 </w:t>
            </w:r>
            <w:r>
              <w:rPr>
                <w:rFonts w:hint="eastAsia" w:ascii="宋体" w:hAnsi="宋体"/>
                <w:b/>
                <w:color w:val="000000"/>
                <w:szCs w:val="21"/>
              </w:rPr>
              <w:t>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4.2.3</w:t>
            </w:r>
          </w:p>
        </w:tc>
        <w:tc>
          <w:tcPr>
            <w:tcW w:w="2792" w:type="dxa"/>
            <w:vAlign w:val="center"/>
          </w:tcPr>
          <w:p>
            <w:pPr>
              <w:jc w:val="center"/>
              <w:rPr>
                <w:rFonts w:ascii="宋体" w:hAnsi="宋体"/>
                <w:szCs w:val="21"/>
              </w:rPr>
            </w:pPr>
            <w:r>
              <w:rPr>
                <w:rFonts w:hint="eastAsia" w:ascii="宋体" w:hAnsi="宋体"/>
                <w:szCs w:val="21"/>
              </w:rPr>
              <w:t>是否退还投标文件</w:t>
            </w:r>
          </w:p>
        </w:tc>
        <w:tc>
          <w:tcPr>
            <w:tcW w:w="5244" w:type="dxa"/>
            <w:gridSpan w:val="2"/>
            <w:vAlign w:val="center"/>
          </w:tcPr>
          <w:p>
            <w:pPr>
              <w:spacing w:line="340" w:lineRule="exact"/>
              <w:ind w:firstLine="525" w:firstLineChars="250"/>
              <w:rPr>
                <w:rFonts w:ascii="宋体" w:hAnsi="宋体"/>
                <w:szCs w:val="21"/>
                <w:u w:val="single"/>
              </w:rPr>
            </w:pPr>
            <w:r>
              <w:rPr>
                <w:rFonts w:hint="eastAsia" w:ascii="宋体" w:hAnsi="宋体"/>
                <w:szCs w:val="21"/>
              </w:rPr>
              <w:t>否</w:t>
            </w:r>
            <w:r>
              <w:rPr>
                <w:rFonts w:ascii="宋体" w:hAnsi="宋体"/>
                <w:szCs w:val="21"/>
                <w:u w:val="single"/>
              </w:rPr>
              <w:fldChar w:fldCharType="begin"/>
            </w:r>
            <w:r>
              <w:rPr>
                <w:rFonts w:ascii="宋体" w:hAnsi="宋体"/>
                <w:szCs w:val="21"/>
                <w:u w:val="single"/>
              </w:rPr>
              <w:instrText xml:space="preserve"> AUTOTEXT  input273 \* MERGEFORMAT </w:instrText>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5.1</w:t>
            </w:r>
          </w:p>
        </w:tc>
        <w:tc>
          <w:tcPr>
            <w:tcW w:w="2792" w:type="dxa"/>
            <w:vAlign w:val="center"/>
          </w:tcPr>
          <w:p>
            <w:pPr>
              <w:jc w:val="center"/>
              <w:rPr>
                <w:rFonts w:ascii="宋体" w:hAnsi="宋体"/>
                <w:szCs w:val="21"/>
              </w:rPr>
            </w:pPr>
            <w:r>
              <w:rPr>
                <w:rFonts w:hint="eastAsia" w:ascii="宋体" w:hAnsi="宋体"/>
                <w:szCs w:val="21"/>
              </w:rPr>
              <w:t>开标时间和地点</w:t>
            </w:r>
          </w:p>
        </w:tc>
        <w:tc>
          <w:tcPr>
            <w:tcW w:w="5244" w:type="dxa"/>
            <w:gridSpan w:val="2"/>
            <w:vAlign w:val="center"/>
          </w:tcPr>
          <w:p>
            <w:pPr>
              <w:spacing w:line="340" w:lineRule="exact"/>
              <w:ind w:firstLine="420" w:firstLineChars="200"/>
              <w:rPr>
                <w:rFonts w:ascii="宋体" w:hAnsi="宋体"/>
                <w:szCs w:val="21"/>
              </w:rPr>
            </w:pPr>
            <w:r>
              <w:rPr>
                <w:rFonts w:hint="eastAsia" w:ascii="宋体" w:hAnsi="宋体"/>
                <w:szCs w:val="21"/>
              </w:rPr>
              <w:t>开标时间：同投标截止时间</w:t>
            </w:r>
          </w:p>
          <w:p>
            <w:pPr>
              <w:spacing w:line="340" w:lineRule="exact"/>
              <w:ind w:firstLine="420" w:firstLineChars="200"/>
              <w:rPr>
                <w:rFonts w:ascii="宋体" w:hAnsi="宋体"/>
                <w:szCs w:val="21"/>
              </w:rPr>
            </w:pPr>
            <w:r>
              <w:rPr>
                <w:rFonts w:hint="eastAsia" w:ascii="宋体" w:hAnsi="宋体"/>
                <w:szCs w:val="21"/>
              </w:rPr>
              <w:t>开标地点：同递交投标文件地点</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AUTOTEXT  input530 \* MERGEFORMAT</w:instrText>
            </w:r>
            <w:r>
              <w:rPr>
                <w:rFonts w:ascii="宋体" w:hAnsi="宋体"/>
                <w:szCs w:val="21"/>
              </w:rPr>
              <w:instrText xml:space="preserve"> </w:instrText>
            </w:r>
            <w:r>
              <w:rPr>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6.1.1</w:t>
            </w:r>
          </w:p>
        </w:tc>
        <w:tc>
          <w:tcPr>
            <w:tcW w:w="2792" w:type="dxa"/>
            <w:vAlign w:val="center"/>
          </w:tcPr>
          <w:p>
            <w:pPr>
              <w:jc w:val="center"/>
              <w:rPr>
                <w:rFonts w:ascii="宋体" w:hAnsi="宋体"/>
                <w:szCs w:val="21"/>
              </w:rPr>
            </w:pPr>
            <w:r>
              <w:rPr>
                <w:rFonts w:hint="eastAsia" w:ascii="宋体" w:hAnsi="宋体"/>
                <w:szCs w:val="21"/>
              </w:rPr>
              <w:t>评标委员会的组建</w:t>
            </w:r>
          </w:p>
        </w:tc>
        <w:tc>
          <w:tcPr>
            <w:tcW w:w="5244" w:type="dxa"/>
            <w:gridSpan w:val="2"/>
            <w:vAlign w:val="center"/>
          </w:tcPr>
          <w:p>
            <w:pPr>
              <w:spacing w:line="340" w:lineRule="exact"/>
              <w:ind w:firstLine="420" w:firstLineChars="200"/>
              <w:rPr>
                <w:rFonts w:ascii="宋体" w:hAnsi="宋体"/>
                <w:szCs w:val="21"/>
              </w:rPr>
            </w:pPr>
            <w:r>
              <w:rPr>
                <w:rFonts w:hint="eastAsia" w:hAnsi="宋体"/>
                <w:szCs w:val="21"/>
              </w:rPr>
              <w:t>评标委员会构成</w:t>
            </w:r>
            <w:r>
              <w:rPr>
                <w:rFonts w:hAnsi="宋体"/>
                <w:szCs w:val="21"/>
              </w:rPr>
              <w:t xml:space="preserve">: 5 </w:t>
            </w:r>
            <w:r>
              <w:rPr>
                <w:rFonts w:hint="eastAsia" w:hAnsi="宋体"/>
                <w:szCs w:val="21"/>
              </w:rPr>
              <w:t>人（其中业主代表</w:t>
            </w:r>
            <w:r>
              <w:rPr>
                <w:rFonts w:hAnsi="宋体"/>
                <w:szCs w:val="21"/>
              </w:rPr>
              <w:t>1</w:t>
            </w:r>
            <w:r>
              <w:rPr>
                <w:rFonts w:hint="eastAsia" w:hAnsi="宋体"/>
                <w:szCs w:val="21"/>
              </w:rPr>
              <w:t>名）从河南省综合评标专家库随机抽取经济、技术方面专家</w:t>
            </w:r>
            <w:r>
              <w:rPr>
                <w:rFonts w:hAnsi="宋体"/>
                <w:szCs w:val="21"/>
              </w:rPr>
              <w:t>4</w:t>
            </w:r>
            <w:r>
              <w:rPr>
                <w:rFonts w:hint="eastAsia" w:hAnsi="宋体"/>
                <w:szCs w:val="21"/>
              </w:rPr>
              <w:t>人</w:t>
            </w:r>
            <w:r>
              <w:rPr>
                <w:rFonts w:ascii="宋体" w:hAnsi="宋体"/>
                <w:szCs w:val="21"/>
              </w:rPr>
              <w:fldChar w:fldCharType="begin"/>
            </w:r>
            <w:r>
              <w:rPr>
                <w:rFonts w:ascii="宋体" w:hAnsi="宋体"/>
                <w:szCs w:val="21"/>
              </w:rPr>
              <w:instrText xml:space="preserve"> AUTOTEXT  input556 \* MERGEFORMAT </w:instrText>
            </w:r>
            <w:r>
              <w:rPr>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0" w:type="dxa"/>
            <w:gridSpan w:val="3"/>
            <w:vAlign w:val="center"/>
          </w:tcPr>
          <w:p>
            <w:pPr>
              <w:jc w:val="center"/>
              <w:rPr>
                <w:rFonts w:ascii="宋体" w:hAnsi="宋体"/>
                <w:szCs w:val="21"/>
              </w:rPr>
            </w:pPr>
            <w:r>
              <w:rPr>
                <w:rFonts w:hint="eastAsia" w:ascii="宋体" w:hAnsi="宋体"/>
                <w:szCs w:val="21"/>
              </w:rPr>
              <w:t>7.1</w:t>
            </w:r>
          </w:p>
        </w:tc>
        <w:tc>
          <w:tcPr>
            <w:tcW w:w="2792" w:type="dxa"/>
            <w:vAlign w:val="center"/>
          </w:tcPr>
          <w:p>
            <w:pPr>
              <w:jc w:val="center"/>
              <w:rPr>
                <w:rFonts w:ascii="宋体" w:hAnsi="宋体"/>
                <w:szCs w:val="21"/>
              </w:rPr>
            </w:pPr>
            <w:r>
              <w:rPr>
                <w:rFonts w:hint="eastAsia" w:ascii="宋体" w:hAnsi="宋体"/>
                <w:szCs w:val="21"/>
              </w:rPr>
              <w:t>是否授权评标委员会</w:t>
            </w:r>
          </w:p>
          <w:p>
            <w:pPr>
              <w:jc w:val="center"/>
              <w:rPr>
                <w:rFonts w:ascii="宋体" w:hAnsi="宋体"/>
                <w:szCs w:val="21"/>
              </w:rPr>
            </w:pPr>
            <w:r>
              <w:rPr>
                <w:rFonts w:hint="eastAsia" w:ascii="宋体" w:hAnsi="宋体"/>
                <w:szCs w:val="21"/>
              </w:rPr>
              <w:t>确定中标人</w:t>
            </w:r>
          </w:p>
        </w:tc>
        <w:tc>
          <w:tcPr>
            <w:tcW w:w="5244" w:type="dxa"/>
            <w:gridSpan w:val="2"/>
            <w:vAlign w:val="center"/>
          </w:tcPr>
          <w:p>
            <w:pPr>
              <w:spacing w:line="340" w:lineRule="exact"/>
              <w:ind w:firstLine="105" w:firstLineChars="50"/>
              <w:rPr>
                <w:rFonts w:ascii="宋体" w:hAnsi="宋体"/>
                <w:szCs w:val="21"/>
              </w:rPr>
            </w:pPr>
            <w:r>
              <w:rPr>
                <w:rFonts w:hint="eastAsia" w:ascii="宋体" w:hAnsi="宋体"/>
                <w:szCs w:val="21"/>
              </w:rPr>
              <w:t>否，推荐的中标候选人数：</w:t>
            </w:r>
            <w:r>
              <w:rPr>
                <w:rFonts w:ascii="宋体" w:hAnsi="宋体" w:cs="宋体"/>
                <w:color w:val="000000"/>
                <w:u w:val="single"/>
              </w:rPr>
              <w:t>3</w:t>
            </w:r>
            <w:r>
              <w:rPr>
                <w:rFonts w:ascii="宋体" w:hAnsi="宋体"/>
                <w:szCs w:val="21"/>
                <w:u w:val="single"/>
              </w:rPr>
              <w:fldChar w:fldCharType="begin"/>
            </w:r>
            <w:r>
              <w:rPr>
                <w:rFonts w:ascii="宋体" w:hAnsi="宋体"/>
                <w:szCs w:val="21"/>
                <w:u w:val="single"/>
              </w:rPr>
              <w:instrText xml:space="preserve"> AUTOTEXT  input280 \* MERGEFORMAT </w:instrText>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90" w:type="dxa"/>
            <w:gridSpan w:val="3"/>
            <w:vAlign w:val="center"/>
          </w:tcPr>
          <w:p>
            <w:pPr>
              <w:jc w:val="center"/>
              <w:rPr>
                <w:rFonts w:ascii="宋体" w:hAnsi="宋体"/>
                <w:szCs w:val="21"/>
              </w:rPr>
            </w:pPr>
            <w:r>
              <w:rPr>
                <w:rFonts w:hint="eastAsia" w:ascii="宋体" w:hAnsi="宋体"/>
                <w:szCs w:val="21"/>
              </w:rPr>
              <w:t>7.3.1</w:t>
            </w:r>
          </w:p>
        </w:tc>
        <w:tc>
          <w:tcPr>
            <w:tcW w:w="2792" w:type="dxa"/>
            <w:vAlign w:val="center"/>
          </w:tcPr>
          <w:p>
            <w:pPr>
              <w:jc w:val="center"/>
              <w:rPr>
                <w:rFonts w:ascii="宋体" w:hAnsi="宋体"/>
                <w:color w:val="FF0000"/>
                <w:szCs w:val="21"/>
              </w:rPr>
            </w:pPr>
            <w:r>
              <w:rPr>
                <w:rFonts w:hint="eastAsia" w:ascii="宋体" w:hAnsi="宋体"/>
                <w:szCs w:val="21"/>
              </w:rPr>
              <w:t>履约担保</w:t>
            </w:r>
          </w:p>
        </w:tc>
        <w:tc>
          <w:tcPr>
            <w:tcW w:w="5244" w:type="dxa"/>
            <w:gridSpan w:val="2"/>
            <w:vAlign w:val="center"/>
          </w:tcPr>
          <w:p>
            <w:pPr>
              <w:rPr>
                <w:rFonts w:ascii="宋体" w:hAnsi="宋体"/>
                <w:color w:val="FF0000"/>
                <w:szCs w:val="21"/>
              </w:rPr>
            </w:pPr>
            <w:r>
              <w:rPr>
                <w:rFonts w:hint="eastAsia"/>
              </w:rPr>
              <w:t xml:space="preserve">  /</w:t>
            </w:r>
            <w:r>
              <w:rPr>
                <w:rFonts w:ascii="宋体" w:hAnsi="宋体"/>
                <w:color w:val="FF0000"/>
                <w:szCs w:val="21"/>
                <w:u w:val="single"/>
              </w:rPr>
              <w:fldChar w:fldCharType="begin"/>
            </w:r>
            <w:r>
              <w:rPr>
                <w:rFonts w:ascii="宋体" w:hAnsi="宋体"/>
                <w:color w:val="FF0000"/>
                <w:szCs w:val="21"/>
                <w:u w:val="single"/>
              </w:rPr>
              <w:instrText xml:space="preserve"> AUTOTEXT  input282 \* MERGEFORMAT </w:instrText>
            </w:r>
            <w:r>
              <w:rPr>
                <w:rFonts w:ascii="宋体" w:hAnsi="宋体"/>
                <w:color w:val="FF0000"/>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126" w:type="dxa"/>
            <w:gridSpan w:val="6"/>
            <w:vAlign w:val="center"/>
          </w:tcPr>
          <w:p>
            <w:pPr>
              <w:ind w:firstLine="210" w:firstLineChars="100"/>
              <w:rPr>
                <w:rFonts w:ascii="宋体" w:hAnsi="宋体"/>
                <w:szCs w:val="21"/>
              </w:rPr>
            </w:pPr>
            <w:r>
              <w:rPr>
                <w:rFonts w:hint="eastAsia" w:ascii="宋体" w:hAnsi="宋体"/>
                <w:szCs w:val="21"/>
              </w:rPr>
              <w:t>10.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126" w:type="dxa"/>
            <w:gridSpan w:val="6"/>
            <w:vAlign w:val="center"/>
          </w:tcPr>
          <w:p>
            <w:pPr>
              <w:ind w:firstLine="210" w:firstLineChars="100"/>
              <w:rPr>
                <w:rFonts w:ascii="宋体" w:hAnsi="宋体"/>
                <w:szCs w:val="21"/>
              </w:rPr>
            </w:pPr>
            <w:r>
              <w:rPr>
                <w:rFonts w:hint="eastAsia" w:ascii="宋体" w:hAnsi="宋体"/>
                <w:szCs w:val="21"/>
              </w:rPr>
              <w:t>10.2  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1" w:type="dxa"/>
            <w:gridSpan w:val="2"/>
            <w:vAlign w:val="center"/>
          </w:tcPr>
          <w:p>
            <w:pPr>
              <w:jc w:val="center"/>
              <w:rPr>
                <w:rFonts w:ascii="宋体" w:hAnsi="宋体"/>
                <w:szCs w:val="21"/>
              </w:rPr>
            </w:pPr>
          </w:p>
        </w:tc>
        <w:tc>
          <w:tcPr>
            <w:tcW w:w="3062" w:type="dxa"/>
            <w:gridSpan w:val="3"/>
            <w:vAlign w:val="center"/>
          </w:tcPr>
          <w:p>
            <w:pPr>
              <w:jc w:val="center"/>
              <w:rPr>
                <w:rFonts w:ascii="宋体" w:hAnsi="宋体"/>
                <w:szCs w:val="21"/>
                <w:highlight w:val="yellow"/>
              </w:rPr>
            </w:pPr>
            <w:r>
              <w:rPr>
                <w:rFonts w:hint="eastAsia" w:ascii="宋体" w:hAnsi="宋体"/>
                <w:szCs w:val="21"/>
              </w:rPr>
              <w:t>招标控制价</w:t>
            </w:r>
          </w:p>
        </w:tc>
        <w:tc>
          <w:tcPr>
            <w:tcW w:w="5103" w:type="dxa"/>
            <w:vAlign w:val="center"/>
          </w:tcPr>
          <w:p>
            <w:pPr>
              <w:ind w:firstLine="105" w:firstLineChars="50"/>
            </w:pPr>
            <w:r>
              <w:rPr>
                <w:rFonts w:hint="eastAsia"/>
              </w:rPr>
              <w:t>招标控制价为：</w:t>
            </w:r>
          </w:p>
          <w:p>
            <w:pPr>
              <w:ind w:firstLine="105" w:firstLineChars="50"/>
            </w:pPr>
            <w:r>
              <w:rPr>
                <w:rFonts w:hint="eastAsia"/>
              </w:rPr>
              <w:t xml:space="preserve">        大写：壹佰叁拾叁万元整</w:t>
            </w:r>
          </w:p>
          <w:p>
            <w:pPr>
              <w:pStyle w:val="16"/>
              <w:ind w:firstLine="210"/>
            </w:pPr>
            <w:r>
              <w:rPr>
                <w:rFonts w:hint="eastAsia" w:ascii="宋体" w:hAnsi="宋体"/>
                <w:szCs w:val="21"/>
              </w:rPr>
              <w:t xml:space="preserve">       小写：1330000.00元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26" w:type="dxa"/>
            <w:gridSpan w:val="6"/>
            <w:vAlign w:val="center"/>
          </w:tcPr>
          <w:p>
            <w:pPr>
              <w:ind w:firstLine="210" w:firstLineChars="100"/>
              <w:rPr>
                <w:rFonts w:ascii="宋体" w:hAnsi="宋体"/>
                <w:szCs w:val="21"/>
              </w:rPr>
            </w:pPr>
            <w:r>
              <w:rPr>
                <w:rFonts w:hint="eastAsia" w:ascii="宋体" w:hAnsi="宋体"/>
                <w:szCs w:val="21"/>
              </w:rPr>
              <w:t>10.3  投标文件电子版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961" w:type="dxa"/>
            <w:gridSpan w:val="2"/>
            <w:vAlign w:val="center"/>
          </w:tcPr>
          <w:p>
            <w:pPr>
              <w:jc w:val="center"/>
              <w:rPr>
                <w:rFonts w:ascii="宋体" w:hAnsi="宋体"/>
                <w:szCs w:val="21"/>
              </w:rPr>
            </w:pPr>
            <w:r>
              <w:rPr>
                <w:rFonts w:hint="eastAsia" w:ascii="宋体" w:hAnsi="宋体"/>
                <w:szCs w:val="21"/>
              </w:rPr>
              <w:t>10</w:t>
            </w:r>
            <w:r>
              <w:rPr>
                <w:rFonts w:ascii="宋体" w:hAnsi="宋体"/>
                <w:szCs w:val="21"/>
              </w:rPr>
              <w:t>.4.1</w:t>
            </w:r>
          </w:p>
        </w:tc>
        <w:tc>
          <w:tcPr>
            <w:tcW w:w="3062" w:type="dxa"/>
            <w:gridSpan w:val="3"/>
            <w:vAlign w:val="center"/>
          </w:tcPr>
          <w:p>
            <w:pPr>
              <w:jc w:val="center"/>
              <w:rPr>
                <w:rFonts w:ascii="宋体" w:hAnsi="宋体"/>
                <w:szCs w:val="21"/>
              </w:rPr>
            </w:pPr>
            <w:r>
              <w:rPr>
                <w:rFonts w:hint="eastAsia" w:ascii="宋体" w:hAnsi="宋体"/>
                <w:szCs w:val="21"/>
              </w:rPr>
              <w:t>电子投标文件的提交</w:t>
            </w:r>
          </w:p>
        </w:tc>
        <w:tc>
          <w:tcPr>
            <w:tcW w:w="5103" w:type="dxa"/>
            <w:vAlign w:val="center"/>
          </w:tcPr>
          <w:p>
            <w:pPr>
              <w:spacing w:line="360" w:lineRule="exact"/>
              <w:ind w:firstLine="420" w:firstLineChars="200"/>
              <w:rPr>
                <w:rFonts w:ascii="宋体" w:hAnsi="宋体"/>
                <w:szCs w:val="21"/>
              </w:rPr>
            </w:pPr>
            <w:r>
              <w:rPr>
                <w:rFonts w:hint="eastAsia" w:ascii="宋体" w:hAnsi="宋体"/>
                <w:szCs w:val="21"/>
              </w:rPr>
              <w:t>加密电子投标文件应在招标文件规定的投标截止时间（开标时间）之前成功提交至《全国公共资源交易平台(河南省</w:t>
            </w:r>
            <w:r>
              <w:rPr>
                <w:rFonts w:hint="eastAsia" w:ascii="MS Mincho" w:hAnsi="MS Mincho" w:eastAsia="MS Mincho" w:cs="MS Mincho"/>
                <w:szCs w:val="21"/>
              </w:rPr>
              <w:t>▪</w:t>
            </w:r>
            <w:r>
              <w:rPr>
                <w:rFonts w:hint="eastAsia" w:ascii="宋体" w:hAnsi="宋体"/>
                <w:szCs w:val="21"/>
              </w:rPr>
              <w:t>汝州市)》公共资源交易系统（http://www.rzggzy.com/）。逾期到达交易系统的电子投标文件视为放弃本次投标。投标人应充分考虑并预留技术处理和上传数据所需时间。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1" w:type="dxa"/>
            <w:gridSpan w:val="2"/>
            <w:vAlign w:val="center"/>
          </w:tcPr>
          <w:p>
            <w:pPr>
              <w:jc w:val="center"/>
              <w:rPr>
                <w:rFonts w:ascii="宋体" w:hAnsi="宋体"/>
                <w:szCs w:val="21"/>
              </w:rPr>
            </w:pPr>
            <w:r>
              <w:rPr>
                <w:rFonts w:hint="eastAsia" w:ascii="宋体" w:hAnsi="宋体"/>
                <w:szCs w:val="21"/>
              </w:rPr>
              <w:t>10</w:t>
            </w:r>
            <w:r>
              <w:rPr>
                <w:rFonts w:ascii="宋体" w:hAnsi="宋体"/>
                <w:szCs w:val="21"/>
              </w:rPr>
              <w:t>.</w:t>
            </w:r>
            <w:r>
              <w:rPr>
                <w:rFonts w:hint="eastAsia" w:ascii="宋体" w:hAnsi="宋体"/>
                <w:szCs w:val="21"/>
              </w:rPr>
              <w:t>3</w:t>
            </w:r>
            <w:r>
              <w:rPr>
                <w:rFonts w:ascii="宋体" w:hAnsi="宋体"/>
                <w:szCs w:val="21"/>
              </w:rPr>
              <w:t>.2</w:t>
            </w:r>
          </w:p>
        </w:tc>
        <w:tc>
          <w:tcPr>
            <w:tcW w:w="3062" w:type="dxa"/>
            <w:gridSpan w:val="3"/>
            <w:vAlign w:val="center"/>
          </w:tcPr>
          <w:p>
            <w:pPr>
              <w:jc w:val="center"/>
              <w:rPr>
                <w:rFonts w:ascii="宋体" w:hAnsi="宋体"/>
                <w:szCs w:val="21"/>
              </w:rPr>
            </w:pPr>
            <w:r>
              <w:rPr>
                <w:rFonts w:hint="eastAsia" w:ascii="宋体" w:hAnsi="宋体" w:cs="宋体"/>
                <w:color w:val="000000"/>
                <w:szCs w:val="21"/>
                <w:lang w:bidi="ar"/>
              </w:rPr>
              <w:t>电子化投标文件的签章要求</w:t>
            </w:r>
          </w:p>
        </w:tc>
        <w:tc>
          <w:tcPr>
            <w:tcW w:w="5103" w:type="dxa"/>
            <w:vAlign w:val="center"/>
          </w:tcPr>
          <w:p>
            <w:pPr>
              <w:spacing w:line="360" w:lineRule="exact"/>
              <w:rPr>
                <w:rFonts w:ascii="宋体" w:hAnsi="宋体"/>
                <w:szCs w:val="21"/>
              </w:rPr>
            </w:pPr>
            <w:r>
              <w:rPr>
                <w:rFonts w:hint="eastAsia" w:ascii="宋体" w:hAnsi="宋体"/>
                <w:color w:val="000000"/>
                <w:szCs w:val="21"/>
              </w:rPr>
              <w:t>投标人在生成电子化投标文件后，应按招标文件要求对电子化投标文件进行电子签章，未进行电子签章的视为无效投标。投标文件应按招标文件第六章“投标文件格式”的要求加盖公司或法人电子签章，要求法定代表人或委托代理人电子签章的，以法定代表人签章为准。</w:t>
            </w:r>
            <w:r>
              <w:rPr>
                <w:rFonts w:ascii="宋体" w:hAnsi="宋体"/>
                <w:szCs w:val="21"/>
              </w:rPr>
              <w:fldChar w:fldCharType="begin"/>
            </w:r>
            <w:r>
              <w:rPr>
                <w:rFonts w:ascii="宋体" w:hAnsi="宋体"/>
                <w:szCs w:val="21"/>
              </w:rPr>
              <w:instrText xml:space="preserve"> AUTOTEXT  input551 \* MERGEFORMAT </w:instrText>
            </w:r>
            <w:r>
              <w:rPr>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61" w:type="dxa"/>
            <w:gridSpan w:val="2"/>
            <w:vAlign w:val="center"/>
          </w:tcPr>
          <w:p>
            <w:pPr>
              <w:jc w:val="center"/>
              <w:rPr>
                <w:rFonts w:ascii="宋体" w:hAnsi="宋体"/>
                <w:szCs w:val="21"/>
              </w:rPr>
            </w:pPr>
            <w:r>
              <w:rPr>
                <w:rFonts w:hint="eastAsia" w:ascii="宋体" w:hAnsi="宋体"/>
                <w:szCs w:val="21"/>
              </w:rPr>
              <w:t>10</w:t>
            </w: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rPr>
              <w:t>4</w:t>
            </w:r>
          </w:p>
        </w:tc>
        <w:tc>
          <w:tcPr>
            <w:tcW w:w="3062" w:type="dxa"/>
            <w:gridSpan w:val="3"/>
            <w:vAlign w:val="center"/>
          </w:tcPr>
          <w:p>
            <w:pPr>
              <w:jc w:val="center"/>
              <w:rPr>
                <w:rFonts w:ascii="宋体" w:hAnsi="宋体"/>
                <w:szCs w:val="21"/>
              </w:rPr>
            </w:pPr>
            <w:r>
              <w:rPr>
                <w:rFonts w:hint="eastAsia" w:ascii="宋体" w:hAnsi="宋体" w:cs="宋体"/>
                <w:color w:val="000000"/>
                <w:szCs w:val="21"/>
                <w:lang w:bidi="ar"/>
              </w:rPr>
              <w:t>“不见面”开标注意事项及操作流程</w:t>
            </w:r>
          </w:p>
        </w:tc>
        <w:tc>
          <w:tcPr>
            <w:tcW w:w="5103" w:type="dxa"/>
            <w:vAlign w:val="center"/>
          </w:tcPr>
          <w:p>
            <w:pPr>
              <w:spacing w:line="360" w:lineRule="exact"/>
              <w:rPr>
                <w:rFonts w:ascii="宋体" w:hAnsi="宋体" w:cs="宋体"/>
                <w:color w:val="000000"/>
                <w:szCs w:val="21"/>
              </w:rPr>
            </w:pPr>
            <w:r>
              <w:rPr>
                <w:rFonts w:hint="eastAsia" w:ascii="宋体" w:hAnsi="宋体" w:cs="宋体"/>
                <w:color w:val="000000"/>
                <w:szCs w:val="21"/>
              </w:rPr>
              <w:t>1、开标时，投标人采用网上远程异地解密时，请用CA证书登录汝州市公共资源交易中心业务系统，进入本项目开标大厅点击解密来完成投标文件的解密工作。每位投标人的解密时间从开标时间起60分钟内完成，超过规定时间解密的投标文件不予接收。</w:t>
            </w:r>
          </w:p>
          <w:p>
            <w:pPr>
              <w:spacing w:line="360" w:lineRule="exact"/>
              <w:rPr>
                <w:rFonts w:ascii="宋体" w:hAnsi="宋体" w:cs="宋体"/>
                <w:color w:val="000000"/>
                <w:szCs w:val="21"/>
              </w:rPr>
            </w:pPr>
            <w:r>
              <w:rPr>
                <w:rFonts w:hint="eastAsia" w:ascii="宋体" w:hAnsi="宋体" w:cs="宋体"/>
                <w:color w:val="000000"/>
                <w:szCs w:val="21"/>
              </w:rPr>
              <w:t>2、如出现投标人的电子投标文件无法解密的情况，投标人应及时联系采购人（代理机构）进行说明。投标文件解密异常，按以下步骤进行处理：</w:t>
            </w:r>
          </w:p>
          <w:p>
            <w:pPr>
              <w:spacing w:line="360" w:lineRule="exact"/>
              <w:rPr>
                <w:rFonts w:ascii="宋体" w:hAnsi="宋体" w:cs="宋体"/>
                <w:color w:val="000000"/>
                <w:szCs w:val="21"/>
              </w:rPr>
            </w:pPr>
            <w:r>
              <w:rPr>
                <w:rFonts w:hint="eastAsia" w:ascii="宋体" w:hAnsi="宋体" w:cs="宋体"/>
                <w:color w:val="000000"/>
                <w:szCs w:val="21"/>
              </w:rPr>
              <w:t>（1）如果是投标文件自身问题导致投标文件无法解密的，该投标文件将不予接收、解密。</w:t>
            </w:r>
          </w:p>
          <w:p>
            <w:pPr>
              <w:spacing w:line="360" w:lineRule="exact"/>
              <w:rPr>
                <w:rFonts w:ascii="宋体" w:hAnsi="宋体" w:cs="宋体"/>
                <w:color w:val="000000"/>
                <w:szCs w:val="21"/>
              </w:rPr>
            </w:pPr>
            <w:r>
              <w:rPr>
                <w:rFonts w:hint="eastAsia" w:ascii="宋体" w:hAnsi="宋体" w:cs="宋体"/>
                <w:color w:val="000000"/>
                <w:szCs w:val="21"/>
              </w:rPr>
              <w:t>（2）如果是电子化交易系统问题造成投标文件无法解密的，将由技术人员进行排查处理。如短时间内问题无法解决的，将由采购人（代理机构）联系监督部门申请暂停开标，待问题解决后继续开标。</w:t>
            </w:r>
          </w:p>
          <w:p>
            <w:pPr>
              <w:spacing w:line="360" w:lineRule="exact"/>
              <w:rPr>
                <w:rFonts w:ascii="宋体" w:hAnsi="宋体" w:cs="宋体"/>
                <w:color w:val="000000"/>
                <w:szCs w:val="21"/>
              </w:rPr>
            </w:pPr>
            <w:r>
              <w:rPr>
                <w:rFonts w:hint="eastAsia" w:ascii="宋体" w:hAnsi="宋体" w:cs="宋体"/>
                <w:color w:val="000000"/>
                <w:szCs w:val="21"/>
              </w:rPr>
              <w:t>3、所有投标文件解密完成后，由采购人（代理机构）操作，对开标结果进行公示。</w:t>
            </w:r>
          </w:p>
          <w:p>
            <w:pPr>
              <w:spacing w:line="360" w:lineRule="exact"/>
              <w:rPr>
                <w:rFonts w:ascii="宋体" w:hAnsi="宋体" w:cs="宋体"/>
                <w:color w:val="000000"/>
                <w:szCs w:val="21"/>
              </w:rPr>
            </w:pPr>
            <w:r>
              <w:rPr>
                <w:rFonts w:hint="eastAsia" w:ascii="宋体" w:hAnsi="宋体" w:cs="宋体"/>
                <w:color w:val="000000"/>
                <w:szCs w:val="21"/>
              </w:rPr>
              <w:t>4、投标人应保证在开标期间电话、电脑、网络等能够正常使用，投标人因停电、电脑病毒、网络堵塞等原因，未在规定的解密时间内对投标文件进行解密的，其投标文件不予接收。</w:t>
            </w:r>
          </w:p>
          <w:p>
            <w:pPr>
              <w:spacing w:line="360" w:lineRule="exact"/>
              <w:rPr>
                <w:rFonts w:ascii="宋体" w:hAnsi="宋体" w:cs="宋体"/>
                <w:color w:val="000000"/>
                <w:szCs w:val="21"/>
              </w:rPr>
            </w:pPr>
            <w:r>
              <w:rPr>
                <w:rFonts w:hint="eastAsia" w:ascii="宋体" w:hAnsi="宋体" w:cs="宋体"/>
                <w:color w:val="000000"/>
                <w:szCs w:val="21"/>
              </w:rPr>
              <w:t>5、解密完成后，投标人可通过电话微信联系采购人（代理机构），咨询本项目其他投标人开标一览信息。投标人也可登录到交易系统查看自己的投标报价。如有异议的，应在报价内容显示后20分钟内联系采购人（代理机构）进行质疑，投标人未在规定时间内提出相关质疑的，视为认可开标结果显</w:t>
            </w:r>
          </w:p>
          <w:p>
            <w:pPr>
              <w:spacing w:line="360" w:lineRule="exact"/>
              <w:rPr>
                <w:rFonts w:ascii="宋体" w:hAnsi="宋体" w:cs="宋体"/>
                <w:color w:val="000000"/>
                <w:szCs w:val="21"/>
              </w:rPr>
            </w:pPr>
            <w:r>
              <w:rPr>
                <w:rFonts w:hint="eastAsia" w:ascii="宋体" w:hAnsi="宋体" w:cs="宋体"/>
                <w:color w:val="000000"/>
                <w:szCs w:val="21"/>
              </w:rPr>
              <w:t>示内容。</w:t>
            </w:r>
          </w:p>
          <w:p>
            <w:pPr>
              <w:spacing w:line="360" w:lineRule="exact"/>
              <w:rPr>
                <w:rFonts w:ascii="宋体" w:hAnsi="宋体"/>
                <w:szCs w:val="21"/>
              </w:rPr>
            </w:pPr>
            <w:r>
              <w:rPr>
                <w:rFonts w:hint="eastAsia" w:ascii="宋体" w:hAnsi="宋体" w:cs="宋体"/>
                <w:color w:val="000000"/>
                <w:szCs w:val="21"/>
              </w:rPr>
              <w:t>6、其他注意事项及操作流程详见汝州市公共资源交易中心网站上的资料下载内容</w:t>
            </w:r>
            <w:r>
              <w:rPr>
                <w:rFonts w:ascii="宋体" w:hAnsi="宋体"/>
                <w:szCs w:val="21"/>
                <w:u w:val="single"/>
              </w:rPr>
              <w:fldChar w:fldCharType="begin"/>
            </w:r>
            <w:r>
              <w:rPr>
                <w:rFonts w:ascii="宋体" w:hAnsi="宋体"/>
                <w:szCs w:val="21"/>
                <w:u w:val="single"/>
              </w:rPr>
              <w:instrText xml:space="preserve"> AUTOTEXT  input553 \* MERGEFORMAT </w:instrText>
            </w:r>
            <w:r>
              <w:rPr>
                <w:rFonts w:ascii="宋体" w:hAnsi="宋体"/>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126" w:type="dxa"/>
            <w:gridSpan w:val="6"/>
            <w:vAlign w:val="center"/>
          </w:tcPr>
          <w:p>
            <w:pPr>
              <w:ind w:left="-105" w:leftChars="-50" w:firstLine="210" w:firstLineChars="100"/>
              <w:rPr>
                <w:rFonts w:ascii="宋体" w:hAnsi="宋体"/>
                <w:szCs w:val="21"/>
              </w:rPr>
            </w:pPr>
            <w:r>
              <w:rPr>
                <w:rFonts w:hint="eastAsia" w:ascii="宋体" w:hAnsi="宋体"/>
                <w:szCs w:val="21"/>
              </w:rPr>
              <w:t>10.4  计算机辅助评标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51" w:type="dxa"/>
            <w:vAlign w:val="center"/>
          </w:tcPr>
          <w:p>
            <w:pPr>
              <w:ind w:left="-105" w:leftChars="-50"/>
              <w:jc w:val="center"/>
              <w:rPr>
                <w:rFonts w:ascii="宋体" w:hAnsi="宋体"/>
                <w:szCs w:val="21"/>
              </w:rPr>
            </w:pPr>
          </w:p>
        </w:tc>
        <w:tc>
          <w:tcPr>
            <w:tcW w:w="3072" w:type="dxa"/>
            <w:gridSpan w:val="4"/>
            <w:vAlign w:val="center"/>
          </w:tcPr>
          <w:p>
            <w:pPr>
              <w:ind w:left="-105" w:leftChars="-50" w:firstLine="210" w:firstLineChars="100"/>
              <w:jc w:val="center"/>
              <w:rPr>
                <w:rFonts w:ascii="宋体" w:hAnsi="宋体"/>
                <w:szCs w:val="21"/>
              </w:rPr>
            </w:pPr>
            <w:r>
              <w:rPr>
                <w:rFonts w:hint="eastAsia" w:ascii="宋体" w:hAnsi="宋体"/>
                <w:szCs w:val="21"/>
              </w:rPr>
              <w:t>是否实行计算机辅助评标</w:t>
            </w:r>
          </w:p>
        </w:tc>
        <w:tc>
          <w:tcPr>
            <w:tcW w:w="5103" w:type="dxa"/>
            <w:vAlign w:val="center"/>
          </w:tcPr>
          <w:p>
            <w:pPr>
              <w:ind w:left="-105" w:leftChars="-50" w:firstLine="420" w:firstLineChars="200"/>
              <w:rPr>
                <w:rFonts w:ascii="宋体" w:hAns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126" w:type="dxa"/>
            <w:gridSpan w:val="6"/>
            <w:vAlign w:val="center"/>
          </w:tcPr>
          <w:p>
            <w:pPr>
              <w:ind w:firstLine="105" w:firstLineChars="50"/>
              <w:rPr>
                <w:rFonts w:ascii="宋体" w:hAnsi="宋体"/>
                <w:szCs w:val="21"/>
              </w:rPr>
            </w:pPr>
            <w:r>
              <w:rPr>
                <w:rFonts w:hint="eastAsia" w:ascii="宋体" w:hAnsi="宋体"/>
                <w:szCs w:val="21"/>
              </w:rPr>
              <w:t>10.5 中标公示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1" w:type="dxa"/>
            <w:gridSpan w:val="2"/>
            <w:vAlign w:val="center"/>
          </w:tcPr>
          <w:p>
            <w:pPr>
              <w:jc w:val="center"/>
              <w:rPr>
                <w:rFonts w:ascii="宋体" w:hAnsi="宋体"/>
                <w:szCs w:val="21"/>
              </w:rPr>
            </w:pPr>
          </w:p>
        </w:tc>
        <w:tc>
          <w:tcPr>
            <w:tcW w:w="8165" w:type="dxa"/>
            <w:gridSpan w:val="4"/>
            <w:vAlign w:val="center"/>
          </w:tcPr>
          <w:p>
            <w:pPr>
              <w:spacing w:line="360" w:lineRule="exact"/>
              <w:ind w:firstLine="420" w:firstLineChars="200"/>
              <w:rPr>
                <w:rFonts w:ascii="宋体" w:hAnsi="宋体"/>
                <w:szCs w:val="21"/>
              </w:rPr>
            </w:pPr>
            <w:r>
              <w:rPr>
                <w:rFonts w:hint="eastAsia" w:ascii="宋体" w:hAnsi="宋体"/>
                <w:szCs w:val="21"/>
              </w:rPr>
              <w:t>在中标通知书发出前，招标人将中标候选人的情况在本招标项目招标公告发布的同一媒介予以公示，公示期不少于1个工作日。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126" w:type="dxa"/>
            <w:gridSpan w:val="6"/>
            <w:vAlign w:val="center"/>
          </w:tcPr>
          <w:p>
            <w:pPr>
              <w:ind w:left="-105" w:leftChars="-50" w:firstLine="210" w:firstLineChars="100"/>
              <w:rPr>
                <w:rFonts w:ascii="宋体" w:hAnsi="宋体"/>
                <w:szCs w:val="21"/>
              </w:rPr>
            </w:pPr>
            <w:r>
              <w:rPr>
                <w:rFonts w:hint="eastAsia" w:ascii="宋体" w:hAnsi="宋体"/>
                <w:szCs w:val="21"/>
              </w:rPr>
              <w:t>10.6  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1" w:type="dxa"/>
            <w:gridSpan w:val="2"/>
            <w:vAlign w:val="center"/>
          </w:tcPr>
          <w:p>
            <w:pPr>
              <w:jc w:val="center"/>
              <w:rPr>
                <w:rFonts w:ascii="宋体" w:hAnsi="宋体"/>
                <w:szCs w:val="21"/>
              </w:rPr>
            </w:pPr>
          </w:p>
        </w:tc>
        <w:tc>
          <w:tcPr>
            <w:tcW w:w="8165" w:type="dxa"/>
            <w:gridSpan w:val="4"/>
            <w:vAlign w:val="center"/>
          </w:tcPr>
          <w:p>
            <w:pPr>
              <w:spacing w:line="360" w:lineRule="exact"/>
              <w:ind w:firstLine="420" w:firstLineChars="200"/>
              <w:rPr>
                <w:rFonts w:ascii="宋体" w:hAnsi="宋体"/>
                <w:szCs w:val="21"/>
              </w:rPr>
            </w:pPr>
            <w:r>
              <w:rPr>
                <w:rFonts w:hint="eastAsia" w:ascii="宋体" w:hAnsi="宋体"/>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126" w:type="dxa"/>
            <w:gridSpan w:val="6"/>
            <w:vAlign w:val="center"/>
          </w:tcPr>
          <w:p>
            <w:pPr>
              <w:ind w:firstLine="105" w:firstLineChars="50"/>
              <w:rPr>
                <w:rFonts w:ascii="宋体" w:hAnsi="宋体"/>
                <w:szCs w:val="21"/>
              </w:rPr>
            </w:pPr>
            <w:r>
              <w:rPr>
                <w:rFonts w:hint="eastAsia" w:ascii="宋体" w:hAnsi="宋体"/>
                <w:szCs w:val="21"/>
              </w:rPr>
              <w:t>10.7  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1" w:type="dxa"/>
            <w:gridSpan w:val="2"/>
            <w:vAlign w:val="center"/>
          </w:tcPr>
          <w:p>
            <w:pPr>
              <w:jc w:val="center"/>
              <w:rPr>
                <w:rFonts w:ascii="宋体" w:hAnsi="宋体"/>
                <w:szCs w:val="21"/>
              </w:rPr>
            </w:pPr>
          </w:p>
        </w:tc>
        <w:tc>
          <w:tcPr>
            <w:tcW w:w="8165" w:type="dxa"/>
            <w:gridSpan w:val="4"/>
            <w:vAlign w:val="center"/>
          </w:tcPr>
          <w:p>
            <w:pPr>
              <w:spacing w:line="360" w:lineRule="exact"/>
              <w:rPr>
                <w:rFonts w:ascii="宋体" w:hAnsi="宋体"/>
                <w:szCs w:val="21"/>
              </w:rPr>
            </w:pPr>
            <w:r>
              <w:rPr>
                <w:rFonts w:hint="eastAsia" w:ascii="宋体" w:hAnsi="宋体"/>
                <w:szCs w:val="21"/>
              </w:rPr>
              <w:t xml:space="preserve">    除投标人须知正文第8条规定的情形外，除非已经产生中标候选人，在投标有效期内同意延长投标有效期的投标人少于三个的，招标人应当依法重新招标。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126" w:type="dxa"/>
            <w:gridSpan w:val="6"/>
            <w:vAlign w:val="center"/>
          </w:tcPr>
          <w:p>
            <w:pPr>
              <w:ind w:left="-105" w:leftChars="-50" w:firstLine="210" w:firstLineChars="100"/>
              <w:rPr>
                <w:rFonts w:ascii="宋体" w:hAnsi="宋体"/>
                <w:szCs w:val="21"/>
              </w:rPr>
            </w:pPr>
            <w:r>
              <w:rPr>
                <w:rFonts w:hint="eastAsia" w:ascii="宋体" w:hAnsi="宋体"/>
                <w:szCs w:val="21"/>
              </w:rPr>
              <w:t>10.8 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1" w:type="dxa"/>
            <w:gridSpan w:val="2"/>
            <w:vAlign w:val="center"/>
          </w:tcPr>
          <w:p>
            <w:pPr>
              <w:jc w:val="center"/>
              <w:rPr>
                <w:rFonts w:ascii="宋体" w:hAnsi="宋体"/>
                <w:szCs w:val="21"/>
              </w:rPr>
            </w:pPr>
          </w:p>
        </w:tc>
        <w:tc>
          <w:tcPr>
            <w:tcW w:w="8165" w:type="dxa"/>
            <w:gridSpan w:val="4"/>
            <w:vAlign w:val="center"/>
          </w:tcPr>
          <w:p>
            <w:pPr>
              <w:spacing w:line="360" w:lineRule="exact"/>
              <w:ind w:firstLine="420" w:firstLineChars="200"/>
              <w:rPr>
                <w:rFonts w:ascii="宋体" w:hAnsi="宋体"/>
                <w:szCs w:val="21"/>
              </w:rPr>
            </w:pPr>
            <w:r>
              <w:rPr>
                <w:rFonts w:hint="eastAsia" w:ascii="宋体" w:hAnsi="宋体"/>
                <w:szCs w:val="21"/>
              </w:rPr>
              <w:t>构成招标文件组成部分的“通用合同条款”、“专用合同条款”、“技术标准和要求”和“工程量清单”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126" w:type="dxa"/>
            <w:gridSpan w:val="6"/>
            <w:vAlign w:val="center"/>
          </w:tcPr>
          <w:p>
            <w:pPr>
              <w:ind w:left="-105" w:leftChars="-50" w:firstLine="210" w:firstLineChars="100"/>
              <w:rPr>
                <w:rFonts w:ascii="宋体" w:hAnsi="宋体"/>
                <w:szCs w:val="21"/>
              </w:rPr>
            </w:pPr>
            <w:r>
              <w:rPr>
                <w:rFonts w:hint="eastAsia" w:ascii="宋体" w:hAnsi="宋体"/>
                <w:szCs w:val="21"/>
              </w:rPr>
              <w:t>10.9  监  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1" w:type="dxa"/>
            <w:gridSpan w:val="2"/>
            <w:vAlign w:val="center"/>
          </w:tcPr>
          <w:p>
            <w:pPr>
              <w:jc w:val="center"/>
              <w:rPr>
                <w:rFonts w:ascii="宋体" w:hAnsi="宋体"/>
                <w:szCs w:val="21"/>
              </w:rPr>
            </w:pPr>
          </w:p>
        </w:tc>
        <w:tc>
          <w:tcPr>
            <w:tcW w:w="8165" w:type="dxa"/>
            <w:gridSpan w:val="4"/>
            <w:vAlign w:val="center"/>
          </w:tcPr>
          <w:p>
            <w:pPr>
              <w:spacing w:line="360" w:lineRule="exact"/>
              <w:ind w:firstLine="420" w:firstLineChars="200"/>
              <w:rPr>
                <w:rFonts w:ascii="宋体" w:hAnsi="宋体"/>
                <w:szCs w:val="21"/>
              </w:rPr>
            </w:pPr>
            <w:r>
              <w:rPr>
                <w:rFonts w:hint="eastAsia" w:ascii="宋体" w:hAnsi="宋体"/>
                <w:szCs w:val="21"/>
              </w:rPr>
              <w:t>本项目的招标投标活动及其相关当事人应当接受有管辖权的建设工程招标投标行政监督部门依法实施的监督。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26" w:type="dxa"/>
            <w:gridSpan w:val="6"/>
            <w:vAlign w:val="center"/>
          </w:tcPr>
          <w:p>
            <w:pPr>
              <w:ind w:left="-105" w:leftChars="-50" w:firstLine="210" w:firstLineChars="100"/>
              <w:rPr>
                <w:rFonts w:ascii="宋体" w:hAnsi="宋体"/>
                <w:szCs w:val="21"/>
              </w:rPr>
            </w:pPr>
            <w:r>
              <w:rPr>
                <w:rFonts w:hint="eastAsia" w:ascii="宋体" w:hAnsi="宋体"/>
                <w:szCs w:val="21"/>
              </w:rPr>
              <w:t>10.10  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gridSpan w:val="2"/>
            <w:vAlign w:val="center"/>
          </w:tcPr>
          <w:p>
            <w:pPr>
              <w:jc w:val="center"/>
              <w:rPr>
                <w:rFonts w:ascii="宋体" w:hAnsi="宋体"/>
                <w:szCs w:val="21"/>
              </w:rPr>
            </w:pPr>
          </w:p>
        </w:tc>
        <w:tc>
          <w:tcPr>
            <w:tcW w:w="8165" w:type="dxa"/>
            <w:gridSpan w:val="4"/>
            <w:vAlign w:val="center"/>
          </w:tcPr>
          <w:p>
            <w:pPr>
              <w:spacing w:line="360" w:lineRule="exact"/>
              <w:ind w:firstLine="420" w:firstLineChars="200"/>
              <w:rPr>
                <w:rFonts w:ascii="宋体" w:hAnsi="宋体"/>
                <w:szCs w:val="21"/>
              </w:rPr>
            </w:pPr>
            <w:r>
              <w:rPr>
                <w:rFonts w:hint="eastAsia" w:ascii="宋体" w:hAnsi="宋体"/>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126" w:type="dxa"/>
            <w:gridSpan w:val="6"/>
            <w:vAlign w:val="center"/>
          </w:tcPr>
          <w:p>
            <w:pPr>
              <w:rPr>
                <w:rFonts w:ascii="宋体" w:hAnsi="宋体"/>
                <w:szCs w:val="21"/>
              </w:rPr>
            </w:pPr>
            <w:r>
              <w:rPr>
                <w:rFonts w:hint="eastAsia" w:ascii="宋体" w:hAnsi="宋体"/>
                <w:szCs w:val="21"/>
              </w:rPr>
              <w:t>10.11 招标人补充的其他内容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51" w:type="dxa"/>
            <w:vAlign w:val="center"/>
          </w:tcPr>
          <w:p>
            <w:pPr>
              <w:spacing w:line="360" w:lineRule="exact"/>
              <w:jc w:val="left"/>
              <w:rPr>
                <w:rFonts w:ascii="宋体" w:hAnsi="宋体"/>
                <w:szCs w:val="21"/>
              </w:rPr>
            </w:pPr>
            <w:r>
              <w:rPr>
                <w:rFonts w:hint="eastAsia" w:ascii="宋体" w:hAnsi="宋体"/>
                <w:szCs w:val="21"/>
              </w:rPr>
              <w:t>10.11.1</w:t>
            </w:r>
          </w:p>
        </w:tc>
        <w:tc>
          <w:tcPr>
            <w:tcW w:w="8175" w:type="dxa"/>
            <w:gridSpan w:val="5"/>
            <w:vAlign w:val="center"/>
          </w:tcPr>
          <w:p>
            <w:pPr>
              <w:spacing w:line="360" w:lineRule="exact"/>
              <w:ind w:firstLine="420" w:firstLineChars="200"/>
              <w:rPr>
                <w:rFonts w:ascii="宋体" w:hAnsi="宋体"/>
                <w:szCs w:val="21"/>
              </w:rPr>
            </w:pPr>
            <w:r>
              <w:rPr>
                <w:rFonts w:hint="eastAsia" w:ascii="宋体" w:hAnsi="宋体"/>
                <w:szCs w:val="21"/>
              </w:rPr>
              <w:t>投标单位如有围标串标、弄虚作假、借用资质、行贿等违法行为，一经查实，按照招标投标法相关处理条款从投标保证金中扣除罚款及赔付投标企业保证金贷款利息和因流标造成的相关费用等，已中标的取消中标资格，清除建筑市场。举报单位需按照《工程建设项目招标投标活动投诉处理办法》第七条要求提供证明材料，如有弄虚作假一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1" w:type="dxa"/>
            <w:vAlign w:val="center"/>
          </w:tcPr>
          <w:p>
            <w:pPr>
              <w:spacing w:line="360" w:lineRule="exact"/>
              <w:jc w:val="left"/>
              <w:rPr>
                <w:rFonts w:ascii="宋体" w:hAnsi="宋体"/>
                <w:szCs w:val="21"/>
              </w:rPr>
            </w:pPr>
            <w:r>
              <w:rPr>
                <w:rFonts w:hint="eastAsia" w:ascii="宋体" w:hAnsi="宋体"/>
                <w:szCs w:val="21"/>
              </w:rPr>
              <w:t>10.11.2</w:t>
            </w:r>
          </w:p>
        </w:tc>
        <w:tc>
          <w:tcPr>
            <w:tcW w:w="8175" w:type="dxa"/>
            <w:gridSpan w:val="5"/>
            <w:vAlign w:val="center"/>
          </w:tcPr>
          <w:p>
            <w:pPr>
              <w:spacing w:line="360" w:lineRule="exact"/>
              <w:ind w:firstLine="420" w:firstLineChars="200"/>
              <w:rPr>
                <w:rFonts w:ascii="宋体" w:hAnsi="宋体"/>
                <w:szCs w:val="21"/>
              </w:rPr>
            </w:pPr>
            <w:r>
              <w:rPr>
                <w:rFonts w:hint="eastAsia" w:ascii="宋体" w:hAnsi="宋体"/>
                <w:szCs w:val="21"/>
              </w:rPr>
              <w:t>参加投标的单位详见网站通知公告栏《关于实行交易用户网上注册的通知》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1" w:type="dxa"/>
            <w:vAlign w:val="center"/>
          </w:tcPr>
          <w:p>
            <w:pPr>
              <w:spacing w:line="360" w:lineRule="exact"/>
              <w:jc w:val="left"/>
              <w:rPr>
                <w:rFonts w:ascii="宋体" w:hAnsi="宋体"/>
                <w:szCs w:val="21"/>
              </w:rPr>
            </w:pPr>
            <w:r>
              <w:rPr>
                <w:rFonts w:hint="eastAsia" w:ascii="宋体" w:hAnsi="宋体"/>
                <w:szCs w:val="21"/>
              </w:rPr>
              <w:t>10.11.3</w:t>
            </w:r>
          </w:p>
        </w:tc>
        <w:tc>
          <w:tcPr>
            <w:tcW w:w="8175" w:type="dxa"/>
            <w:gridSpan w:val="5"/>
            <w:vAlign w:val="center"/>
          </w:tcPr>
          <w:p>
            <w:pPr>
              <w:spacing w:line="360" w:lineRule="exact"/>
              <w:ind w:firstLine="420" w:firstLineChars="200"/>
              <w:rPr>
                <w:rFonts w:ascii="宋体" w:hAnsi="宋体"/>
                <w:szCs w:val="21"/>
              </w:rPr>
            </w:pPr>
            <w:r>
              <w:rPr>
                <w:rFonts w:hint="eastAsia" w:ascii="宋体" w:hAnsi="宋体"/>
                <w:szCs w:val="21"/>
              </w:rPr>
              <w:t>招标文件未载明的相关事项必须遵守相关法律法规及规定。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951" w:type="dxa"/>
            <w:vAlign w:val="center"/>
          </w:tcPr>
          <w:p>
            <w:pPr>
              <w:spacing w:line="360" w:lineRule="exact"/>
              <w:jc w:val="left"/>
              <w:rPr>
                <w:rFonts w:ascii="宋体" w:hAnsi="宋体"/>
                <w:szCs w:val="21"/>
              </w:rPr>
            </w:pPr>
            <w:r>
              <w:rPr>
                <w:rFonts w:hint="eastAsia" w:ascii="宋体" w:hAnsi="宋体"/>
                <w:szCs w:val="21"/>
              </w:rPr>
              <w:t>10.11.4</w:t>
            </w:r>
          </w:p>
        </w:tc>
        <w:tc>
          <w:tcPr>
            <w:tcW w:w="8175" w:type="dxa"/>
            <w:gridSpan w:val="5"/>
            <w:vAlign w:val="center"/>
          </w:tcPr>
          <w:p>
            <w:pPr>
              <w:spacing w:line="360" w:lineRule="exact"/>
              <w:ind w:firstLine="420" w:firstLineChars="200"/>
              <w:rPr>
                <w:rFonts w:ascii="宋体" w:hAnsi="宋体"/>
                <w:szCs w:val="21"/>
              </w:rPr>
            </w:pPr>
            <w:r>
              <w:rPr>
                <w:rFonts w:hint="eastAsia"/>
                <w:color w:val="000000"/>
              </w:rPr>
              <w:t>本项目的招标代理服务费参照《国家发展和改革委员会办公厅关于招标代理服务费有关问题的通知》（发改办价格【</w:t>
            </w:r>
            <w:r>
              <w:rPr>
                <w:color w:val="000000"/>
              </w:rPr>
              <w:t>2002</w:t>
            </w:r>
            <w:r>
              <w:rPr>
                <w:rFonts w:hint="eastAsia"/>
                <w:color w:val="000000"/>
              </w:rPr>
              <w:t>】</w:t>
            </w:r>
            <w:r>
              <w:rPr>
                <w:color w:val="000000"/>
              </w:rPr>
              <w:t>1980</w:t>
            </w:r>
            <w:r>
              <w:rPr>
                <w:rFonts w:hint="eastAsia"/>
                <w:color w:val="000000"/>
              </w:rPr>
              <w:t>号）文件的规定由中标人支付，由中标人领取中标通知书前以现金形式向招标代理公司一次性支付。</w:t>
            </w:r>
          </w:p>
        </w:tc>
      </w:tr>
    </w:tbl>
    <w:p>
      <w:pPr>
        <w:spacing w:line="360" w:lineRule="exact"/>
      </w:pPr>
      <w:bookmarkStart w:id="14" w:name="Book7"/>
      <w:r>
        <w:br w:type="page"/>
      </w:r>
    </w:p>
    <w:p>
      <w:pPr>
        <w:pStyle w:val="8"/>
        <w:keepNext w:val="0"/>
        <w:keepLines w:val="0"/>
        <w:jc w:val="center"/>
        <w:rPr>
          <w:rFonts w:ascii="黑体" w:hAnsi="黑体" w:eastAsia="黑体"/>
          <w:b w:val="0"/>
          <w:sz w:val="28"/>
          <w:szCs w:val="28"/>
        </w:rPr>
      </w:pPr>
      <w:r>
        <w:rPr>
          <w:rFonts w:hint="eastAsia" w:ascii="黑体" w:hAnsi="黑体" w:eastAsia="黑体"/>
          <w:b w:val="0"/>
          <w:sz w:val="28"/>
          <w:szCs w:val="28"/>
        </w:rPr>
        <w:t>投标人须知正文部分</w:t>
      </w:r>
    </w:p>
    <w:bookmarkEnd w:id="14"/>
    <w:p>
      <w:pPr>
        <w:pStyle w:val="23"/>
        <w:numPr>
          <w:ilvl w:val="0"/>
          <w:numId w:val="7"/>
        </w:numPr>
        <w:tabs>
          <w:tab w:val="clear" w:pos="425"/>
        </w:tabs>
        <w:spacing w:before="0" w:after="0" w:line="360" w:lineRule="auto"/>
        <w:rPr>
          <w:sz w:val="21"/>
          <w:szCs w:val="21"/>
        </w:rPr>
      </w:pPr>
      <w:bookmarkStart w:id="15" w:name="_Toc251767401"/>
      <w:bookmarkStart w:id="16" w:name="_Toc536623931"/>
      <w:bookmarkStart w:id="17" w:name="_Toc190678810"/>
      <w:bookmarkStart w:id="18" w:name="_Toc191983615"/>
      <w:bookmarkStart w:id="19" w:name="Book65"/>
      <w:r>
        <w:rPr>
          <w:sz w:val="21"/>
          <w:szCs w:val="21"/>
        </w:rPr>
        <w:t>总则</w:t>
      </w:r>
      <w:bookmarkEnd w:id="15"/>
      <w:bookmarkEnd w:id="16"/>
      <w:bookmarkEnd w:id="17"/>
      <w:bookmarkEnd w:id="18"/>
    </w:p>
    <w:p>
      <w:pPr>
        <w:pStyle w:val="24"/>
        <w:numPr>
          <w:ilvl w:val="1"/>
          <w:numId w:val="7"/>
        </w:numPr>
        <w:spacing w:line="360" w:lineRule="auto"/>
        <w:rPr>
          <w:b/>
          <w:szCs w:val="21"/>
        </w:rPr>
      </w:pPr>
      <w:r>
        <w:rPr>
          <w:b/>
          <w:szCs w:val="21"/>
        </w:rPr>
        <w:t>项目概况</w:t>
      </w:r>
    </w:p>
    <w:p>
      <w:pPr>
        <w:pStyle w:val="24"/>
        <w:numPr>
          <w:ilvl w:val="2"/>
          <w:numId w:val="7"/>
        </w:numPr>
        <w:spacing w:line="360" w:lineRule="auto"/>
        <w:rPr>
          <w:szCs w:val="21"/>
        </w:rPr>
      </w:pPr>
      <w:r>
        <w:rPr>
          <w:szCs w:val="21"/>
        </w:rPr>
        <w:t>根据《中华人民共和国招标投标法》等有关法律、法规和规章的规定，本招标项目已具备招标条件，现对本工程监理进行招标。</w:t>
      </w:r>
    </w:p>
    <w:p>
      <w:pPr>
        <w:pStyle w:val="24"/>
        <w:numPr>
          <w:ilvl w:val="2"/>
          <w:numId w:val="7"/>
        </w:numPr>
        <w:spacing w:line="360" w:lineRule="auto"/>
        <w:rPr>
          <w:szCs w:val="21"/>
        </w:rPr>
      </w:pPr>
      <w:r>
        <w:rPr>
          <w:szCs w:val="21"/>
        </w:rPr>
        <w:t>本招标项目招标人：见投标人须知前附表。</w:t>
      </w:r>
    </w:p>
    <w:p>
      <w:pPr>
        <w:pStyle w:val="24"/>
        <w:numPr>
          <w:ilvl w:val="2"/>
          <w:numId w:val="7"/>
        </w:numPr>
        <w:spacing w:line="360" w:lineRule="auto"/>
        <w:rPr>
          <w:szCs w:val="21"/>
        </w:rPr>
      </w:pPr>
      <w:r>
        <w:rPr>
          <w:szCs w:val="21"/>
        </w:rPr>
        <w:t>本工程招标代理机构：见投标人须知前附表。</w:t>
      </w:r>
    </w:p>
    <w:p>
      <w:pPr>
        <w:pStyle w:val="24"/>
        <w:numPr>
          <w:ilvl w:val="2"/>
          <w:numId w:val="7"/>
        </w:numPr>
        <w:spacing w:line="360" w:lineRule="auto"/>
        <w:rPr>
          <w:szCs w:val="21"/>
        </w:rPr>
      </w:pPr>
      <w:r>
        <w:rPr>
          <w:szCs w:val="21"/>
        </w:rPr>
        <w:t>本招标项目名称：见投标人须知前附表。</w:t>
      </w:r>
    </w:p>
    <w:p>
      <w:pPr>
        <w:pStyle w:val="24"/>
        <w:numPr>
          <w:ilvl w:val="2"/>
          <w:numId w:val="7"/>
        </w:numPr>
        <w:spacing w:line="360" w:lineRule="auto"/>
        <w:rPr>
          <w:szCs w:val="21"/>
        </w:rPr>
      </w:pPr>
      <w:r>
        <w:rPr>
          <w:szCs w:val="21"/>
        </w:rPr>
        <w:t>本工程建设地点：见投标人须知前附表。</w:t>
      </w:r>
    </w:p>
    <w:p>
      <w:pPr>
        <w:pStyle w:val="24"/>
        <w:numPr>
          <w:ilvl w:val="2"/>
          <w:numId w:val="7"/>
        </w:numPr>
        <w:spacing w:line="360" w:lineRule="auto"/>
        <w:rPr>
          <w:szCs w:val="21"/>
        </w:rPr>
      </w:pPr>
      <w:r>
        <w:rPr>
          <w:szCs w:val="21"/>
        </w:rPr>
        <w:t>本次招标工程概况：见投标人须知前附表。</w:t>
      </w:r>
    </w:p>
    <w:p>
      <w:pPr>
        <w:pStyle w:val="24"/>
        <w:numPr>
          <w:ilvl w:val="2"/>
          <w:numId w:val="7"/>
        </w:numPr>
        <w:spacing w:line="360" w:lineRule="auto"/>
        <w:rPr>
          <w:szCs w:val="21"/>
        </w:rPr>
      </w:pPr>
      <w:r>
        <w:rPr>
          <w:szCs w:val="21"/>
        </w:rPr>
        <w:t>本次招标标段划分：见投标人须知前附表。</w:t>
      </w:r>
    </w:p>
    <w:p>
      <w:pPr>
        <w:pStyle w:val="24"/>
        <w:numPr>
          <w:ilvl w:val="2"/>
          <w:numId w:val="7"/>
        </w:numPr>
        <w:spacing w:line="360" w:lineRule="auto"/>
        <w:rPr>
          <w:szCs w:val="21"/>
        </w:rPr>
      </w:pPr>
      <w:r>
        <w:rPr>
          <w:szCs w:val="21"/>
        </w:rPr>
        <w:t>本次招标范围：见投标人须知前附表。</w:t>
      </w:r>
    </w:p>
    <w:p>
      <w:pPr>
        <w:pStyle w:val="24"/>
        <w:numPr>
          <w:ilvl w:val="1"/>
          <w:numId w:val="7"/>
        </w:numPr>
        <w:spacing w:line="360" w:lineRule="auto"/>
        <w:rPr>
          <w:b/>
          <w:szCs w:val="21"/>
        </w:rPr>
      </w:pPr>
      <w:r>
        <w:rPr>
          <w:b/>
          <w:szCs w:val="21"/>
        </w:rPr>
        <w:t>资金来源和落实情况</w:t>
      </w:r>
    </w:p>
    <w:p>
      <w:pPr>
        <w:numPr>
          <w:ilvl w:val="2"/>
          <w:numId w:val="7"/>
        </w:numPr>
        <w:spacing w:line="360" w:lineRule="auto"/>
        <w:rPr>
          <w:szCs w:val="21"/>
        </w:rPr>
      </w:pPr>
      <w:r>
        <w:rPr>
          <w:szCs w:val="21"/>
        </w:rPr>
        <w:t>本招标项目的资金来源：见投标人须知前附表。</w:t>
      </w:r>
    </w:p>
    <w:p>
      <w:pPr>
        <w:numPr>
          <w:ilvl w:val="2"/>
          <w:numId w:val="7"/>
        </w:numPr>
        <w:spacing w:line="360" w:lineRule="auto"/>
        <w:rPr>
          <w:szCs w:val="21"/>
        </w:rPr>
      </w:pPr>
      <w:r>
        <w:rPr>
          <w:szCs w:val="21"/>
        </w:rPr>
        <w:t>本招标项目的资金落实情况：见投标人须知前附表。</w:t>
      </w:r>
    </w:p>
    <w:p>
      <w:pPr>
        <w:pStyle w:val="24"/>
        <w:numPr>
          <w:ilvl w:val="1"/>
          <w:numId w:val="7"/>
        </w:numPr>
        <w:spacing w:line="360" w:lineRule="auto"/>
        <w:rPr>
          <w:b/>
          <w:szCs w:val="21"/>
        </w:rPr>
      </w:pPr>
      <w:r>
        <w:rPr>
          <w:b/>
          <w:szCs w:val="21"/>
        </w:rPr>
        <w:t>监理目标</w:t>
      </w:r>
    </w:p>
    <w:p>
      <w:pPr>
        <w:pStyle w:val="24"/>
        <w:numPr>
          <w:ilvl w:val="2"/>
          <w:numId w:val="7"/>
        </w:numPr>
        <w:spacing w:line="360" w:lineRule="auto"/>
        <w:rPr>
          <w:szCs w:val="21"/>
        </w:rPr>
      </w:pPr>
      <w:r>
        <w:rPr>
          <w:szCs w:val="21"/>
        </w:rPr>
        <w:t>本工程监理工期控制目标：见投标人须知前附表。</w:t>
      </w:r>
    </w:p>
    <w:p>
      <w:pPr>
        <w:pStyle w:val="24"/>
        <w:numPr>
          <w:ilvl w:val="2"/>
          <w:numId w:val="7"/>
        </w:numPr>
        <w:spacing w:line="360" w:lineRule="auto"/>
        <w:rPr>
          <w:szCs w:val="21"/>
        </w:rPr>
      </w:pPr>
      <w:r>
        <w:rPr>
          <w:szCs w:val="21"/>
        </w:rPr>
        <w:t>本工程监理质量控制目标：见投标人须知前附表。</w:t>
      </w:r>
    </w:p>
    <w:p>
      <w:pPr>
        <w:pStyle w:val="24"/>
        <w:numPr>
          <w:ilvl w:val="2"/>
          <w:numId w:val="7"/>
        </w:numPr>
        <w:spacing w:line="360" w:lineRule="auto"/>
        <w:rPr>
          <w:szCs w:val="21"/>
        </w:rPr>
      </w:pPr>
      <w:r>
        <w:rPr>
          <w:szCs w:val="21"/>
        </w:rPr>
        <w:t>承包方式实行总承包，中标人应尽快组织人员进驻现场，实施四控（质量控制、进度控制、投资控制、安全控制）、二管（合同管理、信息管理）、一协调（各参建单位之间相互关系的协调及外部关系的协调），公正的维护各方的合法权益，帮助建设单位实现预定目标。</w:t>
      </w:r>
    </w:p>
    <w:p>
      <w:pPr>
        <w:pStyle w:val="24"/>
        <w:numPr>
          <w:ilvl w:val="1"/>
          <w:numId w:val="7"/>
        </w:numPr>
        <w:spacing w:line="360" w:lineRule="auto"/>
        <w:rPr>
          <w:b/>
          <w:szCs w:val="21"/>
        </w:rPr>
      </w:pPr>
      <w:r>
        <w:rPr>
          <w:b/>
          <w:szCs w:val="21"/>
        </w:rPr>
        <w:t>投标人资格要求</w:t>
      </w:r>
    </w:p>
    <w:p>
      <w:pPr>
        <w:pStyle w:val="24"/>
        <w:tabs>
          <w:tab w:val="left" w:pos="1440"/>
        </w:tabs>
        <w:spacing w:line="360" w:lineRule="auto"/>
        <w:ind w:left="340"/>
        <w:rPr>
          <w:szCs w:val="21"/>
        </w:rPr>
      </w:pPr>
      <w:r>
        <w:rPr>
          <w:rFonts w:hint="eastAsia" w:ascii="宋体" w:hAnsi="宋体" w:cs="宋体"/>
          <w:bCs/>
          <w:szCs w:val="21"/>
        </w:rPr>
        <w:t>1.4.1</w:t>
      </w:r>
      <w:r>
        <w:rPr>
          <w:b/>
          <w:szCs w:val="21"/>
        </w:rPr>
        <w:t>投标人应具备承担本</w:t>
      </w:r>
      <w:r>
        <w:rPr>
          <w:rFonts w:hint="eastAsia"/>
          <w:b/>
          <w:szCs w:val="21"/>
        </w:rPr>
        <w:t>项目</w:t>
      </w:r>
      <w:r>
        <w:rPr>
          <w:b/>
          <w:szCs w:val="21"/>
        </w:rPr>
        <w:t>监理的资质条件</w:t>
      </w:r>
      <w:r>
        <w:rPr>
          <w:rFonts w:hint="eastAsia"/>
          <w:b/>
          <w:szCs w:val="21"/>
        </w:rPr>
        <w:t>：</w:t>
      </w:r>
      <w:r>
        <w:rPr>
          <w:szCs w:val="21"/>
        </w:rPr>
        <w:t>见投标人须知前附表。</w:t>
      </w:r>
    </w:p>
    <w:p>
      <w:pPr>
        <w:pStyle w:val="24"/>
        <w:numPr>
          <w:ilvl w:val="2"/>
          <w:numId w:val="7"/>
        </w:numPr>
        <w:spacing w:line="360" w:lineRule="auto"/>
        <w:rPr>
          <w:b/>
          <w:szCs w:val="21"/>
        </w:rPr>
      </w:pPr>
      <w:r>
        <w:rPr>
          <w:b/>
          <w:szCs w:val="21"/>
        </w:rPr>
        <w:t>服务质量</w:t>
      </w:r>
    </w:p>
    <w:p>
      <w:pPr>
        <w:pStyle w:val="24"/>
        <w:numPr>
          <w:ilvl w:val="3"/>
          <w:numId w:val="7"/>
        </w:numPr>
        <w:tabs>
          <w:tab w:val="left" w:pos="1440"/>
        </w:tabs>
        <w:spacing w:line="360" w:lineRule="auto"/>
        <w:rPr>
          <w:szCs w:val="21"/>
        </w:rPr>
      </w:pPr>
      <w:r>
        <w:rPr>
          <w:szCs w:val="21"/>
        </w:rPr>
        <w:t>监理单位要在中华人民共和国目前所发行的法律、法规及地方政府规章许可的范围内进行监理工作，认真履行监理工作的责任和权力。</w:t>
      </w:r>
    </w:p>
    <w:p>
      <w:pPr>
        <w:pStyle w:val="24"/>
        <w:tabs>
          <w:tab w:val="left" w:pos="1800"/>
        </w:tabs>
        <w:spacing w:line="360" w:lineRule="auto"/>
        <w:ind w:firstLine="420" w:firstLineChars="200"/>
        <w:rPr>
          <w:szCs w:val="21"/>
        </w:rPr>
      </w:pPr>
      <w:r>
        <w:rPr>
          <w:rFonts w:hint="eastAsia"/>
          <w:szCs w:val="21"/>
        </w:rPr>
        <w:t>（1）</w:t>
      </w:r>
      <w:r>
        <w:rPr>
          <w:szCs w:val="21"/>
        </w:rPr>
        <w:t>按照“四控、二管、一协调”的要求，认真对建设</w:t>
      </w:r>
      <w:r>
        <w:rPr>
          <w:rFonts w:hint="eastAsia"/>
          <w:szCs w:val="21"/>
        </w:rPr>
        <w:t>承建</w:t>
      </w:r>
      <w:r>
        <w:rPr>
          <w:szCs w:val="21"/>
        </w:rPr>
        <w:t>方的施工组织设计、技术方案等提出审核意见，并向建设单位书面报告；</w:t>
      </w:r>
    </w:p>
    <w:p>
      <w:pPr>
        <w:pStyle w:val="24"/>
        <w:tabs>
          <w:tab w:val="left" w:pos="1800"/>
        </w:tabs>
        <w:spacing w:line="360" w:lineRule="auto"/>
        <w:ind w:firstLine="420" w:firstLineChars="200"/>
        <w:rPr>
          <w:szCs w:val="21"/>
        </w:rPr>
      </w:pPr>
      <w:r>
        <w:rPr>
          <w:rFonts w:hint="eastAsia"/>
          <w:szCs w:val="21"/>
        </w:rPr>
        <w:t>（2）</w:t>
      </w:r>
      <w:r>
        <w:rPr>
          <w:szCs w:val="21"/>
        </w:rPr>
        <w:t>做好二十四小时旁站监理，合理、公开、公正的行使权利，经招标人同意后，发布开工令、停工令、复工令等；</w:t>
      </w:r>
    </w:p>
    <w:p>
      <w:pPr>
        <w:pStyle w:val="24"/>
        <w:tabs>
          <w:tab w:val="left" w:pos="1800"/>
        </w:tabs>
        <w:spacing w:line="360" w:lineRule="auto"/>
        <w:ind w:firstLine="420" w:firstLineChars="200"/>
        <w:rPr>
          <w:szCs w:val="21"/>
        </w:rPr>
      </w:pPr>
      <w:r>
        <w:rPr>
          <w:rFonts w:hint="eastAsia"/>
          <w:szCs w:val="21"/>
        </w:rPr>
        <w:t>（3）</w:t>
      </w:r>
      <w:r>
        <w:rPr>
          <w:szCs w:val="21"/>
        </w:rPr>
        <w:t>行使对工程使用的材料和施工质量的检验权，对不符合设计要求及国家标准的材料、设备，有权通知承建方停止使用，对不符合规范和操作规程的工序、分项分部工程，有权通知承建方整改、返工、直至停工；</w:t>
      </w:r>
    </w:p>
    <w:p>
      <w:pPr>
        <w:pStyle w:val="24"/>
        <w:tabs>
          <w:tab w:val="left" w:pos="1800"/>
        </w:tabs>
        <w:spacing w:line="360" w:lineRule="auto"/>
        <w:ind w:firstLine="420" w:firstLineChars="200"/>
        <w:rPr>
          <w:szCs w:val="21"/>
        </w:rPr>
      </w:pPr>
      <w:r>
        <w:rPr>
          <w:rFonts w:hint="eastAsia"/>
          <w:szCs w:val="21"/>
        </w:rPr>
        <w:t>（4）</w:t>
      </w:r>
      <w:r>
        <w:rPr>
          <w:szCs w:val="21"/>
        </w:rPr>
        <w:t>中标人的监理部成员专业应齐全且具有较高的职业道德，尽职尽责，认真、勤奋工作。</w:t>
      </w:r>
    </w:p>
    <w:p>
      <w:pPr>
        <w:pStyle w:val="24"/>
        <w:numPr>
          <w:ilvl w:val="3"/>
          <w:numId w:val="7"/>
        </w:numPr>
        <w:tabs>
          <w:tab w:val="left" w:pos="1440"/>
        </w:tabs>
        <w:spacing w:line="360" w:lineRule="auto"/>
        <w:rPr>
          <w:szCs w:val="21"/>
        </w:rPr>
      </w:pPr>
      <w:r>
        <w:rPr>
          <w:szCs w:val="21"/>
        </w:rPr>
        <w:t>监理部工作人员应出具全日制上岗保证书。</w:t>
      </w:r>
    </w:p>
    <w:p>
      <w:pPr>
        <w:pStyle w:val="24"/>
        <w:numPr>
          <w:ilvl w:val="2"/>
          <w:numId w:val="7"/>
        </w:numPr>
        <w:spacing w:line="360" w:lineRule="auto"/>
        <w:rPr>
          <w:b/>
          <w:szCs w:val="21"/>
        </w:rPr>
      </w:pPr>
      <w:r>
        <w:rPr>
          <w:b/>
          <w:szCs w:val="21"/>
        </w:rPr>
        <w:t>服务要求</w:t>
      </w:r>
    </w:p>
    <w:p>
      <w:pPr>
        <w:pStyle w:val="24"/>
        <w:tabs>
          <w:tab w:val="left" w:pos="1440"/>
        </w:tabs>
        <w:spacing w:line="360" w:lineRule="auto"/>
        <w:ind w:firstLine="420" w:firstLineChars="200"/>
        <w:rPr>
          <w:szCs w:val="21"/>
        </w:rPr>
      </w:pPr>
      <w:r>
        <w:rPr>
          <w:szCs w:val="21"/>
        </w:rPr>
        <w:t>监理过程中，拟派项目总监理工程师、监理工程师等参与质保、安保备案人员不经建设方和上级主管部门同意，不得随意更换。因不可抗力需更换监理人员的，更换人员执业资格应不低于被更换人员。建设方和上级主管部门检查发现不合格的监理人员，监理方应根据建设单位的要求予以更换，更换人员执业资格应不低于被更换人员。</w:t>
      </w:r>
    </w:p>
    <w:p>
      <w:pPr>
        <w:pStyle w:val="24"/>
        <w:numPr>
          <w:ilvl w:val="2"/>
          <w:numId w:val="7"/>
        </w:numPr>
        <w:spacing w:line="360" w:lineRule="auto"/>
        <w:rPr>
          <w:b/>
          <w:szCs w:val="21"/>
        </w:rPr>
      </w:pPr>
      <w:r>
        <w:rPr>
          <w:b/>
          <w:szCs w:val="21"/>
        </w:rPr>
        <w:t>本次招标不接受联合体投标。</w:t>
      </w:r>
    </w:p>
    <w:p>
      <w:pPr>
        <w:pStyle w:val="24"/>
        <w:numPr>
          <w:ilvl w:val="2"/>
          <w:numId w:val="7"/>
        </w:numPr>
        <w:spacing w:line="360" w:lineRule="auto"/>
        <w:rPr>
          <w:b/>
          <w:szCs w:val="21"/>
        </w:rPr>
      </w:pPr>
      <w:r>
        <w:rPr>
          <w:b/>
          <w:szCs w:val="21"/>
        </w:rPr>
        <w:t>投标人不得存在下列情形之一：</w:t>
      </w:r>
    </w:p>
    <w:p>
      <w:pPr>
        <w:pStyle w:val="24"/>
        <w:numPr>
          <w:ilvl w:val="3"/>
          <w:numId w:val="7"/>
        </w:numPr>
        <w:tabs>
          <w:tab w:val="left" w:pos="1440"/>
        </w:tabs>
        <w:spacing w:line="360" w:lineRule="auto"/>
        <w:rPr>
          <w:szCs w:val="21"/>
        </w:rPr>
      </w:pPr>
      <w:r>
        <w:rPr>
          <w:szCs w:val="21"/>
        </w:rPr>
        <w:t>为招标人不具有独立法人资格的附属机构（单位）；</w:t>
      </w:r>
    </w:p>
    <w:p>
      <w:pPr>
        <w:pStyle w:val="24"/>
        <w:numPr>
          <w:ilvl w:val="3"/>
          <w:numId w:val="7"/>
        </w:numPr>
        <w:tabs>
          <w:tab w:val="left" w:pos="1440"/>
        </w:tabs>
        <w:spacing w:line="360" w:lineRule="auto"/>
        <w:rPr>
          <w:szCs w:val="21"/>
        </w:rPr>
      </w:pPr>
      <w:r>
        <w:rPr>
          <w:szCs w:val="21"/>
        </w:rPr>
        <w:t>为本标段前期准备提供设计或咨询服务的，但设计施工总承包的除外；</w:t>
      </w:r>
    </w:p>
    <w:p>
      <w:pPr>
        <w:pStyle w:val="24"/>
        <w:numPr>
          <w:ilvl w:val="3"/>
          <w:numId w:val="7"/>
        </w:numPr>
        <w:tabs>
          <w:tab w:val="left" w:pos="1440"/>
        </w:tabs>
        <w:spacing w:line="360" w:lineRule="auto"/>
        <w:rPr>
          <w:szCs w:val="21"/>
        </w:rPr>
      </w:pPr>
      <w:r>
        <w:rPr>
          <w:szCs w:val="21"/>
        </w:rPr>
        <w:t>为本标段的代建人；</w:t>
      </w:r>
    </w:p>
    <w:p>
      <w:pPr>
        <w:pStyle w:val="24"/>
        <w:numPr>
          <w:ilvl w:val="3"/>
          <w:numId w:val="7"/>
        </w:numPr>
        <w:tabs>
          <w:tab w:val="left" w:pos="1440"/>
        </w:tabs>
        <w:spacing w:line="360" w:lineRule="auto"/>
        <w:rPr>
          <w:szCs w:val="21"/>
        </w:rPr>
      </w:pPr>
      <w:r>
        <w:rPr>
          <w:szCs w:val="21"/>
        </w:rPr>
        <w:t>为本标段提供招标代理服务的；</w:t>
      </w:r>
    </w:p>
    <w:p>
      <w:pPr>
        <w:pStyle w:val="24"/>
        <w:numPr>
          <w:ilvl w:val="3"/>
          <w:numId w:val="7"/>
        </w:numPr>
        <w:tabs>
          <w:tab w:val="left" w:pos="1440"/>
        </w:tabs>
        <w:spacing w:line="360" w:lineRule="auto"/>
        <w:rPr>
          <w:szCs w:val="21"/>
        </w:rPr>
      </w:pPr>
      <w:r>
        <w:rPr>
          <w:szCs w:val="21"/>
        </w:rPr>
        <w:t>与本标段的代建人或招标代理机构同为一个法定代表人的；</w:t>
      </w:r>
    </w:p>
    <w:p>
      <w:pPr>
        <w:pStyle w:val="24"/>
        <w:numPr>
          <w:ilvl w:val="3"/>
          <w:numId w:val="7"/>
        </w:numPr>
        <w:tabs>
          <w:tab w:val="left" w:pos="1440"/>
        </w:tabs>
        <w:spacing w:line="360" w:lineRule="auto"/>
        <w:rPr>
          <w:szCs w:val="21"/>
        </w:rPr>
      </w:pPr>
      <w:r>
        <w:rPr>
          <w:szCs w:val="21"/>
        </w:rPr>
        <w:t>与本标段的代建人或招标代理机构相互控股或参股的；</w:t>
      </w:r>
    </w:p>
    <w:p>
      <w:pPr>
        <w:pStyle w:val="24"/>
        <w:numPr>
          <w:ilvl w:val="3"/>
          <w:numId w:val="7"/>
        </w:numPr>
        <w:tabs>
          <w:tab w:val="left" w:pos="1440"/>
        </w:tabs>
        <w:spacing w:line="360" w:lineRule="auto"/>
        <w:rPr>
          <w:szCs w:val="21"/>
        </w:rPr>
      </w:pPr>
      <w:r>
        <w:rPr>
          <w:szCs w:val="21"/>
        </w:rPr>
        <w:t>与本标段的代建人或招标代理机构相互任职或工作的；</w:t>
      </w:r>
    </w:p>
    <w:p>
      <w:pPr>
        <w:pStyle w:val="24"/>
        <w:numPr>
          <w:ilvl w:val="3"/>
          <w:numId w:val="7"/>
        </w:numPr>
        <w:tabs>
          <w:tab w:val="left" w:pos="1440"/>
        </w:tabs>
        <w:spacing w:line="360" w:lineRule="auto"/>
        <w:rPr>
          <w:szCs w:val="21"/>
        </w:rPr>
      </w:pPr>
      <w:r>
        <w:rPr>
          <w:szCs w:val="21"/>
        </w:rPr>
        <w:t>被责令停业的；</w:t>
      </w:r>
    </w:p>
    <w:p>
      <w:pPr>
        <w:pStyle w:val="24"/>
        <w:numPr>
          <w:ilvl w:val="3"/>
          <w:numId w:val="7"/>
        </w:numPr>
        <w:tabs>
          <w:tab w:val="left" w:pos="1440"/>
        </w:tabs>
        <w:spacing w:line="360" w:lineRule="auto"/>
        <w:rPr>
          <w:szCs w:val="21"/>
        </w:rPr>
      </w:pPr>
      <w:r>
        <w:rPr>
          <w:szCs w:val="21"/>
        </w:rPr>
        <w:t>被暂停或取消投标资格的；</w:t>
      </w:r>
    </w:p>
    <w:p>
      <w:pPr>
        <w:pStyle w:val="24"/>
        <w:numPr>
          <w:ilvl w:val="3"/>
          <w:numId w:val="7"/>
        </w:numPr>
        <w:tabs>
          <w:tab w:val="left" w:pos="1440"/>
        </w:tabs>
        <w:spacing w:line="360" w:lineRule="auto"/>
        <w:rPr>
          <w:szCs w:val="21"/>
        </w:rPr>
      </w:pPr>
      <w:r>
        <w:rPr>
          <w:szCs w:val="21"/>
        </w:rPr>
        <w:t>财产被接管或冻结的；</w:t>
      </w:r>
    </w:p>
    <w:p>
      <w:pPr>
        <w:pStyle w:val="24"/>
        <w:numPr>
          <w:ilvl w:val="3"/>
          <w:numId w:val="7"/>
        </w:numPr>
        <w:tabs>
          <w:tab w:val="left" w:pos="1440"/>
        </w:tabs>
        <w:spacing w:line="360" w:lineRule="auto"/>
        <w:rPr>
          <w:szCs w:val="21"/>
        </w:rPr>
      </w:pPr>
      <w:r>
        <w:rPr>
          <w:szCs w:val="21"/>
        </w:rPr>
        <w:t>在最近三年内有骗取中标或严重违约或重大工程质量问题的。</w:t>
      </w:r>
    </w:p>
    <w:p>
      <w:pPr>
        <w:pStyle w:val="24"/>
        <w:numPr>
          <w:ilvl w:val="1"/>
          <w:numId w:val="7"/>
        </w:numPr>
        <w:spacing w:line="360" w:lineRule="auto"/>
        <w:rPr>
          <w:b/>
          <w:szCs w:val="21"/>
        </w:rPr>
      </w:pPr>
      <w:r>
        <w:rPr>
          <w:b/>
          <w:szCs w:val="21"/>
        </w:rPr>
        <w:t>费用承担</w:t>
      </w:r>
    </w:p>
    <w:p>
      <w:pPr>
        <w:pStyle w:val="24"/>
        <w:spacing w:line="360" w:lineRule="auto"/>
        <w:ind w:firstLine="420" w:firstLineChars="200"/>
        <w:rPr>
          <w:szCs w:val="21"/>
        </w:rPr>
      </w:pPr>
      <w:r>
        <w:rPr>
          <w:szCs w:val="21"/>
        </w:rPr>
        <w:t>投标人准备和参加投标活动发生的费用自理。</w:t>
      </w:r>
    </w:p>
    <w:p>
      <w:pPr>
        <w:pStyle w:val="24"/>
        <w:numPr>
          <w:ilvl w:val="1"/>
          <w:numId w:val="7"/>
        </w:numPr>
        <w:spacing w:line="360" w:lineRule="auto"/>
        <w:rPr>
          <w:b/>
          <w:szCs w:val="21"/>
        </w:rPr>
      </w:pPr>
      <w:r>
        <w:rPr>
          <w:b/>
          <w:szCs w:val="21"/>
        </w:rPr>
        <w:t>保密</w:t>
      </w:r>
    </w:p>
    <w:p>
      <w:pPr>
        <w:pStyle w:val="24"/>
        <w:spacing w:line="360" w:lineRule="auto"/>
        <w:ind w:firstLine="420" w:firstLineChars="200"/>
        <w:rPr>
          <w:szCs w:val="21"/>
        </w:rPr>
      </w:pPr>
      <w:r>
        <w:rPr>
          <w:szCs w:val="21"/>
        </w:rPr>
        <w:t>参与招标投标活动的各方应对招标文件和投标文件中的商业和技术等秘密保密，违者应对由此造成的后果承担法律责任。</w:t>
      </w:r>
    </w:p>
    <w:p>
      <w:pPr>
        <w:pStyle w:val="24"/>
        <w:numPr>
          <w:ilvl w:val="1"/>
          <w:numId w:val="7"/>
        </w:numPr>
        <w:spacing w:line="360" w:lineRule="auto"/>
        <w:rPr>
          <w:b/>
          <w:szCs w:val="21"/>
        </w:rPr>
      </w:pPr>
      <w:r>
        <w:rPr>
          <w:b/>
          <w:szCs w:val="21"/>
        </w:rPr>
        <w:t>语言文字</w:t>
      </w:r>
    </w:p>
    <w:p>
      <w:pPr>
        <w:pStyle w:val="24"/>
        <w:spacing w:line="360" w:lineRule="auto"/>
        <w:ind w:firstLine="420" w:firstLineChars="200"/>
        <w:rPr>
          <w:szCs w:val="21"/>
        </w:rPr>
      </w:pPr>
      <w:r>
        <w:rPr>
          <w:szCs w:val="21"/>
        </w:rPr>
        <w:t>除专用术语外，与招标投标有关的语言均使用中文。必要时专用术语应附有中文注释。</w:t>
      </w:r>
    </w:p>
    <w:p>
      <w:pPr>
        <w:pStyle w:val="24"/>
        <w:numPr>
          <w:ilvl w:val="1"/>
          <w:numId w:val="7"/>
        </w:numPr>
        <w:spacing w:line="360" w:lineRule="auto"/>
        <w:rPr>
          <w:b/>
          <w:szCs w:val="21"/>
        </w:rPr>
      </w:pPr>
      <w:r>
        <w:rPr>
          <w:b/>
          <w:szCs w:val="21"/>
        </w:rPr>
        <w:t>计量单位</w:t>
      </w:r>
    </w:p>
    <w:p>
      <w:pPr>
        <w:pStyle w:val="24"/>
        <w:spacing w:line="360" w:lineRule="auto"/>
        <w:ind w:firstLine="420" w:firstLineChars="200"/>
        <w:rPr>
          <w:szCs w:val="21"/>
        </w:rPr>
      </w:pPr>
      <w:r>
        <w:rPr>
          <w:szCs w:val="21"/>
        </w:rPr>
        <w:t>所有计量均采用中华人民共和国法定计量单位。</w:t>
      </w:r>
    </w:p>
    <w:p>
      <w:pPr>
        <w:pStyle w:val="24"/>
        <w:numPr>
          <w:ilvl w:val="1"/>
          <w:numId w:val="7"/>
        </w:numPr>
        <w:spacing w:line="360" w:lineRule="auto"/>
        <w:rPr>
          <w:b/>
          <w:szCs w:val="21"/>
        </w:rPr>
      </w:pPr>
      <w:r>
        <w:rPr>
          <w:b/>
          <w:szCs w:val="21"/>
        </w:rPr>
        <w:t>踏勘现场</w:t>
      </w:r>
    </w:p>
    <w:p>
      <w:pPr>
        <w:pStyle w:val="24"/>
        <w:numPr>
          <w:ilvl w:val="2"/>
          <w:numId w:val="7"/>
        </w:numPr>
        <w:spacing w:line="360" w:lineRule="auto"/>
        <w:rPr>
          <w:szCs w:val="21"/>
        </w:rPr>
      </w:pPr>
      <w:r>
        <w:rPr>
          <w:szCs w:val="21"/>
        </w:rPr>
        <w:t>投标人自行对工程现场及周围环境进行踏勘，以便投标人获取对自己负责的有关编制投标文件和签署合同所需的所有资料。踏勘现场所发生的费用由投标人自行承担；</w:t>
      </w:r>
    </w:p>
    <w:p>
      <w:pPr>
        <w:pStyle w:val="24"/>
        <w:numPr>
          <w:ilvl w:val="2"/>
          <w:numId w:val="7"/>
        </w:numPr>
        <w:spacing w:line="360" w:lineRule="auto"/>
        <w:rPr>
          <w:szCs w:val="21"/>
        </w:rPr>
      </w:pPr>
      <w:r>
        <w:rPr>
          <w:szCs w:val="21"/>
        </w:rPr>
        <w:t>招标人向投标人提供的有关现场的资料和数据，是招标人现有的能使投标人利用的资料。招标人对投标人由此而做出的推论、理解和结论概不负责；</w:t>
      </w:r>
    </w:p>
    <w:p>
      <w:pPr>
        <w:pStyle w:val="24"/>
        <w:numPr>
          <w:ilvl w:val="2"/>
          <w:numId w:val="7"/>
        </w:numPr>
        <w:spacing w:line="360" w:lineRule="auto"/>
        <w:rPr>
          <w:szCs w:val="21"/>
        </w:rPr>
      </w:pPr>
      <w:r>
        <w:rPr>
          <w:szCs w:val="21"/>
        </w:rPr>
        <w:t>投标人经过招标人的允许，可为踏勘目的进入招标人的工程现场，但投标人不得因此使招标人及其人员承担有关的责任和蒙受损失。投标人应对由此次踏勘现场而造成的死亡、人身伤害、财产损失、损害以及任何其它损失、损害和引起的费用和开支承担责任；</w:t>
      </w:r>
    </w:p>
    <w:p>
      <w:pPr>
        <w:pStyle w:val="24"/>
        <w:numPr>
          <w:ilvl w:val="2"/>
          <w:numId w:val="7"/>
        </w:numPr>
        <w:spacing w:line="360" w:lineRule="auto"/>
        <w:rPr>
          <w:szCs w:val="21"/>
        </w:rPr>
      </w:pPr>
      <w:r>
        <w:rPr>
          <w:szCs w:val="21"/>
        </w:rPr>
        <w:t>如果投标人认为需要再次进行现场踏勘，招标人将予以支持，费用由投标人自理。</w:t>
      </w:r>
    </w:p>
    <w:p>
      <w:pPr>
        <w:pStyle w:val="24"/>
        <w:numPr>
          <w:ilvl w:val="1"/>
          <w:numId w:val="7"/>
        </w:numPr>
        <w:spacing w:line="360" w:lineRule="auto"/>
        <w:rPr>
          <w:b/>
          <w:szCs w:val="21"/>
        </w:rPr>
      </w:pPr>
      <w:r>
        <w:rPr>
          <w:b/>
          <w:szCs w:val="21"/>
        </w:rPr>
        <w:t>投标预备会</w:t>
      </w:r>
    </w:p>
    <w:p>
      <w:pPr>
        <w:pStyle w:val="24"/>
        <w:spacing w:line="360" w:lineRule="auto"/>
        <w:rPr>
          <w:szCs w:val="21"/>
        </w:rPr>
      </w:pPr>
      <w:r>
        <w:rPr>
          <w:rFonts w:hint="eastAsia"/>
          <w:szCs w:val="21"/>
        </w:rPr>
        <w:t xml:space="preserve">    </w:t>
      </w:r>
      <w:r>
        <w:rPr>
          <w:szCs w:val="21"/>
        </w:rPr>
        <w:t>本项目不再组织投标预备会。</w:t>
      </w:r>
    </w:p>
    <w:p>
      <w:pPr>
        <w:pStyle w:val="24"/>
        <w:numPr>
          <w:ilvl w:val="1"/>
          <w:numId w:val="7"/>
        </w:numPr>
        <w:spacing w:line="360" w:lineRule="auto"/>
        <w:rPr>
          <w:b/>
          <w:szCs w:val="21"/>
        </w:rPr>
      </w:pPr>
      <w:r>
        <w:rPr>
          <w:b/>
          <w:szCs w:val="21"/>
        </w:rPr>
        <w:t>分包</w:t>
      </w:r>
    </w:p>
    <w:p>
      <w:pPr>
        <w:pStyle w:val="24"/>
        <w:spacing w:line="360" w:lineRule="auto"/>
        <w:ind w:firstLine="420" w:firstLineChars="200"/>
        <w:rPr>
          <w:szCs w:val="21"/>
        </w:rPr>
      </w:pPr>
      <w:r>
        <w:rPr>
          <w:szCs w:val="21"/>
        </w:rPr>
        <w:t>本工程监理不允许分包。</w:t>
      </w:r>
    </w:p>
    <w:p>
      <w:pPr>
        <w:pStyle w:val="24"/>
        <w:numPr>
          <w:ilvl w:val="1"/>
          <w:numId w:val="7"/>
        </w:numPr>
        <w:spacing w:line="360" w:lineRule="auto"/>
        <w:rPr>
          <w:b/>
          <w:szCs w:val="21"/>
        </w:rPr>
      </w:pPr>
      <w:r>
        <w:rPr>
          <w:b/>
          <w:szCs w:val="21"/>
        </w:rPr>
        <w:t>偏离</w:t>
      </w:r>
    </w:p>
    <w:p>
      <w:pPr>
        <w:pStyle w:val="24"/>
        <w:spacing w:line="360" w:lineRule="auto"/>
        <w:ind w:firstLine="420" w:firstLineChars="200"/>
        <w:rPr>
          <w:szCs w:val="21"/>
        </w:rPr>
      </w:pPr>
      <w:r>
        <w:rPr>
          <w:szCs w:val="21"/>
        </w:rPr>
        <w:t>本工程监理不允许偏离。</w:t>
      </w:r>
    </w:p>
    <w:p>
      <w:pPr>
        <w:pStyle w:val="23"/>
        <w:numPr>
          <w:ilvl w:val="0"/>
          <w:numId w:val="7"/>
        </w:numPr>
        <w:tabs>
          <w:tab w:val="clear" w:pos="425"/>
        </w:tabs>
        <w:spacing w:before="0" w:after="0" w:line="360" w:lineRule="auto"/>
        <w:rPr>
          <w:sz w:val="21"/>
          <w:szCs w:val="21"/>
        </w:rPr>
      </w:pPr>
      <w:bookmarkStart w:id="20" w:name="_Toc191983616"/>
      <w:bookmarkStart w:id="21" w:name="_Toc251767402"/>
      <w:bookmarkStart w:id="22" w:name="_Toc536623932"/>
      <w:r>
        <w:rPr>
          <w:sz w:val="21"/>
          <w:szCs w:val="21"/>
        </w:rPr>
        <w:t>招标文</w:t>
      </w:r>
      <w:bookmarkEnd w:id="20"/>
      <w:bookmarkEnd w:id="21"/>
      <w:r>
        <w:rPr>
          <w:sz w:val="21"/>
          <w:szCs w:val="21"/>
        </w:rPr>
        <w:t>件</w:t>
      </w:r>
      <w:bookmarkEnd w:id="22"/>
    </w:p>
    <w:p>
      <w:pPr>
        <w:pStyle w:val="24"/>
        <w:numPr>
          <w:ilvl w:val="1"/>
          <w:numId w:val="7"/>
        </w:numPr>
        <w:spacing w:line="360" w:lineRule="auto"/>
        <w:rPr>
          <w:b/>
          <w:szCs w:val="21"/>
        </w:rPr>
      </w:pPr>
      <w:r>
        <w:rPr>
          <w:b/>
          <w:szCs w:val="21"/>
        </w:rPr>
        <w:t>招标文件的组成</w:t>
      </w:r>
      <w:r>
        <w:rPr>
          <w:rFonts w:hint="eastAsia"/>
          <w:b/>
          <w:szCs w:val="21"/>
        </w:rPr>
        <w:t>：</w:t>
      </w:r>
      <w:r>
        <w:rPr>
          <w:rFonts w:hint="eastAsia"/>
        </w:rPr>
        <w:t>详见本项目招标文件各组成部分，此处不再一一罗列</w:t>
      </w:r>
    </w:p>
    <w:p>
      <w:pPr>
        <w:pStyle w:val="24"/>
        <w:spacing w:line="360" w:lineRule="auto"/>
        <w:ind w:firstLine="420" w:firstLineChars="200"/>
        <w:rPr>
          <w:szCs w:val="21"/>
        </w:rPr>
      </w:pPr>
      <w:r>
        <w:rPr>
          <w:szCs w:val="21"/>
        </w:rPr>
        <w:t>根据本章第 2.2 款和第 2.3 款对招标文件所作的澄清、修改，构成招标文件的组成部分。</w:t>
      </w:r>
    </w:p>
    <w:p>
      <w:pPr>
        <w:pStyle w:val="24"/>
        <w:numPr>
          <w:ilvl w:val="1"/>
          <w:numId w:val="7"/>
        </w:numPr>
        <w:spacing w:line="360" w:lineRule="auto"/>
        <w:rPr>
          <w:b/>
          <w:szCs w:val="21"/>
        </w:rPr>
      </w:pPr>
      <w:r>
        <w:rPr>
          <w:b/>
          <w:szCs w:val="21"/>
        </w:rPr>
        <w:t>招标文件的澄清</w:t>
      </w:r>
    </w:p>
    <w:p>
      <w:pPr>
        <w:pStyle w:val="24"/>
        <w:spacing w:line="360" w:lineRule="auto"/>
        <w:ind w:left="170"/>
        <w:rPr>
          <w:szCs w:val="21"/>
        </w:rPr>
      </w:pPr>
      <w:r>
        <w:rPr>
          <w:rFonts w:hint="eastAsia"/>
          <w:szCs w:val="21"/>
        </w:rPr>
        <w:t>2.2.1投标人应仔细阅读和检查招标文件的全部内容。如发现附件不全，应及时向招标人提出，以便补齐。如有疑问，应在投标人须知前附表规定的时间前在汝州市公共资源交易服务网站该项目工程处提出质疑，要求招标人对招标文件予以澄清。</w:t>
      </w:r>
    </w:p>
    <w:p>
      <w:pPr>
        <w:pStyle w:val="24"/>
        <w:spacing w:line="360" w:lineRule="auto"/>
        <w:ind w:left="170"/>
        <w:rPr>
          <w:b/>
          <w:szCs w:val="21"/>
        </w:rPr>
      </w:pPr>
      <w:r>
        <w:rPr>
          <w:rFonts w:hint="eastAsia"/>
          <w:szCs w:val="21"/>
        </w:rPr>
        <w:t>2.2.2 招标文件的澄清将在投标人须知前附表规定的投标截止时间15天前在交易中心网上进行答疑，但不指明澄清问题的来源。如果澄清发出的时间距投标截止时间不足15天，相应延长投标截止时间。</w:t>
      </w:r>
    </w:p>
    <w:p>
      <w:pPr>
        <w:pStyle w:val="24"/>
        <w:numPr>
          <w:ilvl w:val="1"/>
          <w:numId w:val="7"/>
        </w:numPr>
        <w:spacing w:line="360" w:lineRule="auto"/>
        <w:rPr>
          <w:b/>
          <w:szCs w:val="21"/>
        </w:rPr>
      </w:pPr>
      <w:r>
        <w:rPr>
          <w:b/>
          <w:szCs w:val="21"/>
        </w:rPr>
        <w:t>招标文件的修改</w:t>
      </w:r>
    </w:p>
    <w:p>
      <w:pPr>
        <w:autoSpaceDE w:val="0"/>
        <w:autoSpaceDN w:val="0"/>
        <w:adjustRightInd w:val="0"/>
        <w:spacing w:line="360" w:lineRule="auto"/>
        <w:ind w:firstLine="420" w:firstLineChars="200"/>
        <w:jc w:val="left"/>
        <w:rPr>
          <w:rFonts w:ascii="宋体" w:cs="仿宋_GB2312"/>
          <w:kern w:val="0"/>
          <w:szCs w:val="21"/>
        </w:rPr>
      </w:pPr>
      <w:bookmarkStart w:id="23" w:name="_Toc191983617"/>
      <w:bookmarkStart w:id="24" w:name="_Toc251767403"/>
      <w:r>
        <w:rPr>
          <w:rFonts w:ascii="宋体" w:hAnsi="宋体" w:cs="TimesNewRomanPSMT"/>
          <w:kern w:val="0"/>
          <w:szCs w:val="21"/>
        </w:rPr>
        <w:t>2.3.1</w:t>
      </w:r>
      <w:r>
        <w:rPr>
          <w:rFonts w:hint="eastAsia"/>
        </w:rPr>
        <w:t>在投标截止时间15天前，招标人可以修改招标文件，并在交易中心网进行补充通知。如果修改招标文件的时间距投标截止时间不足15天，相应延长投标截止时间。</w:t>
      </w:r>
    </w:p>
    <w:p>
      <w:pPr>
        <w:autoSpaceDE w:val="0"/>
        <w:autoSpaceDN w:val="0"/>
        <w:adjustRightInd w:val="0"/>
        <w:spacing w:line="360" w:lineRule="auto"/>
        <w:ind w:firstLine="420" w:firstLineChars="200"/>
        <w:jc w:val="left"/>
        <w:rPr>
          <w:rFonts w:ascii="宋体" w:hAnsi="宋体" w:cs="仿宋_GB2312"/>
          <w:kern w:val="0"/>
          <w:szCs w:val="21"/>
        </w:rPr>
      </w:pPr>
      <w:r>
        <w:rPr>
          <w:rFonts w:ascii="宋体" w:hAnsi="宋体" w:cs="TimesNewRomanPSMT"/>
          <w:kern w:val="0"/>
          <w:szCs w:val="21"/>
        </w:rPr>
        <w:t>2.3.2</w:t>
      </w:r>
      <w:r>
        <w:rPr>
          <w:rFonts w:hint="eastAsia" w:ascii="宋体" w:hAnsi="宋体" w:cs="仿宋_GB2312"/>
          <w:kern w:val="0"/>
          <w:szCs w:val="21"/>
        </w:rPr>
        <w:t>投标人到汝州市公共资源交易中心查看招标文件修改的内容，投标申请人应随时关注公共资源交易中心网站，如有遗漏，后果自负。</w:t>
      </w:r>
    </w:p>
    <w:p>
      <w:pPr>
        <w:pStyle w:val="23"/>
        <w:numPr>
          <w:ilvl w:val="0"/>
          <w:numId w:val="7"/>
        </w:numPr>
        <w:tabs>
          <w:tab w:val="clear" w:pos="425"/>
        </w:tabs>
        <w:spacing w:before="0" w:after="0" w:line="360" w:lineRule="auto"/>
        <w:rPr>
          <w:sz w:val="21"/>
          <w:szCs w:val="21"/>
        </w:rPr>
      </w:pPr>
      <w:bookmarkStart w:id="25" w:name="_Toc536623933"/>
      <w:r>
        <w:rPr>
          <w:sz w:val="21"/>
          <w:szCs w:val="21"/>
        </w:rPr>
        <w:t>投标文件</w:t>
      </w:r>
      <w:bookmarkEnd w:id="23"/>
      <w:bookmarkEnd w:id="24"/>
      <w:bookmarkEnd w:id="25"/>
    </w:p>
    <w:p>
      <w:pPr>
        <w:pStyle w:val="24"/>
        <w:numPr>
          <w:ilvl w:val="1"/>
          <w:numId w:val="7"/>
        </w:numPr>
        <w:spacing w:line="360" w:lineRule="auto"/>
        <w:rPr>
          <w:b/>
          <w:szCs w:val="21"/>
        </w:rPr>
      </w:pPr>
      <w:r>
        <w:rPr>
          <w:b/>
          <w:szCs w:val="21"/>
        </w:rPr>
        <w:t>投标文件的组成</w:t>
      </w:r>
    </w:p>
    <w:p>
      <w:pPr>
        <w:spacing w:line="400" w:lineRule="exact"/>
        <w:ind w:firstLine="359" w:firstLineChars="171"/>
      </w:pPr>
      <w:r>
        <w:rPr>
          <w:rFonts w:hint="eastAsia"/>
        </w:rPr>
        <w:t>（1）投标文件格式所附内容。</w:t>
      </w:r>
    </w:p>
    <w:p>
      <w:pPr>
        <w:spacing w:line="400" w:lineRule="exact"/>
        <w:ind w:firstLine="359" w:firstLineChars="171"/>
        <w:rPr>
          <w:szCs w:val="21"/>
        </w:rPr>
      </w:pPr>
      <w:r>
        <w:rPr>
          <w:rFonts w:hint="eastAsia"/>
        </w:rPr>
        <w:t>（2）投标人须知前附表规定的其他材料</w:t>
      </w:r>
    </w:p>
    <w:p>
      <w:pPr>
        <w:pStyle w:val="24"/>
        <w:numPr>
          <w:ilvl w:val="1"/>
          <w:numId w:val="7"/>
        </w:numPr>
        <w:spacing w:line="360" w:lineRule="auto"/>
        <w:rPr>
          <w:szCs w:val="21"/>
        </w:rPr>
      </w:pPr>
      <w:r>
        <w:rPr>
          <w:szCs w:val="21"/>
        </w:rPr>
        <w:t>投标报价</w:t>
      </w:r>
    </w:p>
    <w:p>
      <w:pPr>
        <w:spacing w:line="360" w:lineRule="auto"/>
        <w:ind w:firstLine="315" w:firstLineChars="150"/>
        <w:rPr>
          <w:rFonts w:ascii="宋体" w:hAnsi="宋体"/>
          <w:szCs w:val="21"/>
        </w:rPr>
      </w:pPr>
      <w:r>
        <w:rPr>
          <w:rFonts w:hint="eastAsia" w:ascii="宋体" w:hAnsi="宋体"/>
          <w:szCs w:val="21"/>
        </w:rPr>
        <w:t>3.2.1</w:t>
      </w:r>
      <w:r>
        <w:rPr>
          <w:rFonts w:ascii="宋体" w:hAnsi="宋体"/>
          <w:szCs w:val="21"/>
        </w:rPr>
        <w:t xml:space="preserve"> </w:t>
      </w:r>
      <w:r>
        <w:rPr>
          <w:rFonts w:hint="eastAsia" w:ascii="宋体" w:hAnsi="宋体"/>
          <w:szCs w:val="21"/>
        </w:rPr>
        <w:t>不允许任一投标人对同一招标项目提出两个或两个以上不同的投标报价。</w:t>
      </w:r>
    </w:p>
    <w:p>
      <w:pPr>
        <w:spacing w:line="360" w:lineRule="auto"/>
        <w:ind w:firstLine="315" w:firstLineChars="150"/>
        <w:rPr>
          <w:rFonts w:ascii="宋体" w:hAnsi="宋体"/>
          <w:szCs w:val="21"/>
        </w:rPr>
      </w:pPr>
      <w:r>
        <w:rPr>
          <w:rFonts w:hint="eastAsia" w:ascii="宋体" w:hAnsi="宋体"/>
          <w:szCs w:val="21"/>
        </w:rPr>
        <w:t>3.2.2</w:t>
      </w:r>
      <w:r>
        <w:rPr>
          <w:rFonts w:ascii="宋体" w:hAnsi="宋体"/>
          <w:szCs w:val="21"/>
        </w:rPr>
        <w:t xml:space="preserve"> </w:t>
      </w:r>
      <w:r>
        <w:rPr>
          <w:rFonts w:hint="eastAsia" w:ascii="宋体" w:hAnsi="宋体"/>
          <w:szCs w:val="21"/>
        </w:rPr>
        <w:t>投标报价应包括投标人提供正常监理服务所必需的监理人员费、设备和设施的购置及使用费、管理费、利润及税金。</w:t>
      </w:r>
    </w:p>
    <w:p>
      <w:pPr>
        <w:spacing w:line="360" w:lineRule="auto"/>
        <w:ind w:firstLine="315" w:firstLineChars="150"/>
        <w:rPr>
          <w:rFonts w:ascii="宋体" w:hAnsi="宋体"/>
          <w:szCs w:val="21"/>
        </w:rPr>
      </w:pPr>
      <w:r>
        <w:rPr>
          <w:rFonts w:hint="eastAsia" w:ascii="宋体" w:hAnsi="宋体"/>
          <w:szCs w:val="21"/>
        </w:rPr>
        <w:t>3.2.3</w:t>
      </w:r>
      <w:r>
        <w:rPr>
          <w:rFonts w:ascii="宋体" w:hAnsi="宋体"/>
          <w:szCs w:val="21"/>
        </w:rPr>
        <w:t xml:space="preserve"> </w:t>
      </w:r>
      <w:r>
        <w:rPr>
          <w:rFonts w:hint="eastAsia" w:ascii="宋体" w:hAnsi="宋体"/>
          <w:szCs w:val="21"/>
        </w:rPr>
        <w:t>投标标价计算书应包括标价依据、各报价项目计算过程和报价汇总等内容。</w:t>
      </w:r>
    </w:p>
    <w:p>
      <w:pPr>
        <w:spacing w:line="360" w:lineRule="auto"/>
        <w:ind w:firstLine="315" w:firstLineChars="150"/>
        <w:rPr>
          <w:rFonts w:ascii="宋体" w:hAnsi="宋体"/>
          <w:szCs w:val="21"/>
        </w:rPr>
      </w:pPr>
      <w:r>
        <w:rPr>
          <w:rFonts w:hint="eastAsia" w:ascii="宋体" w:hAnsi="宋体"/>
          <w:szCs w:val="21"/>
        </w:rPr>
        <w:t>3.2.4 除招标人无偿提供的现场工作、生活条件外，投标人为实施监理工作另需的工作、生活设施及相关费用，可在投标报价中单项列报并计入总报价。</w:t>
      </w:r>
    </w:p>
    <w:p>
      <w:pPr>
        <w:pStyle w:val="24"/>
        <w:numPr>
          <w:ilvl w:val="1"/>
          <w:numId w:val="7"/>
        </w:numPr>
        <w:spacing w:line="360" w:lineRule="auto"/>
        <w:rPr>
          <w:b/>
          <w:szCs w:val="21"/>
        </w:rPr>
      </w:pPr>
      <w:r>
        <w:rPr>
          <w:b/>
          <w:szCs w:val="21"/>
        </w:rPr>
        <w:t>投标有效期</w:t>
      </w:r>
    </w:p>
    <w:p>
      <w:pPr>
        <w:pStyle w:val="24"/>
        <w:numPr>
          <w:ilvl w:val="2"/>
          <w:numId w:val="7"/>
        </w:numPr>
        <w:spacing w:line="360" w:lineRule="auto"/>
        <w:rPr>
          <w:szCs w:val="21"/>
        </w:rPr>
      </w:pPr>
      <w:r>
        <w:rPr>
          <w:szCs w:val="21"/>
        </w:rPr>
        <w:t>在投标人须知前附表规定的投标有效期内，投标人不得要求撤销或修改其投标文件。</w:t>
      </w:r>
    </w:p>
    <w:p>
      <w:pPr>
        <w:pStyle w:val="24"/>
        <w:numPr>
          <w:ilvl w:val="2"/>
          <w:numId w:val="7"/>
        </w:numPr>
        <w:spacing w:line="360" w:lineRule="auto"/>
        <w:rPr>
          <w:szCs w:val="21"/>
        </w:rPr>
      </w:pPr>
      <w:r>
        <w:rPr>
          <w:szCs w:val="21"/>
        </w:rPr>
        <w:t>出现特殊情况需要延长投标有效期的，招标人以书面形式通知所有投标人延长投标有效期。投标人同意延长的，不得要求或被允许修改或撤销其投标文件；</w:t>
      </w:r>
    </w:p>
    <w:p>
      <w:pPr>
        <w:pStyle w:val="24"/>
        <w:numPr>
          <w:ilvl w:val="1"/>
          <w:numId w:val="7"/>
        </w:numPr>
        <w:spacing w:line="360" w:lineRule="auto"/>
        <w:rPr>
          <w:b/>
          <w:bCs/>
          <w:color w:val="000000" w:themeColor="text1"/>
          <w:szCs w:val="21"/>
          <w14:textFill>
            <w14:solidFill>
              <w14:schemeClr w14:val="tx1"/>
            </w14:solidFill>
          </w14:textFill>
        </w:rPr>
      </w:pPr>
      <w:r>
        <w:rPr>
          <w:b/>
          <w:szCs w:val="21"/>
        </w:rPr>
        <w:t>投标保证金</w:t>
      </w:r>
      <w:r>
        <w:rPr>
          <w:rFonts w:hint="eastAsia"/>
          <w:b/>
          <w:szCs w:val="21"/>
        </w:rPr>
        <w:t>：</w:t>
      </w:r>
      <w:r>
        <w:rPr>
          <w:rFonts w:hint="eastAsia" w:ascii="宋体" w:hAnsi="宋体"/>
          <w:b/>
          <w:bCs/>
          <w:color w:val="000000" w:themeColor="text1"/>
          <w:szCs w:val="21"/>
          <w14:textFill>
            <w14:solidFill>
              <w14:schemeClr w14:val="tx1"/>
            </w14:solidFill>
          </w14:textFill>
        </w:rPr>
        <w:t>不收取</w:t>
      </w:r>
    </w:p>
    <w:p>
      <w:pPr>
        <w:pStyle w:val="24"/>
        <w:numPr>
          <w:ilvl w:val="1"/>
          <w:numId w:val="7"/>
        </w:numPr>
        <w:spacing w:line="360" w:lineRule="auto"/>
        <w:rPr>
          <w:b/>
          <w:szCs w:val="21"/>
        </w:rPr>
      </w:pPr>
      <w:r>
        <w:rPr>
          <w:b/>
          <w:szCs w:val="21"/>
        </w:rPr>
        <w:t>资格审查资料</w:t>
      </w:r>
      <w:r>
        <w:rPr>
          <w:rFonts w:hint="eastAsia"/>
          <w:b/>
          <w:szCs w:val="21"/>
        </w:rPr>
        <w:t>：提供能够证明具备资格的材料即可，具体要求详见招标公告“投标人资格要求”。</w:t>
      </w:r>
    </w:p>
    <w:p>
      <w:pPr>
        <w:pStyle w:val="24"/>
        <w:numPr>
          <w:ilvl w:val="1"/>
          <w:numId w:val="7"/>
        </w:numPr>
        <w:spacing w:line="360" w:lineRule="auto"/>
        <w:rPr>
          <w:b/>
          <w:szCs w:val="21"/>
        </w:rPr>
      </w:pPr>
      <w:r>
        <w:rPr>
          <w:b/>
          <w:szCs w:val="21"/>
        </w:rPr>
        <w:t>备选投标方案</w:t>
      </w:r>
    </w:p>
    <w:p>
      <w:pPr>
        <w:pStyle w:val="24"/>
        <w:tabs>
          <w:tab w:val="left" w:pos="7170"/>
        </w:tabs>
        <w:spacing w:line="360" w:lineRule="auto"/>
        <w:ind w:firstLine="420" w:firstLineChars="200"/>
        <w:rPr>
          <w:szCs w:val="21"/>
        </w:rPr>
      </w:pPr>
      <w:r>
        <w:rPr>
          <w:szCs w:val="21"/>
        </w:rPr>
        <w:t>投标人不得递交备选投标方案。</w:t>
      </w:r>
    </w:p>
    <w:p>
      <w:pPr>
        <w:pStyle w:val="24"/>
        <w:numPr>
          <w:ilvl w:val="1"/>
          <w:numId w:val="7"/>
        </w:numPr>
        <w:spacing w:line="360" w:lineRule="auto"/>
        <w:rPr>
          <w:b/>
          <w:szCs w:val="21"/>
        </w:rPr>
      </w:pPr>
      <w:r>
        <w:rPr>
          <w:b/>
          <w:szCs w:val="21"/>
        </w:rPr>
        <w:t xml:space="preserve">投标文件的编制 </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 xml:space="preserve">3.7.1 </w:t>
      </w:r>
      <w:r>
        <w:rPr>
          <w:rFonts w:hint="eastAsia" w:ascii="宋体" w:hAnsi="宋体" w:cs="TimesNewRomanPSMT"/>
          <w:kern w:val="0"/>
          <w:szCs w:val="21"/>
        </w:rPr>
        <w:t>投标文件应按第六章“投标文件格式”进行编写，如有必要，可以增加附页，作为投标文件的组成部分。其中，投标函附录在满足招标文件实质性要求的基础上，可以提出比招标文件要求更有利于招标人的承诺。</w:t>
      </w:r>
    </w:p>
    <w:p>
      <w:pPr>
        <w:autoSpaceDE w:val="0"/>
        <w:autoSpaceDN w:val="0"/>
        <w:adjustRightInd w:val="0"/>
        <w:spacing w:line="360" w:lineRule="auto"/>
        <w:ind w:firstLine="420" w:firstLineChars="200"/>
        <w:jc w:val="left"/>
        <w:rPr>
          <w:rFonts w:ascii="宋体" w:hAnsi="宋体" w:cs="TimesNewRomanPSMT"/>
          <w:kern w:val="0"/>
          <w:szCs w:val="21"/>
        </w:rPr>
      </w:pPr>
      <w:r>
        <w:rPr>
          <w:rFonts w:ascii="宋体" w:hAnsi="宋体" w:cs="TimesNewRomanPSMT"/>
          <w:kern w:val="0"/>
          <w:szCs w:val="21"/>
        </w:rPr>
        <w:t xml:space="preserve">3.7.2 </w:t>
      </w:r>
      <w:r>
        <w:rPr>
          <w:rFonts w:hint="eastAsia" w:ascii="宋体" w:hAnsi="宋体" w:cs="TimesNewRomanPSMT"/>
          <w:kern w:val="0"/>
          <w:szCs w:val="21"/>
        </w:rPr>
        <w:t>投标文件应当对招标文件有关工期、投标有效期、质量要求实质性内容作出响应。</w:t>
      </w:r>
    </w:p>
    <w:p>
      <w:pPr>
        <w:pStyle w:val="23"/>
        <w:numPr>
          <w:ilvl w:val="0"/>
          <w:numId w:val="7"/>
        </w:numPr>
        <w:tabs>
          <w:tab w:val="clear" w:pos="425"/>
        </w:tabs>
        <w:spacing w:before="0" w:after="0" w:line="360" w:lineRule="auto"/>
        <w:rPr>
          <w:sz w:val="21"/>
          <w:szCs w:val="21"/>
        </w:rPr>
      </w:pPr>
      <w:bookmarkStart w:id="26" w:name="_Toc251767404"/>
      <w:bookmarkStart w:id="27" w:name="_Toc191983618"/>
      <w:bookmarkStart w:id="28" w:name="_Toc536623934"/>
      <w:r>
        <w:rPr>
          <w:sz w:val="21"/>
          <w:szCs w:val="21"/>
        </w:rPr>
        <w:t>投标</w:t>
      </w:r>
      <w:bookmarkEnd w:id="26"/>
      <w:bookmarkEnd w:id="27"/>
      <w:bookmarkEnd w:id="28"/>
    </w:p>
    <w:p>
      <w:pPr>
        <w:autoSpaceDE w:val="0"/>
        <w:autoSpaceDN w:val="0"/>
        <w:adjustRightInd w:val="0"/>
        <w:spacing w:line="360" w:lineRule="auto"/>
        <w:ind w:firstLine="420" w:firstLineChars="200"/>
        <w:jc w:val="left"/>
        <w:rPr>
          <w:bCs/>
          <w:szCs w:val="21"/>
        </w:rPr>
      </w:pPr>
      <w:bookmarkStart w:id="29" w:name="_Toc191983619"/>
      <w:bookmarkStart w:id="30" w:name="_Toc251767405"/>
      <w:r>
        <w:rPr>
          <w:rFonts w:hint="eastAsia"/>
          <w:bCs/>
          <w:szCs w:val="21"/>
        </w:rPr>
        <w:t>4.1 投标文件的递交</w:t>
      </w:r>
    </w:p>
    <w:p>
      <w:pPr>
        <w:autoSpaceDE w:val="0"/>
        <w:autoSpaceDN w:val="0"/>
        <w:adjustRightInd w:val="0"/>
        <w:spacing w:line="360" w:lineRule="auto"/>
        <w:ind w:firstLine="420" w:firstLineChars="200"/>
        <w:jc w:val="left"/>
        <w:rPr>
          <w:bCs/>
          <w:szCs w:val="21"/>
        </w:rPr>
      </w:pPr>
      <w:r>
        <w:rPr>
          <w:rFonts w:hint="eastAsia"/>
          <w:bCs/>
          <w:szCs w:val="21"/>
        </w:rPr>
        <w:t>4.1.1 投标人应在本章第2.2.2项规定的投标截止时间前递交投标文件。</w:t>
      </w:r>
    </w:p>
    <w:p>
      <w:pPr>
        <w:autoSpaceDE w:val="0"/>
        <w:autoSpaceDN w:val="0"/>
        <w:adjustRightInd w:val="0"/>
        <w:spacing w:line="360" w:lineRule="auto"/>
        <w:ind w:firstLine="420" w:firstLineChars="200"/>
        <w:jc w:val="left"/>
        <w:rPr>
          <w:bCs/>
          <w:szCs w:val="21"/>
        </w:rPr>
      </w:pPr>
      <w:r>
        <w:rPr>
          <w:rFonts w:hint="eastAsia"/>
          <w:bCs/>
          <w:szCs w:val="21"/>
        </w:rPr>
        <w:t>4.1.2 投标人递交投标文件的地点：见投标人须知前附表。</w:t>
      </w:r>
    </w:p>
    <w:p>
      <w:pPr>
        <w:autoSpaceDE w:val="0"/>
        <w:autoSpaceDN w:val="0"/>
        <w:adjustRightInd w:val="0"/>
        <w:spacing w:line="360" w:lineRule="auto"/>
        <w:ind w:firstLine="420" w:firstLineChars="200"/>
        <w:jc w:val="left"/>
        <w:rPr>
          <w:bCs/>
          <w:szCs w:val="21"/>
        </w:rPr>
      </w:pPr>
      <w:r>
        <w:rPr>
          <w:rFonts w:hint="eastAsia"/>
          <w:bCs/>
          <w:szCs w:val="21"/>
        </w:rPr>
        <w:t>4.1.3 除投标人须知前附表另有规定外，投标人所递交的投标文件不予退还。</w:t>
      </w:r>
    </w:p>
    <w:p>
      <w:pPr>
        <w:autoSpaceDE w:val="0"/>
        <w:autoSpaceDN w:val="0"/>
        <w:adjustRightInd w:val="0"/>
        <w:spacing w:line="360" w:lineRule="auto"/>
        <w:ind w:firstLine="420" w:firstLineChars="200"/>
        <w:jc w:val="left"/>
        <w:rPr>
          <w:bCs/>
          <w:szCs w:val="21"/>
        </w:rPr>
      </w:pPr>
      <w:r>
        <w:rPr>
          <w:rFonts w:hint="eastAsia"/>
          <w:bCs/>
          <w:szCs w:val="21"/>
        </w:rPr>
        <w:t>4.1.5 逾期未按要求递交的投标文件，招标人不予受理。</w:t>
      </w:r>
    </w:p>
    <w:p>
      <w:pPr>
        <w:autoSpaceDE w:val="0"/>
        <w:autoSpaceDN w:val="0"/>
        <w:adjustRightInd w:val="0"/>
        <w:spacing w:line="360" w:lineRule="auto"/>
        <w:ind w:firstLine="420" w:firstLineChars="200"/>
        <w:jc w:val="left"/>
        <w:rPr>
          <w:bCs/>
          <w:szCs w:val="21"/>
        </w:rPr>
      </w:pPr>
      <w:r>
        <w:rPr>
          <w:rFonts w:hint="eastAsia"/>
          <w:bCs/>
          <w:szCs w:val="21"/>
        </w:rPr>
        <w:t>进入汝州市公共资源交易中心网站(http://www.rzggzy.com/tzgg/10254.jhtml)，凭企业数字证书点击【投标用户入口】登录系统，上传电子投标文件；</w:t>
      </w:r>
    </w:p>
    <w:p>
      <w:pPr>
        <w:autoSpaceDE w:val="0"/>
        <w:autoSpaceDN w:val="0"/>
        <w:adjustRightInd w:val="0"/>
        <w:spacing w:line="360" w:lineRule="auto"/>
        <w:ind w:firstLine="420" w:firstLineChars="200"/>
        <w:jc w:val="left"/>
        <w:rPr>
          <w:bCs/>
          <w:szCs w:val="21"/>
        </w:rPr>
      </w:pPr>
      <w:r>
        <w:rPr>
          <w:rFonts w:hint="eastAsia"/>
          <w:bCs/>
          <w:szCs w:val="21"/>
        </w:rPr>
        <w:t>投标人完成投标文件上传后，点击“确认并签名”按钮，完成递交投标文件。未进行确认并签名的用户，视为未递交投标文件。</w:t>
      </w:r>
    </w:p>
    <w:p>
      <w:pPr>
        <w:pStyle w:val="23"/>
        <w:numPr>
          <w:ilvl w:val="0"/>
          <w:numId w:val="7"/>
        </w:numPr>
        <w:tabs>
          <w:tab w:val="clear" w:pos="425"/>
        </w:tabs>
        <w:spacing w:before="0" w:after="0" w:line="360" w:lineRule="auto"/>
        <w:rPr>
          <w:sz w:val="21"/>
          <w:szCs w:val="21"/>
        </w:rPr>
      </w:pPr>
      <w:bookmarkStart w:id="31" w:name="_Toc536623938"/>
      <w:r>
        <w:rPr>
          <w:sz w:val="21"/>
          <w:szCs w:val="21"/>
        </w:rPr>
        <w:t>开标</w:t>
      </w:r>
      <w:bookmarkEnd w:id="29"/>
      <w:bookmarkEnd w:id="30"/>
      <w:bookmarkEnd w:id="31"/>
    </w:p>
    <w:p>
      <w:pPr>
        <w:pStyle w:val="24"/>
        <w:numPr>
          <w:ilvl w:val="1"/>
          <w:numId w:val="7"/>
        </w:numPr>
        <w:spacing w:line="360" w:lineRule="auto"/>
        <w:rPr>
          <w:b/>
          <w:szCs w:val="21"/>
        </w:rPr>
      </w:pPr>
      <w:r>
        <w:rPr>
          <w:b/>
          <w:szCs w:val="21"/>
        </w:rPr>
        <w:t>开标时间和地点</w:t>
      </w:r>
    </w:p>
    <w:p>
      <w:pPr>
        <w:spacing w:line="460" w:lineRule="exact"/>
        <w:ind w:firstLine="420" w:firstLineChars="200"/>
        <w:rPr>
          <w:rFonts w:ascii="宋体" w:hAnsi="宋体"/>
          <w:b/>
          <w:szCs w:val="21"/>
        </w:rPr>
      </w:pPr>
      <w:r>
        <w:rPr>
          <w:rFonts w:hint="eastAsia"/>
        </w:rPr>
        <w:t>参照投标人须知前附表的要求。</w:t>
      </w:r>
    </w:p>
    <w:p>
      <w:pPr>
        <w:pStyle w:val="23"/>
        <w:numPr>
          <w:ilvl w:val="0"/>
          <w:numId w:val="7"/>
        </w:numPr>
        <w:tabs>
          <w:tab w:val="clear" w:pos="425"/>
        </w:tabs>
        <w:spacing w:before="0" w:after="0" w:line="360" w:lineRule="auto"/>
        <w:rPr>
          <w:sz w:val="21"/>
          <w:szCs w:val="21"/>
        </w:rPr>
      </w:pPr>
      <w:bookmarkStart w:id="32" w:name="_Toc191983620"/>
      <w:bookmarkStart w:id="33" w:name="_Toc536623939"/>
      <w:bookmarkStart w:id="34" w:name="_Toc251767406"/>
      <w:r>
        <w:rPr>
          <w:sz w:val="21"/>
          <w:szCs w:val="21"/>
        </w:rPr>
        <w:t>评标</w:t>
      </w:r>
      <w:bookmarkEnd w:id="32"/>
      <w:bookmarkEnd w:id="33"/>
      <w:bookmarkEnd w:id="34"/>
    </w:p>
    <w:p>
      <w:pPr>
        <w:pStyle w:val="24"/>
        <w:numPr>
          <w:ilvl w:val="1"/>
          <w:numId w:val="7"/>
        </w:numPr>
        <w:spacing w:line="360" w:lineRule="auto"/>
        <w:rPr>
          <w:b/>
          <w:szCs w:val="21"/>
        </w:rPr>
      </w:pPr>
      <w:r>
        <w:rPr>
          <w:b/>
          <w:szCs w:val="21"/>
        </w:rPr>
        <w:t>评标委员会</w:t>
      </w:r>
    </w:p>
    <w:p>
      <w:pPr>
        <w:pStyle w:val="24"/>
        <w:spacing w:line="360" w:lineRule="auto"/>
        <w:jc w:val="left"/>
        <w:rPr>
          <w:szCs w:val="21"/>
        </w:rPr>
      </w:pPr>
      <w:r>
        <w:rPr>
          <w:rFonts w:hint="eastAsia"/>
          <w:kern w:val="0"/>
          <w:szCs w:val="21"/>
        </w:rPr>
        <w:t xml:space="preserve">   6.1.1</w:t>
      </w:r>
      <w:r>
        <w:rPr>
          <w:kern w:val="0"/>
          <w:szCs w:val="21"/>
        </w:rPr>
        <w:t>评标由招标人依法组建的评标委员会负责。</w:t>
      </w:r>
    </w:p>
    <w:p>
      <w:pPr>
        <w:pStyle w:val="24"/>
        <w:spacing w:line="360" w:lineRule="auto"/>
        <w:ind w:left="170"/>
        <w:jc w:val="left"/>
        <w:rPr>
          <w:szCs w:val="21"/>
        </w:rPr>
      </w:pPr>
      <w:r>
        <w:rPr>
          <w:rFonts w:hint="eastAsia"/>
          <w:szCs w:val="21"/>
        </w:rPr>
        <w:t xml:space="preserve"> 6.1.2.</w:t>
      </w:r>
      <w:r>
        <w:rPr>
          <w:szCs w:val="21"/>
        </w:rPr>
        <w:t>评标委员会成员有下列情形之一的，应当回避：</w:t>
      </w:r>
    </w:p>
    <w:p>
      <w:pPr>
        <w:pStyle w:val="24"/>
        <w:spacing w:line="360" w:lineRule="auto"/>
        <w:jc w:val="left"/>
        <w:rPr>
          <w:szCs w:val="21"/>
        </w:rPr>
      </w:pPr>
      <w:r>
        <w:rPr>
          <w:rFonts w:hint="eastAsia"/>
          <w:szCs w:val="21"/>
        </w:rPr>
        <w:t xml:space="preserve">   6.1.2.1.</w:t>
      </w:r>
      <w:r>
        <w:rPr>
          <w:szCs w:val="21"/>
        </w:rPr>
        <w:t>投标人的主要负责人的近亲属；</w:t>
      </w:r>
    </w:p>
    <w:p>
      <w:pPr>
        <w:pStyle w:val="24"/>
        <w:spacing w:line="360" w:lineRule="auto"/>
        <w:jc w:val="left"/>
        <w:rPr>
          <w:szCs w:val="21"/>
        </w:rPr>
      </w:pPr>
      <w:r>
        <w:rPr>
          <w:rFonts w:hint="eastAsia"/>
          <w:szCs w:val="21"/>
        </w:rPr>
        <w:t xml:space="preserve">   6.1.2.2.</w:t>
      </w:r>
      <w:r>
        <w:rPr>
          <w:szCs w:val="21"/>
        </w:rPr>
        <w:t>项目主管部门或者行政监督部门的人员；</w:t>
      </w:r>
    </w:p>
    <w:p>
      <w:pPr>
        <w:pStyle w:val="24"/>
        <w:spacing w:line="360" w:lineRule="auto"/>
        <w:jc w:val="left"/>
        <w:rPr>
          <w:szCs w:val="21"/>
        </w:rPr>
      </w:pPr>
      <w:r>
        <w:rPr>
          <w:rFonts w:hint="eastAsia"/>
          <w:szCs w:val="21"/>
        </w:rPr>
        <w:t xml:space="preserve">   6.1.2.3.</w:t>
      </w:r>
      <w:r>
        <w:rPr>
          <w:szCs w:val="21"/>
        </w:rPr>
        <w:t>与投标人有经济利益关系，可能影响对投标公正评审的；</w:t>
      </w:r>
    </w:p>
    <w:p>
      <w:pPr>
        <w:pStyle w:val="24"/>
        <w:spacing w:line="360" w:lineRule="auto"/>
        <w:jc w:val="left"/>
        <w:rPr>
          <w:szCs w:val="21"/>
        </w:rPr>
      </w:pPr>
      <w:r>
        <w:rPr>
          <w:rFonts w:hint="eastAsia"/>
          <w:szCs w:val="21"/>
        </w:rPr>
        <w:t xml:space="preserve">   6.1.2.4.</w:t>
      </w:r>
      <w:r>
        <w:rPr>
          <w:szCs w:val="21"/>
        </w:rPr>
        <w:t>曾因在招标、评标以及其他与招标投标有关活动中从事违法行为而受过行政处罚或刑事处罚的。</w:t>
      </w:r>
    </w:p>
    <w:p>
      <w:pPr>
        <w:pStyle w:val="24"/>
        <w:numPr>
          <w:ilvl w:val="1"/>
          <w:numId w:val="7"/>
        </w:numPr>
        <w:spacing w:line="360" w:lineRule="auto"/>
        <w:rPr>
          <w:b/>
          <w:szCs w:val="21"/>
        </w:rPr>
      </w:pPr>
      <w:r>
        <w:rPr>
          <w:b/>
          <w:szCs w:val="21"/>
        </w:rPr>
        <w:t>评标原则</w:t>
      </w:r>
    </w:p>
    <w:p>
      <w:pPr>
        <w:pStyle w:val="24"/>
        <w:spacing w:line="360" w:lineRule="auto"/>
        <w:ind w:firstLine="420" w:firstLineChars="200"/>
        <w:rPr>
          <w:szCs w:val="21"/>
        </w:rPr>
      </w:pPr>
      <w:r>
        <w:rPr>
          <w:szCs w:val="21"/>
        </w:rPr>
        <w:t>评标活动遵循公平、公正、科学和择优的原则。</w:t>
      </w:r>
    </w:p>
    <w:p>
      <w:pPr>
        <w:pStyle w:val="24"/>
        <w:numPr>
          <w:ilvl w:val="1"/>
          <w:numId w:val="7"/>
        </w:numPr>
        <w:spacing w:line="360" w:lineRule="auto"/>
        <w:rPr>
          <w:b/>
          <w:szCs w:val="21"/>
        </w:rPr>
      </w:pPr>
      <w:r>
        <w:rPr>
          <w:b/>
          <w:szCs w:val="21"/>
        </w:rPr>
        <w:t>评标</w:t>
      </w:r>
    </w:p>
    <w:p>
      <w:pPr>
        <w:pStyle w:val="24"/>
        <w:spacing w:line="360" w:lineRule="auto"/>
        <w:ind w:firstLine="420" w:firstLineChars="200"/>
        <w:rPr>
          <w:szCs w:val="21"/>
        </w:rPr>
      </w:pPr>
      <w:r>
        <w:rPr>
          <w:szCs w:val="21"/>
        </w:rPr>
        <w:t>评标委员会按照第三章“评标办法”规定的方法、评审因素、标准和程序对投标文件进行评审。第三章“评标办法”没有规定的方法、评审因素和标准，不作为评标依据。</w:t>
      </w:r>
    </w:p>
    <w:p>
      <w:pPr>
        <w:pStyle w:val="23"/>
        <w:numPr>
          <w:ilvl w:val="0"/>
          <w:numId w:val="7"/>
        </w:numPr>
        <w:tabs>
          <w:tab w:val="clear" w:pos="425"/>
        </w:tabs>
        <w:spacing w:before="0" w:after="0" w:line="360" w:lineRule="auto"/>
        <w:rPr>
          <w:sz w:val="21"/>
          <w:szCs w:val="21"/>
        </w:rPr>
      </w:pPr>
      <w:bookmarkStart w:id="35" w:name="_Toc251767407"/>
      <w:bookmarkStart w:id="36" w:name="_Toc191983621"/>
      <w:bookmarkStart w:id="37" w:name="_Toc536623940"/>
      <w:r>
        <w:rPr>
          <w:sz w:val="21"/>
          <w:szCs w:val="21"/>
        </w:rPr>
        <w:t>合同授予</w:t>
      </w:r>
      <w:bookmarkEnd w:id="35"/>
      <w:bookmarkEnd w:id="36"/>
      <w:bookmarkEnd w:id="37"/>
    </w:p>
    <w:p>
      <w:pPr>
        <w:pStyle w:val="24"/>
        <w:numPr>
          <w:ilvl w:val="1"/>
          <w:numId w:val="7"/>
        </w:numPr>
        <w:spacing w:line="360" w:lineRule="auto"/>
        <w:rPr>
          <w:b/>
          <w:szCs w:val="21"/>
        </w:rPr>
      </w:pPr>
      <w:r>
        <w:rPr>
          <w:b/>
          <w:szCs w:val="21"/>
        </w:rPr>
        <w:t>定标方式</w:t>
      </w:r>
    </w:p>
    <w:p>
      <w:pPr>
        <w:pStyle w:val="24"/>
        <w:spacing w:line="360" w:lineRule="auto"/>
        <w:ind w:firstLine="420" w:firstLineChars="200"/>
        <w:rPr>
          <w:szCs w:val="21"/>
        </w:rPr>
      </w:pPr>
      <w:r>
        <w:rPr>
          <w:szCs w:val="21"/>
        </w:rPr>
        <w:t>评标委员会推荐中标候选人的人数见投标人须知前附表。</w:t>
      </w:r>
    </w:p>
    <w:p>
      <w:pPr>
        <w:pStyle w:val="24"/>
        <w:spacing w:line="360" w:lineRule="auto"/>
        <w:ind w:firstLine="420" w:firstLineChars="200"/>
        <w:rPr>
          <w:szCs w:val="21"/>
        </w:rPr>
      </w:pPr>
      <w:r>
        <w:rPr>
          <w:szCs w:val="21"/>
        </w:rPr>
        <w:t>招标人将根据评标委员会出具的评标报告，确定排名第一的中标候选人为中标人。当第一中标候选人放弃中标或不按规定向招标人交纳履约保证金或因不可抗拒的因素不签订合同的，招标人可以按顺序确定第二中标候选人为中标人。依此类推。</w:t>
      </w:r>
    </w:p>
    <w:p>
      <w:pPr>
        <w:pStyle w:val="24"/>
        <w:numPr>
          <w:ilvl w:val="1"/>
          <w:numId w:val="7"/>
        </w:numPr>
        <w:spacing w:line="360" w:lineRule="auto"/>
        <w:rPr>
          <w:szCs w:val="21"/>
        </w:rPr>
      </w:pPr>
      <w:r>
        <w:rPr>
          <w:szCs w:val="21"/>
        </w:rPr>
        <w:t>中标通知</w:t>
      </w:r>
    </w:p>
    <w:p>
      <w:pPr>
        <w:pStyle w:val="24"/>
        <w:spacing w:line="360" w:lineRule="auto"/>
        <w:ind w:firstLine="420" w:firstLineChars="200"/>
        <w:rPr>
          <w:szCs w:val="21"/>
        </w:rPr>
      </w:pPr>
      <w:r>
        <w:rPr>
          <w:szCs w:val="21"/>
        </w:rPr>
        <w:t>在本章第3.3款规定的投标有效期内，招标人以书面形式向中标人发出中标通知书。</w:t>
      </w:r>
    </w:p>
    <w:p>
      <w:pPr>
        <w:pStyle w:val="24"/>
        <w:numPr>
          <w:ilvl w:val="1"/>
          <w:numId w:val="7"/>
        </w:numPr>
        <w:spacing w:line="360" w:lineRule="auto"/>
        <w:rPr>
          <w:b/>
          <w:szCs w:val="21"/>
        </w:rPr>
      </w:pPr>
      <w:r>
        <w:rPr>
          <w:b/>
          <w:szCs w:val="21"/>
        </w:rPr>
        <w:t>履约担保</w:t>
      </w:r>
    </w:p>
    <w:p>
      <w:pPr>
        <w:pStyle w:val="24"/>
        <w:numPr>
          <w:ilvl w:val="2"/>
          <w:numId w:val="7"/>
        </w:numPr>
        <w:spacing w:line="360" w:lineRule="auto"/>
        <w:rPr>
          <w:szCs w:val="21"/>
        </w:rPr>
      </w:pPr>
      <w:r>
        <w:rPr>
          <w:szCs w:val="21"/>
        </w:rPr>
        <w:t>在签订合同前，中标人应按照投标须知前附表规定的金额及担保形式向招标人提交履约担保。</w:t>
      </w:r>
    </w:p>
    <w:p>
      <w:pPr>
        <w:pStyle w:val="24"/>
        <w:numPr>
          <w:ilvl w:val="2"/>
          <w:numId w:val="7"/>
        </w:numPr>
        <w:spacing w:line="360" w:lineRule="auto"/>
        <w:rPr>
          <w:szCs w:val="21"/>
        </w:rPr>
      </w:pPr>
      <w:r>
        <w:rPr>
          <w:szCs w:val="21"/>
        </w:rPr>
        <w:t>中标人不能按本章第7.3.1要求提交履约担保的</w:t>
      </w:r>
      <w:r>
        <w:rPr>
          <w:rFonts w:hint="eastAsia"/>
          <w:szCs w:val="21"/>
        </w:rPr>
        <w:t>，</w:t>
      </w:r>
      <w:r>
        <w:rPr>
          <w:szCs w:val="21"/>
        </w:rPr>
        <w:t>视为放弃中标</w:t>
      </w:r>
      <w:r>
        <w:rPr>
          <w:rFonts w:hint="eastAsia"/>
          <w:szCs w:val="21"/>
        </w:rPr>
        <w:t>，</w:t>
      </w:r>
      <w:r>
        <w:rPr>
          <w:szCs w:val="21"/>
        </w:rPr>
        <w:t>其投标保证金不予退还</w:t>
      </w:r>
      <w:r>
        <w:rPr>
          <w:rFonts w:hint="eastAsia"/>
          <w:szCs w:val="21"/>
        </w:rPr>
        <w:t>，</w:t>
      </w:r>
      <w:r>
        <w:rPr>
          <w:szCs w:val="21"/>
        </w:rPr>
        <w:t>给招标人造成损失超过投标保证金额的，中标人还应当对超过部分予以赔偿。</w:t>
      </w:r>
    </w:p>
    <w:p>
      <w:pPr>
        <w:pStyle w:val="24"/>
        <w:numPr>
          <w:ilvl w:val="1"/>
          <w:numId w:val="7"/>
        </w:numPr>
        <w:spacing w:line="360" w:lineRule="auto"/>
        <w:rPr>
          <w:b/>
          <w:szCs w:val="21"/>
        </w:rPr>
      </w:pPr>
      <w:r>
        <w:rPr>
          <w:b/>
          <w:szCs w:val="21"/>
        </w:rPr>
        <w:t>签订合同</w:t>
      </w:r>
    </w:p>
    <w:p>
      <w:pPr>
        <w:pStyle w:val="24"/>
        <w:numPr>
          <w:ilvl w:val="2"/>
          <w:numId w:val="7"/>
        </w:numPr>
        <w:spacing w:line="360" w:lineRule="auto"/>
        <w:rPr>
          <w:szCs w:val="21"/>
        </w:rPr>
      </w:pPr>
      <w:r>
        <w:rPr>
          <w:kern w:val="0"/>
          <w:szCs w:val="21"/>
        </w:rPr>
        <w:t>招标人和中标人应当自中标通知书发出之日起</w:t>
      </w:r>
      <w:r>
        <w:rPr>
          <w:rFonts w:hint="eastAsia"/>
          <w:kern w:val="0"/>
          <w:szCs w:val="21"/>
        </w:rPr>
        <w:t>15</w:t>
      </w:r>
      <w:r>
        <w:rPr>
          <w:kern w:val="0"/>
          <w:szCs w:val="21"/>
        </w:rPr>
        <w:t xml:space="preserve">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pStyle w:val="24"/>
        <w:numPr>
          <w:ilvl w:val="2"/>
          <w:numId w:val="7"/>
        </w:numPr>
        <w:spacing w:line="360" w:lineRule="auto"/>
        <w:rPr>
          <w:szCs w:val="21"/>
        </w:rPr>
      </w:pPr>
      <w:r>
        <w:rPr>
          <w:kern w:val="0"/>
          <w:szCs w:val="21"/>
        </w:rPr>
        <w:t>发出中标通知书后，招标人无正当理由拒签合同的，招标人向中标人退还投标保证金；给中标人造成损失的，还应当赔偿损失。</w:t>
      </w:r>
    </w:p>
    <w:p>
      <w:pPr>
        <w:pStyle w:val="23"/>
        <w:numPr>
          <w:ilvl w:val="0"/>
          <w:numId w:val="7"/>
        </w:numPr>
        <w:tabs>
          <w:tab w:val="clear" w:pos="425"/>
        </w:tabs>
        <w:spacing w:before="0" w:after="0" w:line="360" w:lineRule="auto"/>
        <w:rPr>
          <w:sz w:val="21"/>
          <w:szCs w:val="21"/>
        </w:rPr>
      </w:pPr>
      <w:bookmarkStart w:id="38" w:name="_Toc251767408"/>
      <w:bookmarkStart w:id="39" w:name="_Toc191983622"/>
      <w:bookmarkStart w:id="40" w:name="_Toc536623941"/>
      <w:r>
        <w:rPr>
          <w:sz w:val="21"/>
          <w:szCs w:val="21"/>
        </w:rPr>
        <w:t>重新招标和不再招标</w:t>
      </w:r>
      <w:bookmarkEnd w:id="38"/>
      <w:bookmarkEnd w:id="39"/>
      <w:bookmarkEnd w:id="40"/>
    </w:p>
    <w:p>
      <w:pPr>
        <w:pStyle w:val="24"/>
        <w:numPr>
          <w:ilvl w:val="1"/>
          <w:numId w:val="7"/>
        </w:numPr>
        <w:spacing w:line="360" w:lineRule="auto"/>
        <w:rPr>
          <w:b/>
          <w:szCs w:val="21"/>
        </w:rPr>
      </w:pPr>
      <w:r>
        <w:rPr>
          <w:b/>
          <w:szCs w:val="21"/>
        </w:rPr>
        <w:t>重新招标</w:t>
      </w:r>
    </w:p>
    <w:p>
      <w:pPr>
        <w:pStyle w:val="24"/>
        <w:spacing w:line="360" w:lineRule="auto"/>
        <w:ind w:firstLine="420" w:firstLineChars="200"/>
        <w:rPr>
          <w:szCs w:val="21"/>
        </w:rPr>
      </w:pPr>
      <w:r>
        <w:rPr>
          <w:szCs w:val="21"/>
        </w:rPr>
        <w:t>有下列情形之一的，招标人将重新招标：</w:t>
      </w:r>
    </w:p>
    <w:p>
      <w:pPr>
        <w:pStyle w:val="24"/>
        <w:numPr>
          <w:ilvl w:val="2"/>
          <w:numId w:val="7"/>
        </w:numPr>
        <w:spacing w:line="360" w:lineRule="auto"/>
        <w:rPr>
          <w:bCs/>
          <w:szCs w:val="21"/>
        </w:rPr>
      </w:pPr>
      <w:r>
        <w:rPr>
          <w:bCs/>
          <w:szCs w:val="21"/>
        </w:rPr>
        <w:t>投标截止时间止，投标人少于3个的；</w:t>
      </w:r>
    </w:p>
    <w:p>
      <w:pPr>
        <w:pStyle w:val="24"/>
        <w:numPr>
          <w:ilvl w:val="2"/>
          <w:numId w:val="7"/>
        </w:numPr>
        <w:spacing w:line="360" w:lineRule="auto"/>
        <w:rPr>
          <w:bCs/>
          <w:szCs w:val="21"/>
        </w:rPr>
      </w:pPr>
      <w:r>
        <w:rPr>
          <w:bCs/>
          <w:szCs w:val="21"/>
        </w:rPr>
        <w:t>经评标委员会评审后否决所有投标的。</w:t>
      </w:r>
    </w:p>
    <w:p>
      <w:pPr>
        <w:pStyle w:val="24"/>
        <w:numPr>
          <w:ilvl w:val="1"/>
          <w:numId w:val="7"/>
        </w:numPr>
        <w:spacing w:line="360" w:lineRule="auto"/>
        <w:rPr>
          <w:b/>
          <w:szCs w:val="21"/>
        </w:rPr>
      </w:pPr>
      <w:r>
        <w:rPr>
          <w:b/>
          <w:szCs w:val="21"/>
        </w:rPr>
        <w:t>不再招标</w:t>
      </w:r>
    </w:p>
    <w:p>
      <w:pPr>
        <w:pStyle w:val="24"/>
        <w:spacing w:line="360" w:lineRule="auto"/>
        <w:ind w:firstLine="420" w:firstLineChars="200"/>
        <w:rPr>
          <w:szCs w:val="21"/>
        </w:rPr>
      </w:pPr>
      <w:r>
        <w:rPr>
          <w:kern w:val="0"/>
          <w:szCs w:val="21"/>
        </w:rPr>
        <w:t>重新招标后投标人仍少于3 个或者所有投标被否决的，属于必须审批或核准的工程建设项目，经原审批或核准部门批准后不再进行招标。</w:t>
      </w:r>
    </w:p>
    <w:p>
      <w:pPr>
        <w:pStyle w:val="23"/>
        <w:numPr>
          <w:ilvl w:val="0"/>
          <w:numId w:val="7"/>
        </w:numPr>
        <w:tabs>
          <w:tab w:val="clear" w:pos="425"/>
        </w:tabs>
        <w:spacing w:before="0" w:after="0" w:line="360" w:lineRule="auto"/>
        <w:rPr>
          <w:sz w:val="21"/>
          <w:szCs w:val="21"/>
        </w:rPr>
      </w:pPr>
      <w:bookmarkStart w:id="41" w:name="_Toc191983623"/>
      <w:bookmarkStart w:id="42" w:name="_Toc251767409"/>
      <w:bookmarkStart w:id="43" w:name="_Toc536623942"/>
      <w:r>
        <w:rPr>
          <w:sz w:val="21"/>
          <w:szCs w:val="21"/>
        </w:rPr>
        <w:t>纪律和监督</w:t>
      </w:r>
      <w:bookmarkEnd w:id="41"/>
      <w:bookmarkEnd w:id="42"/>
      <w:bookmarkEnd w:id="43"/>
    </w:p>
    <w:p>
      <w:pPr>
        <w:pStyle w:val="24"/>
        <w:numPr>
          <w:ilvl w:val="1"/>
          <w:numId w:val="7"/>
        </w:numPr>
        <w:spacing w:line="360" w:lineRule="auto"/>
        <w:rPr>
          <w:b/>
          <w:szCs w:val="21"/>
        </w:rPr>
      </w:pPr>
      <w:r>
        <w:rPr>
          <w:b/>
          <w:szCs w:val="21"/>
        </w:rPr>
        <w:t>对招标人的纪律要求</w:t>
      </w:r>
    </w:p>
    <w:p>
      <w:pPr>
        <w:pStyle w:val="24"/>
        <w:spacing w:line="360" w:lineRule="auto"/>
        <w:ind w:firstLine="420" w:firstLineChars="200"/>
        <w:rPr>
          <w:szCs w:val="21"/>
        </w:rPr>
      </w:pPr>
      <w:r>
        <w:rPr>
          <w:szCs w:val="21"/>
        </w:rPr>
        <w:t>招标人不得泄漏招标投标活动中应当保密的情况和资料，不得与投标人串通损害国家利益、社会公共利益或者他人合法权益。</w:t>
      </w:r>
    </w:p>
    <w:p>
      <w:pPr>
        <w:pStyle w:val="24"/>
        <w:numPr>
          <w:ilvl w:val="1"/>
          <w:numId w:val="7"/>
        </w:numPr>
        <w:spacing w:line="360" w:lineRule="auto"/>
        <w:rPr>
          <w:b/>
          <w:szCs w:val="21"/>
        </w:rPr>
      </w:pPr>
      <w:r>
        <w:rPr>
          <w:b/>
          <w:szCs w:val="21"/>
        </w:rPr>
        <w:t>对投标人的纪律要求</w:t>
      </w:r>
    </w:p>
    <w:p>
      <w:pPr>
        <w:pStyle w:val="24"/>
        <w:spacing w:line="360" w:lineRule="auto"/>
        <w:ind w:firstLine="420" w:firstLineChars="200"/>
        <w:rPr>
          <w:szCs w:val="21"/>
        </w:rPr>
      </w:pPr>
      <w:r>
        <w:rPr>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24"/>
        <w:numPr>
          <w:ilvl w:val="1"/>
          <w:numId w:val="7"/>
        </w:numPr>
        <w:spacing w:line="360" w:lineRule="auto"/>
        <w:rPr>
          <w:b/>
          <w:szCs w:val="21"/>
        </w:rPr>
      </w:pPr>
      <w:r>
        <w:rPr>
          <w:b/>
          <w:szCs w:val="21"/>
        </w:rPr>
        <w:t>对评标委员会成员的纪律要求</w:t>
      </w:r>
    </w:p>
    <w:p>
      <w:pPr>
        <w:pStyle w:val="24"/>
        <w:spacing w:line="360" w:lineRule="auto"/>
        <w:ind w:firstLine="420" w:firstLineChars="200"/>
        <w:rPr>
          <w:szCs w:val="21"/>
        </w:rPr>
      </w:pPr>
      <w:r>
        <w:rPr>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24"/>
        <w:numPr>
          <w:ilvl w:val="1"/>
          <w:numId w:val="7"/>
        </w:numPr>
        <w:spacing w:line="360" w:lineRule="auto"/>
        <w:rPr>
          <w:b/>
          <w:szCs w:val="21"/>
        </w:rPr>
      </w:pPr>
      <w:r>
        <w:rPr>
          <w:b/>
          <w:szCs w:val="21"/>
        </w:rPr>
        <w:t>对与评标活动有关的工作人员的纪律要求</w:t>
      </w:r>
    </w:p>
    <w:p>
      <w:pPr>
        <w:pStyle w:val="24"/>
        <w:spacing w:line="360" w:lineRule="auto"/>
        <w:ind w:firstLine="420" w:firstLineChars="200"/>
        <w:rPr>
          <w:szCs w:val="21"/>
        </w:rPr>
      </w:pPr>
      <w:r>
        <w:rPr>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24"/>
        <w:numPr>
          <w:ilvl w:val="1"/>
          <w:numId w:val="7"/>
        </w:numPr>
        <w:spacing w:line="360" w:lineRule="auto"/>
        <w:rPr>
          <w:b/>
          <w:szCs w:val="21"/>
        </w:rPr>
      </w:pPr>
      <w:r>
        <w:rPr>
          <w:b/>
          <w:szCs w:val="21"/>
        </w:rPr>
        <w:t>投诉</w:t>
      </w:r>
    </w:p>
    <w:p>
      <w:pPr>
        <w:pStyle w:val="24"/>
        <w:spacing w:line="360" w:lineRule="auto"/>
        <w:ind w:firstLine="420" w:firstLineChars="200"/>
        <w:rPr>
          <w:szCs w:val="21"/>
        </w:rPr>
      </w:pPr>
      <w:r>
        <w:rPr>
          <w:szCs w:val="21"/>
        </w:rPr>
        <w:t>投标人和其他利害关系人认为本次招标活动违反法律、法规和规章规定的，有权向有关行政监督部门投诉。</w:t>
      </w:r>
    </w:p>
    <w:bookmarkEnd w:id="19"/>
    <w:p>
      <w:pPr>
        <w:pStyle w:val="24"/>
        <w:numPr>
          <w:ilvl w:val="0"/>
          <w:numId w:val="8"/>
        </w:numPr>
        <w:spacing w:line="360" w:lineRule="auto"/>
        <w:ind w:firstLine="422" w:firstLineChars="200"/>
        <w:rPr>
          <w:rFonts w:ascii="宋体" w:hAnsi="宋体" w:cs="仿宋"/>
          <w:b/>
          <w:color w:val="000000"/>
          <w:kern w:val="0"/>
          <w:szCs w:val="21"/>
        </w:rPr>
      </w:pPr>
      <w:bookmarkStart w:id="44" w:name="_Toc335589288"/>
      <w:bookmarkStart w:id="45" w:name="_Toc9485"/>
      <w:bookmarkStart w:id="46" w:name="_Toc32020"/>
      <w:bookmarkStart w:id="47" w:name="_Toc20285"/>
      <w:bookmarkStart w:id="48" w:name="Book66"/>
      <w:r>
        <w:rPr>
          <w:rFonts w:hint="eastAsia" w:ascii="宋体" w:hAnsi="宋体" w:cs="仿宋"/>
          <w:b/>
          <w:color w:val="000000"/>
          <w:kern w:val="0"/>
          <w:szCs w:val="21"/>
        </w:rPr>
        <w:t>需要补充的其他内容</w:t>
      </w:r>
      <w:bookmarkEnd w:id="44"/>
      <w:bookmarkEnd w:id="45"/>
      <w:bookmarkEnd w:id="46"/>
      <w:bookmarkEnd w:id="47"/>
    </w:p>
    <w:p>
      <w:pPr>
        <w:pStyle w:val="24"/>
        <w:spacing w:line="360" w:lineRule="auto"/>
        <w:rPr>
          <w:szCs w:val="21"/>
        </w:rPr>
      </w:pPr>
      <w:r>
        <w:rPr>
          <w:rFonts w:hint="eastAsia"/>
          <w:szCs w:val="21"/>
        </w:rPr>
        <w:t xml:space="preserve">     </w:t>
      </w:r>
      <w:r>
        <w:rPr>
          <w:szCs w:val="21"/>
        </w:rPr>
        <w:t>见投标人须知前附表。</w:t>
      </w: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pStyle w:val="24"/>
        <w:spacing w:line="360" w:lineRule="auto"/>
        <w:rPr>
          <w:szCs w:val="21"/>
        </w:rPr>
      </w:pPr>
    </w:p>
    <w:p>
      <w:pPr>
        <w:rPr>
          <w:rFonts w:ascii="宋体" w:hAnsi="宋体" w:cs="宋体"/>
          <w:b/>
          <w:sz w:val="24"/>
          <w:szCs w:val="28"/>
        </w:rPr>
      </w:pPr>
      <w:r>
        <w:rPr>
          <w:rFonts w:hint="eastAsia" w:ascii="宋体" w:hAnsi="宋体" w:cs="宋体"/>
          <w:b/>
          <w:sz w:val="24"/>
          <w:szCs w:val="28"/>
        </w:rPr>
        <w:t>附件1：</w:t>
      </w:r>
    </w:p>
    <w:p>
      <w:pPr>
        <w:pStyle w:val="6"/>
        <w:spacing w:line="600" w:lineRule="auto"/>
        <w:rPr>
          <w:rFonts w:ascii="宋体" w:hAnsi="宋体" w:cs="宋体"/>
          <w:color w:val="000000"/>
          <w:sz w:val="28"/>
          <w:szCs w:val="24"/>
        </w:rPr>
      </w:pPr>
      <w:r>
        <w:rPr>
          <w:rFonts w:hint="eastAsia" w:ascii="宋体" w:hAnsi="宋体" w:cs="宋体"/>
          <w:color w:val="000000"/>
          <w:sz w:val="28"/>
          <w:szCs w:val="24"/>
          <w:lang w:val="en-US"/>
        </w:rPr>
        <w:t xml:space="preserve">             </w:t>
      </w:r>
      <w:r>
        <w:rPr>
          <w:rFonts w:hint="eastAsia" w:ascii="宋体" w:hAnsi="宋体" w:cs="宋体"/>
          <w:color w:val="000000"/>
          <w:sz w:val="28"/>
          <w:szCs w:val="24"/>
        </w:rPr>
        <w:t>河南省政府采购合同融资政策告知函</w:t>
      </w:r>
    </w:p>
    <w:p>
      <w:pPr>
        <w:pStyle w:val="6"/>
        <w:spacing w:line="600" w:lineRule="auto"/>
        <w:rPr>
          <w:rFonts w:ascii="宋体" w:hAnsi="宋体" w:cs="宋体"/>
          <w:color w:val="000000"/>
          <w:sz w:val="24"/>
          <w:szCs w:val="24"/>
        </w:rPr>
      </w:pPr>
      <w:r>
        <w:rPr>
          <w:rFonts w:hint="eastAsia" w:ascii="宋体" w:hAnsi="宋体" w:cs="宋体"/>
          <w:color w:val="000000"/>
          <w:sz w:val="24"/>
          <w:szCs w:val="24"/>
        </w:rPr>
        <w:t>各供应商:</w:t>
      </w:r>
    </w:p>
    <w:p>
      <w:pPr>
        <w:pStyle w:val="6"/>
        <w:spacing w:line="600" w:lineRule="auto"/>
        <w:ind w:firstLine="472" w:firstLineChars="196"/>
        <w:rPr>
          <w:rFonts w:ascii="宋体" w:hAnsi="宋体" w:cs="宋体"/>
          <w:color w:val="000000"/>
          <w:sz w:val="24"/>
          <w:szCs w:val="24"/>
        </w:rPr>
      </w:pPr>
      <w:r>
        <w:rPr>
          <w:rFonts w:hint="eastAsia" w:ascii="宋体" w:hAnsi="宋体" w:cs="宋体"/>
          <w:color w:val="000000"/>
          <w:sz w:val="24"/>
          <w:szCs w:val="24"/>
        </w:rPr>
        <w:t xml:space="preserve">欢迎贵公司参与河南省政府采购活动! </w:t>
      </w:r>
    </w:p>
    <w:p>
      <w:pPr>
        <w:pStyle w:val="6"/>
        <w:spacing w:line="600" w:lineRule="auto"/>
        <w:rPr>
          <w:rFonts w:ascii="宋体" w:hAnsi="宋体" w:cs="宋体"/>
          <w:color w:val="000000"/>
          <w:sz w:val="24"/>
          <w:szCs w:val="24"/>
        </w:rPr>
      </w:pPr>
      <w:r>
        <w:rPr>
          <w:rFonts w:hint="eastAsia" w:ascii="宋体" w:hAnsi="宋体" w:cs="宋体"/>
          <w:color w:val="000000"/>
          <w:sz w:val="24"/>
          <w:szCs w:val="24"/>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 (豫财购【2017】10号)，按照双方自愿的原则提供便捷、优惠的贷款服务。</w:t>
      </w:r>
    </w:p>
    <w:p>
      <w:pPr>
        <w:pStyle w:val="6"/>
        <w:spacing w:before="100" w:after="100" w:line="312" w:lineRule="auto"/>
        <w:rPr>
          <w:rFonts w:ascii="宋体" w:hAnsi="宋体"/>
          <w:color w:val="000000"/>
          <w:sz w:val="32"/>
          <w:szCs w:val="32"/>
        </w:rPr>
      </w:pPr>
      <w:r>
        <w:rPr>
          <w:rFonts w:hint="eastAsia" w:ascii="宋体" w:hAnsi="宋体" w:cs="宋体"/>
          <w:color w:val="000000"/>
          <w:sz w:val="24"/>
          <w:szCs w:val="24"/>
        </w:rPr>
        <w:t>贷款渠道和提供贷款的金融机构，可在河南省政府采购网"河南省政府采购合同融资平台"查询联系。</w:t>
      </w:r>
      <w:r>
        <w:rPr>
          <w:rFonts w:hint="eastAsia" w:ascii="宋体" w:hAnsi="宋体"/>
          <w:color w:val="000000"/>
          <w:sz w:val="32"/>
          <w:szCs w:val="32"/>
        </w:rPr>
        <w:t xml:space="preserve">     </w:t>
      </w:r>
      <w:r>
        <w:rPr>
          <w:rFonts w:hint="eastAsia" w:ascii="宋体" w:hAnsi="宋体"/>
          <w:color w:val="000000"/>
          <w:sz w:val="32"/>
          <w:szCs w:val="32"/>
          <w:lang w:val="en-US"/>
        </w:rPr>
        <w:t xml:space="preserve">  </w:t>
      </w:r>
      <w:r>
        <w:rPr>
          <w:rFonts w:hint="eastAsia" w:ascii="宋体" w:hAnsi="宋体"/>
          <w:color w:val="000000"/>
          <w:sz w:val="32"/>
          <w:szCs w:val="32"/>
        </w:rPr>
        <w:t xml:space="preserve"> </w:t>
      </w:r>
    </w:p>
    <w:p>
      <w:pPr>
        <w:pStyle w:val="6"/>
        <w:spacing w:before="100" w:after="100" w:line="312" w:lineRule="auto"/>
        <w:rPr>
          <w:rFonts w:ascii="宋体" w:hAnsi="宋体"/>
          <w:color w:val="000000"/>
          <w:sz w:val="32"/>
          <w:szCs w:val="32"/>
        </w:rPr>
      </w:pPr>
    </w:p>
    <w:p>
      <w:pPr>
        <w:pStyle w:val="6"/>
        <w:spacing w:before="100" w:after="100" w:line="312" w:lineRule="auto"/>
        <w:rPr>
          <w:rFonts w:ascii="宋体" w:hAnsi="宋体"/>
          <w:color w:val="000000"/>
          <w:sz w:val="32"/>
          <w:szCs w:val="32"/>
        </w:rPr>
      </w:pPr>
    </w:p>
    <w:p>
      <w:pPr>
        <w:rPr>
          <w:rFonts w:ascii="宋体" w:hAnsi="宋体"/>
          <w:color w:val="000000"/>
          <w:sz w:val="32"/>
          <w:szCs w:val="32"/>
        </w:rPr>
      </w:pPr>
    </w:p>
    <w:p>
      <w:pPr>
        <w:pStyle w:val="9"/>
        <w:rPr>
          <w:rFonts w:ascii="宋体" w:hAnsi="宋体"/>
          <w:color w:val="000000"/>
          <w:sz w:val="32"/>
          <w:szCs w:val="32"/>
        </w:rPr>
      </w:pPr>
    </w:p>
    <w:p>
      <w:pPr>
        <w:pStyle w:val="7"/>
        <w:keepNext w:val="0"/>
        <w:keepLines w:val="0"/>
        <w:rPr>
          <w:b w:val="0"/>
        </w:rPr>
      </w:pPr>
    </w:p>
    <w:p/>
    <w:p>
      <w:pPr>
        <w:pStyle w:val="7"/>
        <w:keepNext w:val="0"/>
        <w:keepLines w:val="0"/>
        <w:jc w:val="center"/>
        <w:rPr>
          <w:b w:val="0"/>
        </w:rPr>
      </w:pPr>
      <w:r>
        <w:rPr>
          <w:b w:val="0"/>
        </w:rPr>
        <w:t>第三章</w:t>
      </w:r>
      <w:r>
        <w:rPr>
          <w:rFonts w:hint="eastAsia"/>
          <w:b w:val="0"/>
        </w:rPr>
        <w:t xml:space="preserve">  评标办法（综合评估法）</w:t>
      </w:r>
    </w:p>
    <w:bookmarkEnd w:id="48"/>
    <w:p>
      <w:pPr>
        <w:spacing w:line="460" w:lineRule="exact"/>
        <w:rPr>
          <w:rFonts w:ascii="宋体"/>
          <w:b/>
          <w:sz w:val="24"/>
        </w:rPr>
      </w:pPr>
      <w:bookmarkStart w:id="49" w:name="_Toc295487543"/>
      <w:bookmarkStart w:id="50" w:name="_Toc152045589"/>
      <w:bookmarkStart w:id="51" w:name="_Toc295837005"/>
      <w:bookmarkStart w:id="52" w:name="_Toc179632607"/>
      <w:bookmarkStart w:id="53" w:name="_Toc293820998"/>
      <w:bookmarkStart w:id="54" w:name="_Toc144974556"/>
      <w:bookmarkStart w:id="55" w:name="_Toc152042366"/>
      <w:bookmarkStart w:id="56" w:name="Book74"/>
      <w:r>
        <w:rPr>
          <w:rFonts w:hint="eastAsia" w:ascii="宋体" w:hAnsi="宋体"/>
          <w:b/>
          <w:sz w:val="24"/>
        </w:rPr>
        <w:t>一、初步评审</w:t>
      </w:r>
    </w:p>
    <w:p>
      <w:pPr>
        <w:spacing w:line="520" w:lineRule="exact"/>
        <w:ind w:firstLine="482" w:firstLineChars="200"/>
        <w:rPr>
          <w:rFonts w:ascii="宋体" w:hAnsi="宋体"/>
          <w:b/>
          <w:sz w:val="24"/>
        </w:rPr>
      </w:pPr>
      <w:r>
        <w:rPr>
          <w:rFonts w:hint="eastAsia" w:ascii="宋体" w:hAnsi="宋体"/>
          <w:b/>
          <w:sz w:val="24"/>
        </w:rPr>
        <w:t>初步评审的内容如下：</w:t>
      </w:r>
    </w:p>
    <w:tbl>
      <w:tblPr>
        <w:tblStyle w:val="17"/>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641"/>
        <w:gridCol w:w="1964"/>
        <w:gridCol w:w="5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评审类别</w:t>
            </w:r>
          </w:p>
        </w:tc>
        <w:tc>
          <w:tcPr>
            <w:tcW w:w="1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评审因素</w:t>
            </w:r>
          </w:p>
        </w:tc>
        <w:tc>
          <w:tcPr>
            <w:tcW w:w="54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87"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1</w:t>
            </w:r>
          </w:p>
        </w:tc>
        <w:tc>
          <w:tcPr>
            <w:tcW w:w="641"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形式评审标准</w:t>
            </w:r>
          </w:p>
        </w:tc>
        <w:tc>
          <w:tcPr>
            <w:tcW w:w="1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投标人名称</w:t>
            </w:r>
          </w:p>
        </w:tc>
        <w:tc>
          <w:tcPr>
            <w:tcW w:w="5464" w:type="dxa"/>
            <w:tcBorders>
              <w:top w:val="single" w:color="auto" w:sz="4" w:space="0"/>
              <w:left w:val="single" w:color="auto" w:sz="4" w:space="0"/>
              <w:bottom w:val="single" w:color="auto" w:sz="4" w:space="0"/>
              <w:right w:val="single" w:color="auto" w:sz="4" w:space="0"/>
            </w:tcBorders>
            <w:vAlign w:val="center"/>
          </w:tcPr>
          <w:p>
            <w:pPr>
              <w:ind w:firstLine="437"/>
              <w:rPr>
                <w:rFonts w:ascii="宋体" w:hAnsi="宋体" w:cs="宋体"/>
                <w:szCs w:val="21"/>
              </w:rPr>
            </w:pPr>
            <w:r>
              <w:rPr>
                <w:rFonts w:hint="eastAsia" w:ascii="宋体" w:hAnsi="宋体"/>
                <w:szCs w:val="21"/>
              </w:rPr>
              <w:t>投标人名称与营业执照和基本账户开户许可证一致。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87"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64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签字、盖章要求</w:t>
            </w:r>
          </w:p>
        </w:tc>
        <w:tc>
          <w:tcPr>
            <w:tcW w:w="5464" w:type="dxa"/>
            <w:tcBorders>
              <w:top w:val="single" w:color="auto" w:sz="4" w:space="0"/>
              <w:left w:val="single" w:color="auto" w:sz="4" w:space="0"/>
              <w:bottom w:val="single" w:color="auto" w:sz="4" w:space="0"/>
              <w:right w:val="single" w:color="auto" w:sz="4" w:space="0"/>
            </w:tcBorders>
            <w:vAlign w:val="center"/>
          </w:tcPr>
          <w:p>
            <w:pPr>
              <w:ind w:firstLine="437"/>
              <w:rPr>
                <w:rFonts w:ascii="宋体" w:hAnsi="宋体" w:cs="宋体"/>
                <w:szCs w:val="21"/>
              </w:rPr>
            </w:pPr>
            <w:r>
              <w:rPr>
                <w:rFonts w:hint="eastAsia" w:ascii="宋体" w:hAnsi="宋体"/>
                <w:szCs w:val="21"/>
              </w:rPr>
              <w:t>投标文件上法定代表人或其授权代理人的签字、投标人的单位章盖章齐全，符合招标文件规定。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64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报价唯一</w:t>
            </w:r>
          </w:p>
        </w:tc>
        <w:tc>
          <w:tcPr>
            <w:tcW w:w="5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宋体" w:hAnsi="宋体" w:cs="宋体"/>
                <w:szCs w:val="21"/>
              </w:rPr>
            </w:pPr>
            <w:r>
              <w:rPr>
                <w:rFonts w:hint="eastAsia" w:ascii="宋体" w:hAnsi="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7"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2</w:t>
            </w:r>
          </w:p>
        </w:tc>
        <w:tc>
          <w:tcPr>
            <w:tcW w:w="641"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资格评审标准</w:t>
            </w:r>
          </w:p>
        </w:tc>
        <w:tc>
          <w:tcPr>
            <w:tcW w:w="1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资质条件</w:t>
            </w:r>
          </w:p>
        </w:tc>
        <w:tc>
          <w:tcPr>
            <w:tcW w:w="54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kern w:val="0"/>
                <w:szCs w:val="21"/>
              </w:rPr>
              <w:t>符合第二章“投标人须知前附表”第1.4.1项规定</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87"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64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人员资格要求</w:t>
            </w:r>
          </w:p>
        </w:tc>
        <w:tc>
          <w:tcPr>
            <w:tcW w:w="54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kern w:val="0"/>
                <w:szCs w:val="21"/>
              </w:rPr>
              <w:t>符合第二章“投标人须知前附表”第1.4.1项规定</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7"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64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营业执照</w:t>
            </w:r>
          </w:p>
        </w:tc>
        <w:tc>
          <w:tcPr>
            <w:tcW w:w="54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kern w:val="0"/>
                <w:szCs w:val="21"/>
              </w:rPr>
              <w:t>符合第二章“投标人须知前附表”第1.4.1项规定</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7"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64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税收和社保要求</w:t>
            </w:r>
          </w:p>
        </w:tc>
        <w:tc>
          <w:tcPr>
            <w:tcW w:w="54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kern w:val="0"/>
                <w:szCs w:val="21"/>
              </w:rPr>
              <w:t>符合第二章“投标人须知前附表”第1.4.1项规定</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87"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64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财务状况</w:t>
            </w:r>
          </w:p>
        </w:tc>
        <w:tc>
          <w:tcPr>
            <w:tcW w:w="54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 xml:space="preserve">  </w:t>
            </w:r>
            <w:r>
              <w:rPr>
                <w:rFonts w:hint="eastAsia" w:ascii="宋体" w:hAnsi="宋体" w:cs="宋体"/>
                <w:kern w:val="0"/>
                <w:szCs w:val="21"/>
              </w:rPr>
              <w:t>符合第二章“投标人须知前附表”第1.4.1项规定</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87"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64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联合体的要求</w:t>
            </w:r>
          </w:p>
        </w:tc>
        <w:tc>
          <w:tcPr>
            <w:tcW w:w="5464"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cs="宋体"/>
                <w:szCs w:val="21"/>
              </w:rPr>
            </w:pPr>
            <w:r>
              <w:rPr>
                <w:rFonts w:hint="eastAsia" w:ascii="宋体" w:hAnsi="宋体" w:cs="宋体"/>
                <w:kern w:val="0"/>
                <w:szCs w:val="21"/>
              </w:rPr>
              <w:t>符合第二章“投标人须知前附表”第1.4.1项规定；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7"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w:t>
            </w:r>
          </w:p>
        </w:tc>
        <w:tc>
          <w:tcPr>
            <w:tcW w:w="641"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响应性评审标准</w:t>
            </w:r>
          </w:p>
        </w:tc>
        <w:tc>
          <w:tcPr>
            <w:tcW w:w="1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工期、质量、投标有效期</w:t>
            </w:r>
          </w:p>
        </w:tc>
        <w:tc>
          <w:tcPr>
            <w:tcW w:w="5464" w:type="dxa"/>
            <w:tcBorders>
              <w:top w:val="single" w:color="auto" w:sz="4" w:space="0"/>
              <w:left w:val="single" w:color="auto" w:sz="4" w:space="0"/>
              <w:bottom w:val="single" w:color="auto" w:sz="4" w:space="0"/>
              <w:right w:val="single" w:color="auto" w:sz="4" w:space="0"/>
            </w:tcBorders>
            <w:vAlign w:val="center"/>
          </w:tcPr>
          <w:p>
            <w:pPr>
              <w:ind w:firstLine="437"/>
              <w:rPr>
                <w:rFonts w:ascii="宋体" w:hAnsi="宋体" w:cs="宋体"/>
                <w:szCs w:val="21"/>
              </w:rPr>
            </w:pPr>
            <w:r>
              <w:rPr>
                <w:rFonts w:hint="eastAsia" w:ascii="宋体" w:hAnsi="宋体"/>
                <w:szCs w:val="21"/>
              </w:rPr>
              <w:t>投标文件按招标文件规定填报了工期、质量及投标有效期；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87"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64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投标报价</w:t>
            </w:r>
          </w:p>
        </w:tc>
        <w:tc>
          <w:tcPr>
            <w:tcW w:w="5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宋体" w:hAnsi="宋体" w:cs="宋体"/>
                <w:szCs w:val="21"/>
              </w:rPr>
            </w:pPr>
            <w:r>
              <w:rPr>
                <w:rFonts w:hint="eastAsia" w:ascii="宋体" w:hAnsi="宋体"/>
                <w:szCs w:val="21"/>
              </w:rPr>
              <w:t>投标人投标价格不得超出招标控制价。</w:t>
            </w:r>
          </w:p>
        </w:tc>
      </w:tr>
    </w:tbl>
    <w:p>
      <w:pPr>
        <w:spacing w:line="440" w:lineRule="exact"/>
        <w:rPr>
          <w:rFonts w:ascii="宋体"/>
          <w:b/>
          <w:sz w:val="24"/>
        </w:rPr>
      </w:pPr>
      <w:r>
        <w:rPr>
          <w:rFonts w:hint="eastAsia" w:ascii="宋体" w:hAnsi="宋体"/>
          <w:b/>
          <w:sz w:val="24"/>
        </w:rPr>
        <w:t>（四）算术错误修正</w:t>
      </w:r>
    </w:p>
    <w:p>
      <w:pPr>
        <w:spacing w:line="520" w:lineRule="exact"/>
        <w:ind w:firstLine="420" w:firstLineChars="200"/>
        <w:rPr>
          <w:rFonts w:ascii="宋体"/>
          <w:szCs w:val="21"/>
        </w:rPr>
      </w:pPr>
      <w:r>
        <w:rPr>
          <w:rFonts w:hint="eastAsia" w:ascii="宋体" w:hAnsi="宋体"/>
          <w:szCs w:val="21"/>
        </w:rPr>
        <w:t>评标委员会应依据以下原则对投标报价中存在的算术错误进行修正，并根据算术错误修正结果计算评标价。</w:t>
      </w:r>
    </w:p>
    <w:p>
      <w:pPr>
        <w:spacing w:line="52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）用数字表示的数额与用文字表示的数额不一致时，以文字数额为准；</w:t>
      </w:r>
    </w:p>
    <w:p>
      <w:pPr>
        <w:spacing w:line="52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）单价与工程量的乘积与总价之间不一致时，以单价为准。若单价有明显小数点错位，应以总价为准，并修改单价。</w:t>
      </w:r>
    </w:p>
    <w:p>
      <w:pPr>
        <w:spacing w:line="360" w:lineRule="auto"/>
        <w:ind w:firstLine="420" w:firstLineChars="200"/>
        <w:rPr>
          <w:rFonts w:ascii="宋体"/>
          <w:szCs w:val="21"/>
        </w:rPr>
      </w:pPr>
      <w:r>
        <w:rPr>
          <w:rFonts w:hint="eastAsia" w:ascii="宋体" w:hAnsi="宋体"/>
          <w:szCs w:val="21"/>
        </w:rPr>
        <w:t>评标委员会将按上述规定的原则，要求投标人改正报价中的算术错误，改正后的投标报价汇总表需经招标人和投标人共同确认，并对投标人起约束作用，如投标人不接受修改后的报价，则其投标将被拒绝。</w:t>
      </w:r>
    </w:p>
    <w:p>
      <w:pPr>
        <w:spacing w:line="360" w:lineRule="auto"/>
        <w:rPr>
          <w:rFonts w:ascii="宋体"/>
          <w:b/>
          <w:sz w:val="24"/>
        </w:rPr>
      </w:pPr>
      <w:r>
        <w:rPr>
          <w:rFonts w:hint="eastAsia" w:ascii="宋体" w:hAnsi="宋体"/>
          <w:b/>
          <w:sz w:val="24"/>
        </w:rPr>
        <w:t>（五）废标的判定</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）不符合形式评审、资格评审、响应性评审任一项内容的。</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）有串通投标、弄虚作假或有其他违法行为的。</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）不按评标委员会要求澄清、说明或补正的。</w:t>
      </w:r>
    </w:p>
    <w:p>
      <w:pPr>
        <w:spacing w:line="360" w:lineRule="auto"/>
        <w:ind w:firstLine="420" w:firstLineChars="200"/>
        <w:rPr>
          <w:rFonts w:ascii="宋体"/>
          <w:szCs w:val="21"/>
        </w:rPr>
      </w:pPr>
      <w:r>
        <w:rPr>
          <w:rFonts w:hint="eastAsia" w:ascii="宋体" w:hAnsi="宋体"/>
          <w:szCs w:val="21"/>
        </w:rPr>
        <w:t>（4）投标文件附有招标人不能接受的条件。</w:t>
      </w:r>
    </w:p>
    <w:p>
      <w:pPr>
        <w:spacing w:line="360" w:lineRule="auto"/>
        <w:ind w:firstLine="422" w:firstLineChars="200"/>
        <w:rPr>
          <w:rFonts w:ascii="宋体"/>
          <w:b/>
          <w:szCs w:val="21"/>
        </w:rPr>
      </w:pPr>
      <w:r>
        <w:rPr>
          <w:rFonts w:hint="eastAsia" w:ascii="宋体" w:hAnsi="宋体"/>
          <w:b/>
          <w:szCs w:val="21"/>
        </w:rPr>
        <w:t>除本项目文件其他地方明确描述了废标条件的，不在本条款规定范围之内的其他规定，不得作为废标条件。</w:t>
      </w:r>
    </w:p>
    <w:bookmarkEnd w:id="49"/>
    <w:bookmarkEnd w:id="50"/>
    <w:bookmarkEnd w:id="51"/>
    <w:bookmarkEnd w:id="52"/>
    <w:bookmarkEnd w:id="53"/>
    <w:bookmarkEnd w:id="54"/>
    <w:bookmarkEnd w:id="55"/>
    <w:p>
      <w:pPr>
        <w:spacing w:line="360" w:lineRule="auto"/>
        <w:rPr>
          <w:rFonts w:ascii="宋体" w:hAnsi="宋体"/>
          <w:b/>
          <w:sz w:val="24"/>
        </w:rPr>
      </w:pPr>
      <w:bookmarkStart w:id="57" w:name="_Toc32454"/>
      <w:bookmarkStart w:id="58" w:name="_Toc17808"/>
      <w:bookmarkStart w:id="59" w:name="_Toc30942"/>
      <w:bookmarkStart w:id="60" w:name="_Toc25958"/>
      <w:bookmarkStart w:id="61" w:name="_Toc29532"/>
      <w:bookmarkStart w:id="62" w:name="_Toc536623945"/>
      <w:bookmarkStart w:id="63" w:name="_Toc16222"/>
      <w:bookmarkStart w:id="64" w:name="_Toc16555"/>
      <w:r>
        <w:rPr>
          <w:rFonts w:hint="eastAsia" w:ascii="宋体" w:hAnsi="宋体"/>
          <w:b/>
          <w:sz w:val="24"/>
        </w:rPr>
        <w:t>二、详细性评审</w:t>
      </w:r>
      <w:bookmarkEnd w:id="57"/>
      <w:bookmarkEnd w:id="58"/>
      <w:bookmarkEnd w:id="59"/>
      <w:bookmarkEnd w:id="60"/>
      <w:bookmarkEnd w:id="61"/>
      <w:bookmarkEnd w:id="62"/>
      <w:bookmarkEnd w:id="63"/>
      <w:bookmarkEnd w:id="64"/>
    </w:p>
    <w:p>
      <w:pPr>
        <w:spacing w:line="360" w:lineRule="auto"/>
        <w:ind w:firstLine="420" w:firstLineChars="200"/>
        <w:rPr>
          <w:rFonts w:ascii="宋体" w:hAnsi="宋体"/>
          <w:szCs w:val="21"/>
        </w:rPr>
      </w:pPr>
      <w:r>
        <w:rPr>
          <w:rFonts w:hint="eastAsia" w:ascii="宋体" w:hAnsi="宋体"/>
          <w:szCs w:val="21"/>
        </w:rPr>
        <w:t>只有通过了初步评审的投标文件才能进入详细评审。</w:t>
      </w:r>
    </w:p>
    <w:p>
      <w:pPr>
        <w:spacing w:line="360" w:lineRule="auto"/>
        <w:rPr>
          <w:b/>
          <w:sz w:val="24"/>
        </w:rPr>
      </w:pPr>
      <w:r>
        <w:rPr>
          <w:rFonts w:hint="eastAsia"/>
          <w:b/>
          <w:sz w:val="24"/>
        </w:rPr>
        <w:t>2.1评标标准及评标办法</w:t>
      </w:r>
    </w:p>
    <w:p>
      <w:pPr>
        <w:spacing w:line="360" w:lineRule="auto"/>
        <w:ind w:firstLine="435"/>
        <w:rPr>
          <w:szCs w:val="21"/>
        </w:rPr>
      </w:pPr>
      <w:r>
        <w:rPr>
          <w:rFonts w:hint="eastAsia"/>
          <w:szCs w:val="21"/>
        </w:rPr>
        <w:t>在评标过程中，凡遇到招标文件中无界定或界定不清、前后不一致使评委会成员意见有分歧且又难于协商一致的问题，均由评委会予以表决，获半数以上同意的即为通过，末获半数同意的即为否决。</w:t>
      </w:r>
    </w:p>
    <w:p>
      <w:pPr>
        <w:pStyle w:val="16"/>
        <w:ind w:firstLine="210"/>
        <w:rPr>
          <w:szCs w:val="21"/>
        </w:rPr>
      </w:pPr>
    </w:p>
    <w:p>
      <w:pPr>
        <w:pStyle w:val="4"/>
      </w:pPr>
    </w:p>
    <w:p>
      <w:pPr>
        <w:pStyle w:val="4"/>
      </w:pPr>
    </w:p>
    <w:p>
      <w:pPr>
        <w:pStyle w:val="4"/>
      </w:pPr>
    </w:p>
    <w:p>
      <w:pPr>
        <w:pStyle w:val="4"/>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p>
    <w:p>
      <w:pPr>
        <w:pStyle w:val="24"/>
        <w:jc w:val="center"/>
        <w:rPr>
          <w:b/>
          <w:sz w:val="32"/>
          <w:szCs w:val="32"/>
        </w:rPr>
      </w:pPr>
      <w:r>
        <w:rPr>
          <w:rFonts w:hint="eastAsia"/>
          <w:b/>
          <w:sz w:val="32"/>
          <w:szCs w:val="32"/>
        </w:rPr>
        <w:t>详细评审表</w:t>
      </w:r>
    </w:p>
    <w:p>
      <w:pPr>
        <w:pStyle w:val="24"/>
        <w:jc w:val="center"/>
        <w:rPr>
          <w:b/>
          <w:szCs w:val="21"/>
        </w:rPr>
      </w:pPr>
    </w:p>
    <w:tbl>
      <w:tblPr>
        <w:tblStyle w:val="17"/>
        <w:tblW w:w="8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5"/>
        <w:gridCol w:w="930"/>
        <w:gridCol w:w="1963"/>
        <w:gridCol w:w="3113"/>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75" w:type="dxa"/>
            <w:gridSpan w:val="2"/>
            <w:vAlign w:val="center"/>
          </w:tcPr>
          <w:p>
            <w:pPr>
              <w:autoSpaceDE w:val="0"/>
              <w:autoSpaceDN w:val="0"/>
              <w:adjustRightInd w:val="0"/>
              <w:snapToGrid w:val="0"/>
              <w:jc w:val="center"/>
              <w:rPr>
                <w:spacing w:val="1"/>
                <w:kern w:val="0"/>
                <w:szCs w:val="21"/>
              </w:rPr>
            </w:pPr>
            <w:r>
              <w:rPr>
                <w:spacing w:val="1"/>
                <w:kern w:val="0"/>
                <w:szCs w:val="21"/>
              </w:rPr>
              <w:t>2.2.1</w:t>
            </w:r>
          </w:p>
        </w:tc>
        <w:tc>
          <w:tcPr>
            <w:tcW w:w="1963" w:type="dxa"/>
            <w:vAlign w:val="center"/>
          </w:tcPr>
          <w:p>
            <w:pPr>
              <w:autoSpaceDE w:val="0"/>
              <w:autoSpaceDN w:val="0"/>
              <w:adjustRightInd w:val="0"/>
              <w:snapToGrid w:val="0"/>
              <w:spacing w:line="36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分值构成</w:t>
            </w:r>
          </w:p>
          <w:p>
            <w:pPr>
              <w:autoSpaceDE w:val="0"/>
              <w:autoSpaceDN w:val="0"/>
              <w:adjustRightInd w:val="0"/>
              <w:snapToGrid w:val="0"/>
              <w:spacing w:line="36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(总分100分)</w:t>
            </w:r>
          </w:p>
        </w:tc>
        <w:tc>
          <w:tcPr>
            <w:tcW w:w="4807" w:type="dxa"/>
            <w:gridSpan w:val="2"/>
          </w:tcPr>
          <w:p>
            <w:pPr>
              <w:adjustRightInd w:val="0"/>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r>
              <w:rPr>
                <w:rFonts w:hint="eastAsia" w:ascii="宋体" w:hAnsi="宋体" w:cs="宋体"/>
                <w:color w:val="000000" w:themeColor="text1"/>
                <w:kern w:val="0"/>
                <w:szCs w:val="21"/>
                <w:u w:val="single"/>
                <w14:textFill>
                  <w14:solidFill>
                    <w14:schemeClr w14:val="tx1"/>
                  </w14:solidFill>
                </w14:textFill>
              </w:rPr>
              <w:t xml:space="preserve">  25 </w:t>
            </w:r>
            <w:r>
              <w:rPr>
                <w:rFonts w:hint="eastAsia" w:ascii="宋体" w:hAnsi="宋体" w:cs="宋体"/>
                <w:color w:val="000000" w:themeColor="text1"/>
                <w:kern w:val="0"/>
                <w:szCs w:val="21"/>
                <w14:textFill>
                  <w14:solidFill>
                    <w14:schemeClr w14:val="tx1"/>
                  </w14:solidFill>
                </w14:textFill>
              </w:rPr>
              <w:t>分</w:t>
            </w:r>
          </w:p>
          <w:p>
            <w:pPr>
              <w:adjustRightInd w:val="0"/>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监理大纲：</w:t>
            </w:r>
            <w:r>
              <w:rPr>
                <w:rFonts w:hint="eastAsia" w:ascii="宋体" w:hAnsi="宋体" w:cs="宋体"/>
                <w:color w:val="000000" w:themeColor="text1"/>
                <w:kern w:val="0"/>
                <w:szCs w:val="21"/>
                <w:u w:val="single"/>
                <w14:textFill>
                  <w14:solidFill>
                    <w14:schemeClr w14:val="tx1"/>
                  </w14:solidFill>
                </w14:textFill>
              </w:rPr>
              <w:t xml:space="preserve">  50 </w:t>
            </w:r>
            <w:r>
              <w:rPr>
                <w:rFonts w:hint="eastAsia" w:ascii="宋体" w:hAnsi="宋体" w:cs="宋体"/>
                <w:color w:val="000000" w:themeColor="text1"/>
                <w:kern w:val="0"/>
                <w:szCs w:val="21"/>
                <w14:textFill>
                  <w14:solidFill>
                    <w14:schemeClr w14:val="tx1"/>
                  </w14:solidFill>
                </w14:textFill>
              </w:rPr>
              <w:t>分</w:t>
            </w:r>
          </w:p>
          <w:p>
            <w:pPr>
              <w:adjustRightInd w:val="0"/>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企业综合实</w:t>
            </w:r>
            <w:r>
              <w:rPr>
                <w:rFonts w:hint="eastAsia" w:ascii="宋体" w:hAnsi="宋体" w:cs="宋体"/>
                <w:color w:val="000000" w:themeColor="text1"/>
                <w:w w:val="105"/>
                <w14:textFill>
                  <w14:solidFill>
                    <w14:schemeClr w14:val="tx1"/>
                  </w14:solidFill>
                </w14:textFill>
              </w:rPr>
              <w:t>力</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u w:val="single"/>
                <w14:textFill>
                  <w14:solidFill>
                    <w14:schemeClr w14:val="tx1"/>
                  </w14:solidFill>
                </w14:textFill>
              </w:rPr>
              <w:t xml:space="preserve"> 20 </w:t>
            </w:r>
            <w:r>
              <w:rPr>
                <w:rFonts w:hint="eastAsia" w:ascii="宋体" w:hAnsi="宋体" w:cs="宋体"/>
                <w:color w:val="000000" w:themeColor="text1"/>
                <w:kern w:val="0"/>
                <w:szCs w:val="21"/>
                <w14:textFill>
                  <w14:solidFill>
                    <w14:schemeClr w14:val="tx1"/>
                  </w14:solidFill>
                </w14:textFill>
              </w:rPr>
              <w:t>分</w:t>
            </w:r>
          </w:p>
          <w:p>
            <w:pPr>
              <w:adjustRightInd w:val="0"/>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服务承诺：</w:t>
            </w:r>
            <w:r>
              <w:rPr>
                <w:rFonts w:hint="eastAsia" w:ascii="宋体" w:hAnsi="宋体" w:cs="宋体"/>
                <w:color w:val="000000" w:themeColor="text1"/>
                <w:kern w:val="0"/>
                <w:szCs w:val="21"/>
                <w:u w:val="single"/>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875" w:type="dxa"/>
            <w:gridSpan w:val="2"/>
            <w:vAlign w:val="center"/>
          </w:tcPr>
          <w:p>
            <w:pPr>
              <w:autoSpaceDE w:val="0"/>
              <w:autoSpaceDN w:val="0"/>
              <w:adjustRightInd w:val="0"/>
              <w:snapToGrid w:val="0"/>
              <w:jc w:val="center"/>
              <w:rPr>
                <w:spacing w:val="1"/>
                <w:kern w:val="0"/>
                <w:szCs w:val="21"/>
              </w:rPr>
            </w:pPr>
            <w:r>
              <w:rPr>
                <w:spacing w:val="1"/>
                <w:kern w:val="0"/>
                <w:szCs w:val="21"/>
              </w:rPr>
              <w:t>2.2.2</w:t>
            </w:r>
          </w:p>
        </w:tc>
        <w:tc>
          <w:tcPr>
            <w:tcW w:w="1963" w:type="dxa"/>
            <w:vAlign w:val="center"/>
          </w:tcPr>
          <w:p>
            <w:pPr>
              <w:autoSpaceDE w:val="0"/>
              <w:autoSpaceDN w:val="0"/>
              <w:adjustRightInd w:val="0"/>
              <w:snapToGrid w:val="0"/>
              <w:jc w:val="center"/>
              <w:rPr>
                <w:kern w:val="0"/>
                <w:szCs w:val="21"/>
              </w:rPr>
            </w:pPr>
            <w:r>
              <w:rPr>
                <w:rFonts w:hint="eastAsia"/>
                <w:kern w:val="0"/>
                <w:szCs w:val="21"/>
              </w:rPr>
              <w:t>评标基准值</w:t>
            </w:r>
            <w:r>
              <w:rPr>
                <w:kern w:val="0"/>
                <w:szCs w:val="21"/>
              </w:rPr>
              <w:t>计算方法</w:t>
            </w:r>
          </w:p>
        </w:tc>
        <w:tc>
          <w:tcPr>
            <w:tcW w:w="4807" w:type="dxa"/>
            <w:gridSpan w:val="2"/>
            <w:vAlign w:val="center"/>
          </w:tcPr>
          <w:p>
            <w:pPr>
              <w:pStyle w:val="24"/>
              <w:autoSpaceDE w:val="0"/>
              <w:autoSpaceDN w:val="0"/>
              <w:adjustRightInd w:val="0"/>
              <w:snapToGrid w:val="0"/>
              <w:spacing w:line="360" w:lineRule="auto"/>
              <w:rPr>
                <w:rFonts w:ascii="宋体" w:hAnsi="宋体" w:cs="宋体"/>
                <w:kern w:val="0"/>
                <w:szCs w:val="21"/>
              </w:rPr>
            </w:pPr>
            <w:r>
              <w:rPr>
                <w:rFonts w:hint="eastAsia" w:ascii="宋体" w:hAnsi="宋体" w:cs="宋体"/>
                <w:kern w:val="0"/>
                <w:szCs w:val="21"/>
              </w:rPr>
              <w:t xml:space="preserve">    投标人投标报价在最高投标限价的95%-100%之间（含95%、100%）参与评标基准价计算；不在上述范围内的投标报价不参与评标基准价的计算，但仍予以赋分。若所有投标人的投标报价都不在上述范围内的，则以最高投标限价的95%为评标基准价。</w:t>
            </w:r>
          </w:p>
          <w:p>
            <w:pPr>
              <w:pStyle w:val="24"/>
              <w:autoSpaceDE w:val="0"/>
              <w:autoSpaceDN w:val="0"/>
              <w:adjustRightInd w:val="0"/>
              <w:snapToGrid w:val="0"/>
              <w:spacing w:line="360" w:lineRule="auto"/>
              <w:rPr>
                <w:rFonts w:ascii="宋体" w:hAnsi="宋体" w:cs="宋体"/>
                <w:kern w:val="0"/>
                <w:szCs w:val="21"/>
              </w:rPr>
            </w:pPr>
            <w:r>
              <w:rPr>
                <w:rFonts w:hint="eastAsia" w:ascii="宋体" w:hAnsi="宋体" w:cs="宋体"/>
                <w:kern w:val="0"/>
                <w:szCs w:val="21"/>
              </w:rPr>
              <w:t xml:space="preserve">    评标基准价=参与评标基准价计算的有效投标报价的算术平均值*50%+最高投标限价*50%；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75" w:type="dxa"/>
            <w:gridSpan w:val="2"/>
            <w:vAlign w:val="center"/>
          </w:tcPr>
          <w:p>
            <w:pPr>
              <w:autoSpaceDE w:val="0"/>
              <w:autoSpaceDN w:val="0"/>
              <w:adjustRightInd w:val="0"/>
              <w:snapToGrid w:val="0"/>
              <w:jc w:val="center"/>
              <w:rPr>
                <w:b/>
                <w:bCs/>
                <w:spacing w:val="1"/>
                <w:kern w:val="0"/>
                <w:szCs w:val="21"/>
              </w:rPr>
            </w:pPr>
            <w:r>
              <w:rPr>
                <w:b/>
                <w:bCs/>
                <w:spacing w:val="1"/>
                <w:kern w:val="0"/>
                <w:szCs w:val="21"/>
              </w:rPr>
              <w:t>2.2.3</w:t>
            </w:r>
          </w:p>
        </w:tc>
        <w:tc>
          <w:tcPr>
            <w:tcW w:w="1963" w:type="dxa"/>
            <w:vAlign w:val="center"/>
          </w:tcPr>
          <w:p>
            <w:pPr>
              <w:autoSpaceDE w:val="0"/>
              <w:autoSpaceDN w:val="0"/>
              <w:adjustRightInd w:val="0"/>
              <w:snapToGrid w:val="0"/>
              <w:jc w:val="center"/>
              <w:rPr>
                <w:kern w:val="0"/>
                <w:szCs w:val="21"/>
              </w:rPr>
            </w:pPr>
            <w:r>
              <w:rPr>
                <w:rFonts w:hint="eastAsia"/>
                <w:kern w:val="0"/>
                <w:szCs w:val="21"/>
              </w:rPr>
              <w:t>投标报价的偏差率计算公式</w:t>
            </w:r>
          </w:p>
        </w:tc>
        <w:tc>
          <w:tcPr>
            <w:tcW w:w="4807" w:type="dxa"/>
            <w:gridSpan w:val="2"/>
            <w:vAlign w:val="center"/>
          </w:tcPr>
          <w:p>
            <w:pPr>
              <w:pStyle w:val="16"/>
              <w:adjustRightInd w:val="0"/>
              <w:snapToGrid w:val="0"/>
              <w:spacing w:after="0" w:line="360" w:lineRule="auto"/>
              <w:ind w:firstLine="0" w:firstLineChars="0"/>
              <w:rPr>
                <w:rFonts w:ascii="宋体" w:hAnsi="宋体" w:cs="宋体"/>
              </w:rPr>
            </w:pPr>
            <w:r>
              <w:rPr>
                <w:rFonts w:hint="eastAsia" w:ascii="宋体" w:hAnsi="宋体" w:cs="宋体"/>
              </w:rPr>
              <w:t>偏差率=100%*（投标人报价-评标基准价）/评标基准价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875" w:type="dxa"/>
            <w:gridSpan w:val="2"/>
            <w:vAlign w:val="center"/>
          </w:tcPr>
          <w:p>
            <w:pPr>
              <w:autoSpaceDE w:val="0"/>
              <w:autoSpaceDN w:val="0"/>
              <w:adjustRightInd w:val="0"/>
              <w:snapToGrid w:val="0"/>
              <w:jc w:val="center"/>
              <w:rPr>
                <w:spacing w:val="1"/>
                <w:kern w:val="0"/>
                <w:szCs w:val="21"/>
              </w:rPr>
            </w:pPr>
            <w:r>
              <w:rPr>
                <w:kern w:val="0"/>
                <w:szCs w:val="21"/>
              </w:rPr>
              <w:t>条款号</w:t>
            </w:r>
          </w:p>
        </w:tc>
        <w:tc>
          <w:tcPr>
            <w:tcW w:w="1963" w:type="dxa"/>
            <w:vAlign w:val="center"/>
          </w:tcPr>
          <w:p>
            <w:pPr>
              <w:autoSpaceDE w:val="0"/>
              <w:autoSpaceDN w:val="0"/>
              <w:adjustRightInd w:val="0"/>
              <w:snapToGrid w:val="0"/>
              <w:jc w:val="center"/>
              <w:rPr>
                <w:kern w:val="0"/>
                <w:szCs w:val="21"/>
              </w:rPr>
            </w:pPr>
            <w:r>
              <w:rPr>
                <w:kern w:val="0"/>
                <w:szCs w:val="21"/>
              </w:rPr>
              <w:t>评分因素</w:t>
            </w:r>
          </w:p>
        </w:tc>
        <w:tc>
          <w:tcPr>
            <w:tcW w:w="4807" w:type="dxa"/>
            <w:gridSpan w:val="2"/>
            <w:vAlign w:val="center"/>
          </w:tcPr>
          <w:p>
            <w:pPr>
              <w:adjustRightInd w:val="0"/>
              <w:snapToGrid w:val="0"/>
              <w:jc w:val="center"/>
              <w:rPr>
                <w:rFonts w:ascii="宋体" w:hAnsi="宋体" w:cs="宋体"/>
                <w:kern w:val="0"/>
                <w:szCs w:val="21"/>
              </w:rPr>
            </w:pPr>
            <w:r>
              <w:rPr>
                <w:rFonts w:hint="eastAsia" w:ascii="宋体" w:hAnsi="宋体" w:cs="宋体"/>
                <w:kern w:val="0"/>
                <w:szCs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945" w:type="dxa"/>
            <w:vAlign w:val="center"/>
          </w:tcPr>
          <w:p>
            <w:pPr>
              <w:autoSpaceDE w:val="0"/>
              <w:autoSpaceDN w:val="0"/>
              <w:adjustRightInd w:val="0"/>
              <w:snapToGrid w:val="0"/>
              <w:jc w:val="center"/>
              <w:rPr>
                <w:spacing w:val="1"/>
                <w:kern w:val="0"/>
                <w:szCs w:val="21"/>
              </w:rPr>
            </w:pPr>
            <w:r>
              <w:rPr>
                <w:spacing w:val="1"/>
                <w:kern w:val="0"/>
                <w:szCs w:val="21"/>
              </w:rPr>
              <w:t>2.2.4</w:t>
            </w:r>
          </w:p>
          <w:p>
            <w:pPr>
              <w:autoSpaceDE w:val="0"/>
              <w:autoSpaceDN w:val="0"/>
              <w:adjustRightInd w:val="0"/>
              <w:snapToGrid w:val="0"/>
              <w:jc w:val="center"/>
              <w:rPr>
                <w:spacing w:val="1"/>
                <w:kern w:val="0"/>
                <w:szCs w:val="21"/>
              </w:rPr>
            </w:pPr>
            <w:r>
              <w:rPr>
                <w:spacing w:val="1"/>
                <w:kern w:val="0"/>
                <w:szCs w:val="21"/>
              </w:rPr>
              <w:t>(1)</w:t>
            </w:r>
          </w:p>
        </w:tc>
        <w:tc>
          <w:tcPr>
            <w:tcW w:w="930" w:type="dxa"/>
            <w:vAlign w:val="center"/>
          </w:tcPr>
          <w:p>
            <w:pPr>
              <w:autoSpaceDE w:val="0"/>
              <w:autoSpaceDN w:val="0"/>
              <w:adjustRightInd w:val="0"/>
              <w:snapToGrid w:val="0"/>
              <w:spacing w:line="36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投标报价评分标准</w:t>
            </w:r>
          </w:p>
          <w:p>
            <w:pPr>
              <w:autoSpaceDE w:val="0"/>
              <w:autoSpaceDN w:val="0"/>
              <w:adjustRightInd w:val="0"/>
              <w:snapToGrid w:val="0"/>
              <w:spacing w:line="360" w:lineRule="auto"/>
              <w:jc w:val="center"/>
              <w:rPr>
                <w:color w:val="000000" w:themeColor="text1"/>
                <w:spacing w:val="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25</w:t>
            </w:r>
            <w:r>
              <w:rPr>
                <w:color w:val="000000" w:themeColor="text1"/>
                <w:kern w:val="0"/>
                <w:szCs w:val="21"/>
                <w14:textFill>
                  <w14:solidFill>
                    <w14:schemeClr w14:val="tx1"/>
                  </w14:solidFill>
                </w14:textFill>
              </w:rPr>
              <w:t>分)</w:t>
            </w:r>
          </w:p>
        </w:tc>
        <w:tc>
          <w:tcPr>
            <w:tcW w:w="1963" w:type="dxa"/>
            <w:vAlign w:val="center"/>
          </w:tcPr>
          <w:p>
            <w:pPr>
              <w:autoSpaceDE w:val="0"/>
              <w:autoSpaceDN w:val="0"/>
              <w:adjustRightInd w:val="0"/>
              <w:snapToGrid w:val="0"/>
              <w:spacing w:line="36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投标报价</w:t>
            </w:r>
          </w:p>
          <w:p>
            <w:pPr>
              <w:autoSpaceDE w:val="0"/>
              <w:autoSpaceDN w:val="0"/>
              <w:adjustRightInd w:val="0"/>
              <w:snapToGrid w:val="0"/>
              <w:spacing w:line="36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25</w:t>
            </w:r>
            <w:r>
              <w:rPr>
                <w:color w:val="000000" w:themeColor="text1"/>
                <w:kern w:val="0"/>
                <w:szCs w:val="21"/>
                <w14:textFill>
                  <w14:solidFill>
                    <w14:schemeClr w14:val="tx1"/>
                  </w14:solidFill>
                </w14:textFill>
              </w:rPr>
              <w:t>分）</w:t>
            </w:r>
          </w:p>
        </w:tc>
        <w:tc>
          <w:tcPr>
            <w:tcW w:w="4807" w:type="dxa"/>
            <w:gridSpan w:val="2"/>
          </w:tcPr>
          <w:p>
            <w:pPr>
              <w:tabs>
                <w:tab w:val="left" w:pos="-22"/>
              </w:tabs>
              <w:adjustRightInd w:val="0"/>
              <w:snapToGrid w:val="0"/>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投标报价与评标基准价相比，相等者得20分；每高1%在25分的基础上扣1分，最多扣5分；每低1%在25分的基础上加1分，最多加5分；以上不足1%的部分按直线内插法计算分值。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45" w:type="dxa"/>
            <w:vMerge w:val="restart"/>
            <w:vAlign w:val="center"/>
          </w:tcPr>
          <w:p>
            <w:pPr>
              <w:autoSpaceDE w:val="0"/>
              <w:autoSpaceDN w:val="0"/>
              <w:adjustRightInd w:val="0"/>
              <w:snapToGrid w:val="0"/>
              <w:spacing w:line="360" w:lineRule="auto"/>
              <w:jc w:val="center"/>
              <w:rPr>
                <w:spacing w:val="1"/>
                <w:kern w:val="0"/>
                <w:szCs w:val="21"/>
              </w:rPr>
            </w:pPr>
            <w:r>
              <w:rPr>
                <w:spacing w:val="1"/>
                <w:kern w:val="0"/>
                <w:szCs w:val="21"/>
              </w:rPr>
              <w:t>2.2.4</w:t>
            </w:r>
          </w:p>
          <w:p>
            <w:pPr>
              <w:autoSpaceDE w:val="0"/>
              <w:autoSpaceDN w:val="0"/>
              <w:adjustRightInd w:val="0"/>
              <w:snapToGrid w:val="0"/>
              <w:spacing w:line="360" w:lineRule="auto"/>
              <w:jc w:val="center"/>
              <w:rPr>
                <w:spacing w:val="1"/>
                <w:kern w:val="0"/>
                <w:szCs w:val="21"/>
              </w:rPr>
            </w:pPr>
            <w:r>
              <w:rPr>
                <w:spacing w:val="1"/>
                <w:kern w:val="0"/>
                <w:szCs w:val="21"/>
              </w:rPr>
              <w:t>(2)</w:t>
            </w:r>
          </w:p>
        </w:tc>
        <w:tc>
          <w:tcPr>
            <w:tcW w:w="930" w:type="dxa"/>
            <w:vMerge w:val="restart"/>
            <w:vAlign w:val="center"/>
          </w:tcPr>
          <w:p>
            <w:pPr>
              <w:autoSpaceDE w:val="0"/>
              <w:autoSpaceDN w:val="0"/>
              <w:adjustRightInd w:val="0"/>
              <w:snapToGrid w:val="0"/>
              <w:spacing w:line="36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监理大纲</w:t>
            </w:r>
          </w:p>
          <w:p>
            <w:pPr>
              <w:autoSpaceDE w:val="0"/>
              <w:autoSpaceDN w:val="0"/>
              <w:adjustRightInd w:val="0"/>
              <w:snapToGrid w:val="0"/>
              <w:spacing w:line="360" w:lineRule="auto"/>
              <w:jc w:val="center"/>
              <w:rPr>
                <w:color w:val="000000" w:themeColor="text1"/>
                <w:spacing w:val="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50</w:t>
            </w:r>
            <w:r>
              <w:rPr>
                <w:color w:val="000000" w:themeColor="text1"/>
                <w:kern w:val="0"/>
                <w:szCs w:val="21"/>
                <w14:textFill>
                  <w14:solidFill>
                    <w14:schemeClr w14:val="tx1"/>
                  </w14:solidFill>
                </w14:textFill>
              </w:rPr>
              <w:t>分)</w:t>
            </w:r>
          </w:p>
        </w:tc>
        <w:tc>
          <w:tcPr>
            <w:tcW w:w="5076" w:type="dxa"/>
            <w:gridSpan w:val="2"/>
            <w:vAlign w:val="center"/>
          </w:tcPr>
          <w:p>
            <w:pPr>
              <w:pStyle w:val="31"/>
              <w:adjustRightInd w:val="0"/>
              <w:snapToGrid w:val="0"/>
              <w:spacing w:line="360" w:lineRule="auto"/>
              <w:rPr>
                <w:color w:val="000000" w:themeColor="text1"/>
                <w:sz w:val="21"/>
                <w14:textFill>
                  <w14:solidFill>
                    <w14:schemeClr w14:val="tx1"/>
                  </w14:solidFill>
                </w14:textFill>
              </w:rPr>
            </w:pPr>
            <w:r>
              <w:rPr>
                <w:rFonts w:eastAsia="Times New Roman"/>
                <w:color w:val="000000" w:themeColor="text1"/>
                <w:w w:val="105"/>
                <w:sz w:val="21"/>
                <w14:textFill>
                  <w14:solidFill>
                    <w14:schemeClr w14:val="tx1"/>
                  </w14:solidFill>
                </w14:textFill>
              </w:rPr>
              <w:t>1</w:t>
            </w:r>
            <w:r>
              <w:rPr>
                <w:color w:val="000000" w:themeColor="text1"/>
                <w:w w:val="105"/>
                <w:sz w:val="21"/>
                <w14:textFill>
                  <w14:solidFill>
                    <w14:schemeClr w14:val="tx1"/>
                  </w14:solidFill>
                </w14:textFill>
              </w:rPr>
              <w:t>、组织机构</w:t>
            </w:r>
          </w:p>
        </w:tc>
        <w:tc>
          <w:tcPr>
            <w:tcW w:w="1694" w:type="dxa"/>
            <w:vAlign w:val="center"/>
          </w:tcPr>
          <w:p>
            <w:pPr>
              <w:pStyle w:val="31"/>
              <w:adjustRightInd w:val="0"/>
              <w:snapToGrid w:val="0"/>
              <w:spacing w:line="360" w:lineRule="auto"/>
              <w:jc w:val="center"/>
              <w:rPr>
                <w:color w:val="000000" w:themeColor="text1"/>
                <w:sz w:val="21"/>
                <w14:textFill>
                  <w14:solidFill>
                    <w14:schemeClr w14:val="tx1"/>
                  </w14:solidFill>
                </w14:textFill>
              </w:rPr>
            </w:pPr>
            <w:r>
              <w:rPr>
                <w:color w:val="000000" w:themeColor="text1"/>
                <w:w w:val="105"/>
                <w:sz w:val="21"/>
                <w14:textFill>
                  <w14:solidFill>
                    <w14:schemeClr w14:val="tx1"/>
                  </w14:solidFill>
                </w14:textFill>
              </w:rPr>
              <w:t>0-</w:t>
            </w:r>
            <w:r>
              <w:rPr>
                <w:rFonts w:hint="eastAsia"/>
                <w:color w:val="000000" w:themeColor="text1"/>
                <w:w w:val="105"/>
                <w:sz w:val="21"/>
                <w14:textFill>
                  <w14:solidFill>
                    <w14:schemeClr w14:val="tx1"/>
                  </w14:solidFill>
                </w14:textFill>
              </w:rPr>
              <w:t>4</w:t>
            </w:r>
            <w:r>
              <w:rPr>
                <w:color w:val="000000" w:themeColor="text1"/>
                <w:w w:val="105"/>
                <w:sz w:val="21"/>
                <w14:textFill>
                  <w14:solidFill>
                    <w14:schemeClr w14:val="tx1"/>
                  </w14:solidFill>
                </w14:textFill>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45" w:type="dxa"/>
            <w:vMerge w:val="continue"/>
            <w:vAlign w:val="center"/>
          </w:tcPr>
          <w:p>
            <w:pPr>
              <w:autoSpaceDE w:val="0"/>
              <w:autoSpaceDN w:val="0"/>
              <w:adjustRightInd w:val="0"/>
              <w:snapToGrid w:val="0"/>
              <w:spacing w:line="360" w:lineRule="auto"/>
              <w:jc w:val="center"/>
              <w:rPr>
                <w:spacing w:val="1"/>
                <w:kern w:val="0"/>
                <w:szCs w:val="21"/>
              </w:rPr>
            </w:pPr>
          </w:p>
        </w:tc>
        <w:tc>
          <w:tcPr>
            <w:tcW w:w="930" w:type="dxa"/>
            <w:vMerge w:val="continue"/>
            <w:vAlign w:val="center"/>
          </w:tcPr>
          <w:p>
            <w:pPr>
              <w:autoSpaceDE w:val="0"/>
              <w:autoSpaceDN w:val="0"/>
              <w:adjustRightInd w:val="0"/>
              <w:snapToGrid w:val="0"/>
              <w:spacing w:line="360" w:lineRule="auto"/>
              <w:jc w:val="center"/>
              <w:rPr>
                <w:color w:val="000000" w:themeColor="text1"/>
                <w:spacing w:val="1"/>
                <w:kern w:val="0"/>
                <w:szCs w:val="21"/>
                <w14:textFill>
                  <w14:solidFill>
                    <w14:schemeClr w14:val="tx1"/>
                  </w14:solidFill>
                </w14:textFill>
              </w:rPr>
            </w:pPr>
          </w:p>
        </w:tc>
        <w:tc>
          <w:tcPr>
            <w:tcW w:w="5076" w:type="dxa"/>
            <w:gridSpan w:val="2"/>
            <w:vAlign w:val="center"/>
          </w:tcPr>
          <w:p>
            <w:pPr>
              <w:autoSpaceDE w:val="0"/>
              <w:autoSpaceDN w:val="0"/>
              <w:adjustRightInd w:val="0"/>
              <w:snapToGrid w:val="0"/>
              <w:spacing w:line="360" w:lineRule="auto"/>
              <w:jc w:val="left"/>
              <w:rPr>
                <w:rFonts w:ascii="宋体" w:hAnsi="宋体" w:cs="宋体"/>
                <w:color w:val="000000" w:themeColor="text1"/>
                <w:kern w:val="0"/>
                <w:lang w:val="zh-CN" w:bidi="zh-CN"/>
                <w14:textFill>
                  <w14:solidFill>
                    <w14:schemeClr w14:val="tx1"/>
                  </w14:solidFill>
                </w14:textFill>
              </w:rPr>
            </w:pPr>
            <w:r>
              <w:rPr>
                <w:rFonts w:eastAsia="Times New Roman"/>
                <w:color w:val="000000" w:themeColor="text1"/>
                <w:w w:val="105"/>
                <w14:textFill>
                  <w14:solidFill>
                    <w14:schemeClr w14:val="tx1"/>
                  </w14:solidFill>
                </w14:textFill>
              </w:rPr>
              <w:t>2</w:t>
            </w:r>
            <w:r>
              <w:rPr>
                <w:color w:val="000000" w:themeColor="text1"/>
                <w:w w:val="105"/>
                <w14:textFill>
                  <w14:solidFill>
                    <w14:schemeClr w14:val="tx1"/>
                  </w14:solidFill>
                </w14:textFill>
              </w:rPr>
              <w:t>、保证旁站监理措施</w:t>
            </w:r>
          </w:p>
        </w:tc>
        <w:tc>
          <w:tcPr>
            <w:tcW w:w="1694" w:type="dxa"/>
            <w:vAlign w:val="center"/>
          </w:tcPr>
          <w:p>
            <w:pPr>
              <w:autoSpaceDE w:val="0"/>
              <w:autoSpaceDN w:val="0"/>
              <w:adjustRightInd w:val="0"/>
              <w:snapToGrid w:val="0"/>
              <w:spacing w:line="360" w:lineRule="auto"/>
              <w:jc w:val="center"/>
              <w:rPr>
                <w:rFonts w:ascii="宋体" w:hAnsi="宋体" w:cs="宋体"/>
                <w:color w:val="000000" w:themeColor="text1"/>
                <w:kern w:val="0"/>
                <w:lang w:val="zh-CN" w:bidi="zh-CN"/>
                <w14:textFill>
                  <w14:solidFill>
                    <w14:schemeClr w14:val="tx1"/>
                  </w14:solidFill>
                </w14:textFill>
              </w:rPr>
            </w:pPr>
            <w:r>
              <w:rPr>
                <w:color w:val="000000" w:themeColor="text1"/>
                <w:w w:val="105"/>
                <w14:textFill>
                  <w14:solidFill>
                    <w14:schemeClr w14:val="tx1"/>
                  </w14:solidFill>
                </w14:textFill>
              </w:rPr>
              <w:t>0-</w:t>
            </w:r>
            <w:r>
              <w:rPr>
                <w:rFonts w:hint="eastAsia"/>
                <w:color w:val="000000" w:themeColor="text1"/>
                <w:w w:val="105"/>
                <w14:textFill>
                  <w14:solidFill>
                    <w14:schemeClr w14:val="tx1"/>
                  </w14:solidFill>
                </w14:textFill>
              </w:rPr>
              <w:t>6</w:t>
            </w:r>
            <w:r>
              <w:rPr>
                <w:color w:val="000000" w:themeColor="text1"/>
                <w:w w:val="105"/>
                <w14:textFill>
                  <w14:solidFill>
                    <w14:schemeClr w14:val="tx1"/>
                  </w14:solidFill>
                </w14:textFill>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45" w:type="dxa"/>
            <w:vMerge w:val="continue"/>
            <w:vAlign w:val="center"/>
          </w:tcPr>
          <w:p>
            <w:pPr>
              <w:autoSpaceDE w:val="0"/>
              <w:autoSpaceDN w:val="0"/>
              <w:adjustRightInd w:val="0"/>
              <w:snapToGrid w:val="0"/>
              <w:spacing w:line="360" w:lineRule="auto"/>
              <w:jc w:val="center"/>
              <w:rPr>
                <w:spacing w:val="1"/>
                <w:kern w:val="0"/>
                <w:szCs w:val="21"/>
              </w:rPr>
            </w:pPr>
          </w:p>
        </w:tc>
        <w:tc>
          <w:tcPr>
            <w:tcW w:w="930" w:type="dxa"/>
            <w:vMerge w:val="continue"/>
            <w:vAlign w:val="center"/>
          </w:tcPr>
          <w:p>
            <w:pPr>
              <w:autoSpaceDE w:val="0"/>
              <w:autoSpaceDN w:val="0"/>
              <w:adjustRightInd w:val="0"/>
              <w:snapToGrid w:val="0"/>
              <w:spacing w:line="360" w:lineRule="auto"/>
              <w:jc w:val="center"/>
              <w:rPr>
                <w:color w:val="000000" w:themeColor="text1"/>
                <w:spacing w:val="1"/>
                <w:kern w:val="0"/>
                <w:szCs w:val="21"/>
                <w14:textFill>
                  <w14:solidFill>
                    <w14:schemeClr w14:val="tx1"/>
                  </w14:solidFill>
                </w14:textFill>
              </w:rPr>
            </w:pPr>
          </w:p>
        </w:tc>
        <w:tc>
          <w:tcPr>
            <w:tcW w:w="5076" w:type="dxa"/>
            <w:gridSpan w:val="2"/>
            <w:vAlign w:val="center"/>
          </w:tcPr>
          <w:p>
            <w:pPr>
              <w:autoSpaceDE w:val="0"/>
              <w:autoSpaceDN w:val="0"/>
              <w:adjustRightInd w:val="0"/>
              <w:snapToGrid w:val="0"/>
              <w:spacing w:line="360" w:lineRule="auto"/>
              <w:jc w:val="left"/>
              <w:rPr>
                <w:rFonts w:ascii="宋体" w:hAnsi="宋体" w:cs="宋体"/>
                <w:color w:val="000000" w:themeColor="text1"/>
                <w:kern w:val="0"/>
                <w:lang w:val="zh-CN" w:bidi="zh-CN"/>
                <w14:textFill>
                  <w14:solidFill>
                    <w14:schemeClr w14:val="tx1"/>
                  </w14:solidFill>
                </w14:textFill>
              </w:rPr>
            </w:pPr>
            <w:r>
              <w:rPr>
                <w:rFonts w:eastAsia="Times New Roman"/>
                <w:color w:val="000000" w:themeColor="text1"/>
                <w:w w:val="105"/>
                <w14:textFill>
                  <w14:solidFill>
                    <w14:schemeClr w14:val="tx1"/>
                  </w14:solidFill>
                </w14:textFill>
              </w:rPr>
              <w:t>3</w:t>
            </w:r>
            <w:r>
              <w:rPr>
                <w:color w:val="000000" w:themeColor="text1"/>
                <w:w w:val="105"/>
                <w14:textFill>
                  <w14:solidFill>
                    <w14:schemeClr w14:val="tx1"/>
                  </w14:solidFill>
                </w14:textFill>
              </w:rPr>
              <w:t>、质量控制的措施和方法</w:t>
            </w:r>
          </w:p>
        </w:tc>
        <w:tc>
          <w:tcPr>
            <w:tcW w:w="1694" w:type="dxa"/>
            <w:vAlign w:val="center"/>
          </w:tcPr>
          <w:p>
            <w:pPr>
              <w:autoSpaceDE w:val="0"/>
              <w:autoSpaceDN w:val="0"/>
              <w:adjustRightInd w:val="0"/>
              <w:snapToGrid w:val="0"/>
              <w:spacing w:line="360" w:lineRule="auto"/>
              <w:jc w:val="center"/>
              <w:rPr>
                <w:rFonts w:ascii="宋体" w:hAnsi="宋体" w:cs="宋体"/>
                <w:color w:val="000000" w:themeColor="text1"/>
                <w:kern w:val="0"/>
                <w:lang w:val="zh-CN" w:bidi="zh-CN"/>
                <w14:textFill>
                  <w14:solidFill>
                    <w14:schemeClr w14:val="tx1"/>
                  </w14:solidFill>
                </w14:textFill>
              </w:rPr>
            </w:pPr>
            <w:r>
              <w:rPr>
                <w:color w:val="000000" w:themeColor="text1"/>
                <w:w w:val="105"/>
                <w14:textFill>
                  <w14:solidFill>
                    <w14:schemeClr w14:val="tx1"/>
                  </w14:solidFill>
                </w14:textFill>
              </w:rPr>
              <w:t>0-</w:t>
            </w:r>
            <w:r>
              <w:rPr>
                <w:rFonts w:hint="eastAsia"/>
                <w:color w:val="000000" w:themeColor="text1"/>
                <w:w w:val="105"/>
                <w14:textFill>
                  <w14:solidFill>
                    <w14:schemeClr w14:val="tx1"/>
                  </w14:solidFill>
                </w14:textFill>
              </w:rPr>
              <w:t>6</w:t>
            </w:r>
            <w:r>
              <w:rPr>
                <w:color w:val="000000" w:themeColor="text1"/>
                <w:w w:val="105"/>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45" w:type="dxa"/>
            <w:vMerge w:val="continue"/>
            <w:vAlign w:val="center"/>
          </w:tcPr>
          <w:p>
            <w:pPr>
              <w:autoSpaceDE w:val="0"/>
              <w:autoSpaceDN w:val="0"/>
              <w:adjustRightInd w:val="0"/>
              <w:snapToGrid w:val="0"/>
              <w:spacing w:line="360" w:lineRule="auto"/>
              <w:jc w:val="center"/>
              <w:rPr>
                <w:spacing w:val="1"/>
                <w:kern w:val="0"/>
                <w:szCs w:val="21"/>
              </w:rPr>
            </w:pPr>
          </w:p>
        </w:tc>
        <w:tc>
          <w:tcPr>
            <w:tcW w:w="930" w:type="dxa"/>
            <w:vMerge w:val="continue"/>
            <w:vAlign w:val="center"/>
          </w:tcPr>
          <w:p>
            <w:pPr>
              <w:autoSpaceDE w:val="0"/>
              <w:autoSpaceDN w:val="0"/>
              <w:adjustRightInd w:val="0"/>
              <w:snapToGrid w:val="0"/>
              <w:spacing w:line="360" w:lineRule="auto"/>
              <w:jc w:val="center"/>
              <w:rPr>
                <w:color w:val="000000" w:themeColor="text1"/>
                <w:spacing w:val="1"/>
                <w:kern w:val="0"/>
                <w:szCs w:val="21"/>
                <w14:textFill>
                  <w14:solidFill>
                    <w14:schemeClr w14:val="tx1"/>
                  </w14:solidFill>
                </w14:textFill>
              </w:rPr>
            </w:pPr>
          </w:p>
        </w:tc>
        <w:tc>
          <w:tcPr>
            <w:tcW w:w="5076" w:type="dxa"/>
            <w:gridSpan w:val="2"/>
            <w:vAlign w:val="center"/>
          </w:tcPr>
          <w:p>
            <w:pPr>
              <w:autoSpaceDE w:val="0"/>
              <w:autoSpaceDN w:val="0"/>
              <w:adjustRightInd w:val="0"/>
              <w:snapToGrid w:val="0"/>
              <w:spacing w:line="360" w:lineRule="auto"/>
              <w:jc w:val="left"/>
              <w:rPr>
                <w:rFonts w:ascii="宋体" w:hAnsi="宋体" w:cs="宋体"/>
                <w:color w:val="000000" w:themeColor="text1"/>
                <w:kern w:val="0"/>
                <w:lang w:val="zh-CN" w:bidi="zh-CN"/>
                <w14:textFill>
                  <w14:solidFill>
                    <w14:schemeClr w14:val="tx1"/>
                  </w14:solidFill>
                </w14:textFill>
              </w:rPr>
            </w:pPr>
            <w:r>
              <w:rPr>
                <w:rFonts w:eastAsia="Times New Roman"/>
                <w:color w:val="000000" w:themeColor="text1"/>
                <w:w w:val="105"/>
                <w14:textFill>
                  <w14:solidFill>
                    <w14:schemeClr w14:val="tx1"/>
                  </w14:solidFill>
                </w14:textFill>
              </w:rPr>
              <w:t>4</w:t>
            </w:r>
            <w:r>
              <w:rPr>
                <w:color w:val="000000" w:themeColor="text1"/>
                <w:w w:val="105"/>
                <w14:textFill>
                  <w14:solidFill>
                    <w14:schemeClr w14:val="tx1"/>
                  </w14:solidFill>
                </w14:textFill>
              </w:rPr>
              <w:t>、进度控制的措施和方法</w:t>
            </w:r>
          </w:p>
        </w:tc>
        <w:tc>
          <w:tcPr>
            <w:tcW w:w="1694" w:type="dxa"/>
            <w:vAlign w:val="center"/>
          </w:tcPr>
          <w:p>
            <w:pPr>
              <w:autoSpaceDE w:val="0"/>
              <w:autoSpaceDN w:val="0"/>
              <w:adjustRightInd w:val="0"/>
              <w:snapToGrid w:val="0"/>
              <w:spacing w:line="360" w:lineRule="auto"/>
              <w:jc w:val="center"/>
              <w:rPr>
                <w:rFonts w:ascii="宋体" w:hAnsi="宋体" w:cs="宋体"/>
                <w:color w:val="000000" w:themeColor="text1"/>
                <w:kern w:val="0"/>
                <w:lang w:val="zh-CN" w:bidi="zh-CN"/>
                <w14:textFill>
                  <w14:solidFill>
                    <w14:schemeClr w14:val="tx1"/>
                  </w14:solidFill>
                </w14:textFill>
              </w:rPr>
            </w:pPr>
            <w:r>
              <w:rPr>
                <w:color w:val="000000" w:themeColor="text1"/>
                <w:w w:val="105"/>
                <w14:textFill>
                  <w14:solidFill>
                    <w14:schemeClr w14:val="tx1"/>
                  </w14:solidFill>
                </w14:textFill>
              </w:rPr>
              <w:t>0-</w:t>
            </w:r>
            <w:r>
              <w:rPr>
                <w:rFonts w:hint="eastAsia"/>
                <w:color w:val="000000" w:themeColor="text1"/>
                <w:w w:val="105"/>
                <w14:textFill>
                  <w14:solidFill>
                    <w14:schemeClr w14:val="tx1"/>
                  </w14:solidFill>
                </w14:textFill>
              </w:rPr>
              <w:t>6</w:t>
            </w:r>
            <w:r>
              <w:rPr>
                <w:color w:val="000000" w:themeColor="text1"/>
                <w:w w:val="105"/>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45" w:type="dxa"/>
            <w:vMerge w:val="continue"/>
            <w:vAlign w:val="center"/>
          </w:tcPr>
          <w:p>
            <w:pPr>
              <w:autoSpaceDE w:val="0"/>
              <w:autoSpaceDN w:val="0"/>
              <w:adjustRightInd w:val="0"/>
              <w:snapToGrid w:val="0"/>
              <w:spacing w:line="360" w:lineRule="auto"/>
              <w:jc w:val="center"/>
              <w:rPr>
                <w:spacing w:val="1"/>
                <w:kern w:val="0"/>
                <w:szCs w:val="21"/>
              </w:rPr>
            </w:pPr>
          </w:p>
        </w:tc>
        <w:tc>
          <w:tcPr>
            <w:tcW w:w="930" w:type="dxa"/>
            <w:vMerge w:val="continue"/>
            <w:vAlign w:val="center"/>
          </w:tcPr>
          <w:p>
            <w:pPr>
              <w:autoSpaceDE w:val="0"/>
              <w:autoSpaceDN w:val="0"/>
              <w:adjustRightInd w:val="0"/>
              <w:snapToGrid w:val="0"/>
              <w:spacing w:line="360" w:lineRule="auto"/>
              <w:jc w:val="center"/>
              <w:rPr>
                <w:color w:val="000000" w:themeColor="text1"/>
                <w:spacing w:val="1"/>
                <w:kern w:val="0"/>
                <w:szCs w:val="21"/>
                <w14:textFill>
                  <w14:solidFill>
                    <w14:schemeClr w14:val="tx1"/>
                  </w14:solidFill>
                </w14:textFill>
              </w:rPr>
            </w:pPr>
          </w:p>
        </w:tc>
        <w:tc>
          <w:tcPr>
            <w:tcW w:w="5076" w:type="dxa"/>
            <w:gridSpan w:val="2"/>
            <w:vAlign w:val="center"/>
          </w:tcPr>
          <w:p>
            <w:pPr>
              <w:autoSpaceDE w:val="0"/>
              <w:autoSpaceDN w:val="0"/>
              <w:adjustRightInd w:val="0"/>
              <w:snapToGrid w:val="0"/>
              <w:spacing w:line="360" w:lineRule="auto"/>
              <w:jc w:val="left"/>
              <w:rPr>
                <w:rFonts w:ascii="宋体" w:hAnsi="宋体" w:cs="宋体"/>
                <w:color w:val="000000" w:themeColor="text1"/>
                <w:kern w:val="0"/>
                <w:lang w:val="zh-CN" w:bidi="zh-CN"/>
                <w14:textFill>
                  <w14:solidFill>
                    <w14:schemeClr w14:val="tx1"/>
                  </w14:solidFill>
                </w14:textFill>
              </w:rPr>
            </w:pPr>
            <w:r>
              <w:rPr>
                <w:rFonts w:eastAsia="Times New Roman"/>
                <w:color w:val="000000" w:themeColor="text1"/>
                <w:w w:val="105"/>
                <w14:textFill>
                  <w14:solidFill>
                    <w14:schemeClr w14:val="tx1"/>
                  </w14:solidFill>
                </w14:textFill>
              </w:rPr>
              <w:t>5</w:t>
            </w:r>
            <w:r>
              <w:rPr>
                <w:color w:val="000000" w:themeColor="text1"/>
                <w:w w:val="105"/>
                <w14:textFill>
                  <w14:solidFill>
                    <w14:schemeClr w14:val="tx1"/>
                  </w14:solidFill>
                </w14:textFill>
              </w:rPr>
              <w:t>、投资控制的措施和方法</w:t>
            </w:r>
          </w:p>
        </w:tc>
        <w:tc>
          <w:tcPr>
            <w:tcW w:w="1694" w:type="dxa"/>
            <w:vAlign w:val="center"/>
          </w:tcPr>
          <w:p>
            <w:pPr>
              <w:autoSpaceDE w:val="0"/>
              <w:autoSpaceDN w:val="0"/>
              <w:adjustRightInd w:val="0"/>
              <w:snapToGrid w:val="0"/>
              <w:spacing w:line="360" w:lineRule="auto"/>
              <w:jc w:val="center"/>
              <w:rPr>
                <w:rFonts w:ascii="宋体" w:hAnsi="宋体" w:cs="宋体"/>
                <w:color w:val="000000" w:themeColor="text1"/>
                <w:kern w:val="0"/>
                <w:lang w:val="zh-CN" w:bidi="zh-CN"/>
                <w14:textFill>
                  <w14:solidFill>
                    <w14:schemeClr w14:val="tx1"/>
                  </w14:solidFill>
                </w14:textFill>
              </w:rPr>
            </w:pPr>
            <w:r>
              <w:rPr>
                <w:color w:val="000000" w:themeColor="text1"/>
                <w:w w:val="105"/>
                <w14:textFill>
                  <w14:solidFill>
                    <w14:schemeClr w14:val="tx1"/>
                  </w14:solidFill>
                </w14:textFill>
              </w:rPr>
              <w:t>0-</w:t>
            </w:r>
            <w:r>
              <w:rPr>
                <w:rFonts w:hint="eastAsia"/>
                <w:color w:val="000000" w:themeColor="text1"/>
                <w:w w:val="105"/>
                <w14:textFill>
                  <w14:solidFill>
                    <w14:schemeClr w14:val="tx1"/>
                  </w14:solidFill>
                </w14:textFill>
              </w:rPr>
              <w:t>6</w:t>
            </w:r>
            <w:r>
              <w:rPr>
                <w:color w:val="000000" w:themeColor="text1"/>
                <w:w w:val="105"/>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45" w:type="dxa"/>
            <w:vMerge w:val="continue"/>
            <w:vAlign w:val="center"/>
          </w:tcPr>
          <w:p>
            <w:pPr>
              <w:autoSpaceDE w:val="0"/>
              <w:autoSpaceDN w:val="0"/>
              <w:adjustRightInd w:val="0"/>
              <w:snapToGrid w:val="0"/>
              <w:spacing w:line="360" w:lineRule="auto"/>
              <w:jc w:val="center"/>
              <w:rPr>
                <w:spacing w:val="1"/>
                <w:kern w:val="0"/>
                <w:szCs w:val="21"/>
              </w:rPr>
            </w:pPr>
          </w:p>
        </w:tc>
        <w:tc>
          <w:tcPr>
            <w:tcW w:w="930" w:type="dxa"/>
            <w:vMerge w:val="continue"/>
            <w:vAlign w:val="center"/>
          </w:tcPr>
          <w:p>
            <w:pPr>
              <w:autoSpaceDE w:val="0"/>
              <w:autoSpaceDN w:val="0"/>
              <w:adjustRightInd w:val="0"/>
              <w:snapToGrid w:val="0"/>
              <w:spacing w:line="360" w:lineRule="auto"/>
              <w:jc w:val="center"/>
              <w:rPr>
                <w:color w:val="000000" w:themeColor="text1"/>
                <w:spacing w:val="1"/>
                <w:kern w:val="0"/>
                <w:szCs w:val="21"/>
                <w14:textFill>
                  <w14:solidFill>
                    <w14:schemeClr w14:val="tx1"/>
                  </w14:solidFill>
                </w14:textFill>
              </w:rPr>
            </w:pPr>
          </w:p>
        </w:tc>
        <w:tc>
          <w:tcPr>
            <w:tcW w:w="5076" w:type="dxa"/>
            <w:gridSpan w:val="2"/>
            <w:vAlign w:val="center"/>
          </w:tcPr>
          <w:p>
            <w:pPr>
              <w:autoSpaceDE w:val="0"/>
              <w:autoSpaceDN w:val="0"/>
              <w:adjustRightInd w:val="0"/>
              <w:snapToGrid w:val="0"/>
              <w:spacing w:line="360" w:lineRule="auto"/>
              <w:jc w:val="left"/>
              <w:rPr>
                <w:rFonts w:ascii="宋体" w:hAnsi="宋体" w:cs="宋体"/>
                <w:color w:val="000000" w:themeColor="text1"/>
                <w:kern w:val="0"/>
                <w:lang w:bidi="zh-CN"/>
                <w14:textFill>
                  <w14:solidFill>
                    <w14:schemeClr w14:val="tx1"/>
                  </w14:solidFill>
                </w14:textFill>
              </w:rPr>
            </w:pPr>
            <w:r>
              <w:rPr>
                <w:rFonts w:eastAsia="Times New Roman"/>
                <w:color w:val="000000" w:themeColor="text1"/>
                <w:w w:val="105"/>
                <w14:textFill>
                  <w14:solidFill>
                    <w14:schemeClr w14:val="tx1"/>
                  </w14:solidFill>
                </w14:textFill>
              </w:rPr>
              <w:t>6</w:t>
            </w:r>
            <w:r>
              <w:rPr>
                <w:color w:val="000000" w:themeColor="text1"/>
                <w:w w:val="105"/>
                <w14:textFill>
                  <w14:solidFill>
                    <w14:schemeClr w14:val="tx1"/>
                  </w14:solidFill>
                </w14:textFill>
              </w:rPr>
              <w:t>、文明、安全控制的措施和方法</w:t>
            </w:r>
          </w:p>
        </w:tc>
        <w:tc>
          <w:tcPr>
            <w:tcW w:w="1694" w:type="dxa"/>
            <w:vAlign w:val="center"/>
          </w:tcPr>
          <w:p>
            <w:pPr>
              <w:autoSpaceDE w:val="0"/>
              <w:autoSpaceDN w:val="0"/>
              <w:adjustRightInd w:val="0"/>
              <w:snapToGrid w:val="0"/>
              <w:spacing w:line="360" w:lineRule="auto"/>
              <w:jc w:val="center"/>
              <w:rPr>
                <w:rFonts w:ascii="宋体" w:hAnsi="宋体" w:cs="宋体"/>
                <w:color w:val="000000" w:themeColor="text1"/>
                <w:kern w:val="0"/>
                <w:lang w:val="zh-CN" w:bidi="zh-CN"/>
                <w14:textFill>
                  <w14:solidFill>
                    <w14:schemeClr w14:val="tx1"/>
                  </w14:solidFill>
                </w14:textFill>
              </w:rPr>
            </w:pPr>
            <w:r>
              <w:rPr>
                <w:color w:val="000000" w:themeColor="text1"/>
                <w:w w:val="105"/>
                <w14:textFill>
                  <w14:solidFill>
                    <w14:schemeClr w14:val="tx1"/>
                  </w14:solidFill>
                </w14:textFill>
              </w:rPr>
              <w:t>0-</w:t>
            </w:r>
            <w:r>
              <w:rPr>
                <w:rFonts w:hint="eastAsia"/>
                <w:color w:val="000000" w:themeColor="text1"/>
                <w:w w:val="105"/>
                <w14:textFill>
                  <w14:solidFill>
                    <w14:schemeClr w14:val="tx1"/>
                  </w14:solidFill>
                </w14:textFill>
              </w:rPr>
              <w:t>6</w:t>
            </w:r>
            <w:r>
              <w:rPr>
                <w:color w:val="000000" w:themeColor="text1"/>
                <w:w w:val="105"/>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45" w:type="dxa"/>
            <w:vMerge w:val="continue"/>
            <w:vAlign w:val="center"/>
          </w:tcPr>
          <w:p>
            <w:pPr>
              <w:autoSpaceDE w:val="0"/>
              <w:autoSpaceDN w:val="0"/>
              <w:adjustRightInd w:val="0"/>
              <w:snapToGrid w:val="0"/>
              <w:spacing w:line="360" w:lineRule="auto"/>
              <w:jc w:val="center"/>
              <w:rPr>
                <w:spacing w:val="1"/>
                <w:kern w:val="0"/>
                <w:szCs w:val="21"/>
              </w:rPr>
            </w:pPr>
          </w:p>
        </w:tc>
        <w:tc>
          <w:tcPr>
            <w:tcW w:w="930" w:type="dxa"/>
            <w:vMerge w:val="continue"/>
            <w:vAlign w:val="center"/>
          </w:tcPr>
          <w:p>
            <w:pPr>
              <w:autoSpaceDE w:val="0"/>
              <w:autoSpaceDN w:val="0"/>
              <w:adjustRightInd w:val="0"/>
              <w:snapToGrid w:val="0"/>
              <w:spacing w:line="360" w:lineRule="auto"/>
              <w:jc w:val="center"/>
              <w:rPr>
                <w:color w:val="000000" w:themeColor="text1"/>
                <w:spacing w:val="1"/>
                <w:kern w:val="0"/>
                <w:szCs w:val="21"/>
                <w14:textFill>
                  <w14:solidFill>
                    <w14:schemeClr w14:val="tx1"/>
                  </w14:solidFill>
                </w14:textFill>
              </w:rPr>
            </w:pPr>
          </w:p>
        </w:tc>
        <w:tc>
          <w:tcPr>
            <w:tcW w:w="5076" w:type="dxa"/>
            <w:gridSpan w:val="2"/>
            <w:vAlign w:val="center"/>
          </w:tcPr>
          <w:p>
            <w:pPr>
              <w:autoSpaceDE w:val="0"/>
              <w:autoSpaceDN w:val="0"/>
              <w:adjustRightInd w:val="0"/>
              <w:snapToGrid w:val="0"/>
              <w:spacing w:line="360" w:lineRule="auto"/>
              <w:jc w:val="left"/>
              <w:rPr>
                <w:rFonts w:ascii="宋体" w:hAnsi="宋体" w:cs="宋体"/>
                <w:color w:val="000000" w:themeColor="text1"/>
                <w:kern w:val="0"/>
                <w:lang w:bidi="zh-CN"/>
                <w14:textFill>
                  <w14:solidFill>
                    <w14:schemeClr w14:val="tx1"/>
                  </w14:solidFill>
                </w14:textFill>
              </w:rPr>
            </w:pPr>
            <w:r>
              <w:rPr>
                <w:rFonts w:eastAsia="Times New Roman"/>
                <w:color w:val="000000" w:themeColor="text1"/>
                <w:w w:val="105"/>
                <w14:textFill>
                  <w14:solidFill>
                    <w14:schemeClr w14:val="tx1"/>
                  </w14:solidFill>
                </w14:textFill>
              </w:rPr>
              <w:t>7</w:t>
            </w:r>
            <w:r>
              <w:rPr>
                <w:color w:val="000000" w:themeColor="text1"/>
                <w:w w:val="105"/>
                <w14:textFill>
                  <w14:solidFill>
                    <w14:schemeClr w14:val="tx1"/>
                  </w14:solidFill>
                </w14:textFill>
              </w:rPr>
              <w:t>、合同管理、信息管理的措施和方法</w:t>
            </w:r>
          </w:p>
        </w:tc>
        <w:tc>
          <w:tcPr>
            <w:tcW w:w="1694" w:type="dxa"/>
            <w:vAlign w:val="center"/>
          </w:tcPr>
          <w:p>
            <w:pPr>
              <w:autoSpaceDE w:val="0"/>
              <w:autoSpaceDN w:val="0"/>
              <w:adjustRightInd w:val="0"/>
              <w:snapToGrid w:val="0"/>
              <w:spacing w:line="360" w:lineRule="auto"/>
              <w:jc w:val="center"/>
              <w:rPr>
                <w:rFonts w:ascii="宋体" w:hAnsi="宋体" w:cs="宋体"/>
                <w:color w:val="000000" w:themeColor="text1"/>
                <w:kern w:val="0"/>
                <w:lang w:val="zh-CN" w:bidi="zh-CN"/>
                <w14:textFill>
                  <w14:solidFill>
                    <w14:schemeClr w14:val="tx1"/>
                  </w14:solidFill>
                </w14:textFill>
              </w:rPr>
            </w:pPr>
            <w:r>
              <w:rPr>
                <w:color w:val="000000" w:themeColor="text1"/>
                <w:w w:val="105"/>
                <w14:textFill>
                  <w14:solidFill>
                    <w14:schemeClr w14:val="tx1"/>
                  </w14:solidFill>
                </w14:textFill>
              </w:rPr>
              <w:t>0-</w:t>
            </w:r>
            <w:r>
              <w:rPr>
                <w:rFonts w:hint="eastAsia"/>
                <w:color w:val="000000" w:themeColor="text1"/>
                <w:w w:val="105"/>
                <w14:textFill>
                  <w14:solidFill>
                    <w14:schemeClr w14:val="tx1"/>
                  </w14:solidFill>
                </w14:textFill>
              </w:rPr>
              <w:t>6</w:t>
            </w:r>
            <w:r>
              <w:rPr>
                <w:color w:val="000000" w:themeColor="text1"/>
                <w:w w:val="105"/>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45" w:type="dxa"/>
            <w:vMerge w:val="continue"/>
            <w:vAlign w:val="center"/>
          </w:tcPr>
          <w:p>
            <w:pPr>
              <w:autoSpaceDE w:val="0"/>
              <w:autoSpaceDN w:val="0"/>
              <w:adjustRightInd w:val="0"/>
              <w:snapToGrid w:val="0"/>
              <w:spacing w:line="360" w:lineRule="auto"/>
              <w:jc w:val="center"/>
              <w:rPr>
                <w:spacing w:val="1"/>
                <w:kern w:val="0"/>
                <w:szCs w:val="21"/>
              </w:rPr>
            </w:pPr>
          </w:p>
        </w:tc>
        <w:tc>
          <w:tcPr>
            <w:tcW w:w="930" w:type="dxa"/>
            <w:vMerge w:val="continue"/>
            <w:vAlign w:val="center"/>
          </w:tcPr>
          <w:p>
            <w:pPr>
              <w:autoSpaceDE w:val="0"/>
              <w:autoSpaceDN w:val="0"/>
              <w:adjustRightInd w:val="0"/>
              <w:snapToGrid w:val="0"/>
              <w:spacing w:line="360" w:lineRule="auto"/>
              <w:jc w:val="center"/>
              <w:rPr>
                <w:color w:val="000000" w:themeColor="text1"/>
                <w:spacing w:val="1"/>
                <w:kern w:val="0"/>
                <w:szCs w:val="21"/>
                <w14:textFill>
                  <w14:solidFill>
                    <w14:schemeClr w14:val="tx1"/>
                  </w14:solidFill>
                </w14:textFill>
              </w:rPr>
            </w:pPr>
          </w:p>
        </w:tc>
        <w:tc>
          <w:tcPr>
            <w:tcW w:w="5076" w:type="dxa"/>
            <w:gridSpan w:val="2"/>
            <w:tcBorders>
              <w:bottom w:val="single" w:color="auto" w:sz="4" w:space="0"/>
            </w:tcBorders>
            <w:vAlign w:val="center"/>
          </w:tcPr>
          <w:p>
            <w:pPr>
              <w:autoSpaceDE w:val="0"/>
              <w:autoSpaceDN w:val="0"/>
              <w:adjustRightInd w:val="0"/>
              <w:snapToGrid w:val="0"/>
              <w:spacing w:line="360" w:lineRule="auto"/>
              <w:jc w:val="left"/>
              <w:rPr>
                <w:rFonts w:ascii="宋体" w:hAnsi="宋体" w:cs="宋体"/>
                <w:color w:val="000000" w:themeColor="text1"/>
                <w:kern w:val="0"/>
                <w:lang w:val="zh-CN" w:bidi="zh-CN"/>
                <w14:textFill>
                  <w14:solidFill>
                    <w14:schemeClr w14:val="tx1"/>
                  </w14:solidFill>
                </w14:textFill>
              </w:rPr>
            </w:pPr>
            <w:r>
              <w:rPr>
                <w:rFonts w:eastAsia="Times New Roman"/>
                <w:color w:val="000000" w:themeColor="text1"/>
                <w:w w:val="105"/>
                <w14:textFill>
                  <w14:solidFill>
                    <w14:schemeClr w14:val="tx1"/>
                  </w14:solidFill>
                </w14:textFill>
              </w:rPr>
              <w:t>8</w:t>
            </w:r>
            <w:r>
              <w:rPr>
                <w:color w:val="000000" w:themeColor="text1"/>
                <w:w w:val="105"/>
                <w14:textFill>
                  <w14:solidFill>
                    <w14:schemeClr w14:val="tx1"/>
                  </w14:solidFill>
                </w14:textFill>
              </w:rPr>
              <w:t>、工作协调的措施和方法</w:t>
            </w:r>
          </w:p>
        </w:tc>
        <w:tc>
          <w:tcPr>
            <w:tcW w:w="1694" w:type="dxa"/>
            <w:tcBorders>
              <w:bottom w:val="single" w:color="auto" w:sz="4" w:space="0"/>
            </w:tcBorders>
            <w:vAlign w:val="center"/>
          </w:tcPr>
          <w:p>
            <w:pPr>
              <w:autoSpaceDE w:val="0"/>
              <w:autoSpaceDN w:val="0"/>
              <w:adjustRightInd w:val="0"/>
              <w:snapToGrid w:val="0"/>
              <w:spacing w:line="360" w:lineRule="auto"/>
              <w:jc w:val="center"/>
              <w:rPr>
                <w:rFonts w:ascii="宋体" w:hAnsi="宋体" w:cs="宋体"/>
                <w:color w:val="000000" w:themeColor="text1"/>
                <w:kern w:val="0"/>
                <w:lang w:val="zh-CN" w:bidi="zh-CN"/>
                <w14:textFill>
                  <w14:solidFill>
                    <w14:schemeClr w14:val="tx1"/>
                  </w14:solidFill>
                </w14:textFill>
              </w:rPr>
            </w:pPr>
            <w:r>
              <w:rPr>
                <w:color w:val="000000" w:themeColor="text1"/>
                <w:w w:val="105"/>
                <w14:textFill>
                  <w14:solidFill>
                    <w14:schemeClr w14:val="tx1"/>
                  </w14:solidFill>
                </w14:textFill>
              </w:rPr>
              <w:t>0-</w:t>
            </w:r>
            <w:r>
              <w:rPr>
                <w:rFonts w:hint="eastAsia"/>
                <w:color w:val="000000" w:themeColor="text1"/>
                <w:w w:val="105"/>
                <w14:textFill>
                  <w14:solidFill>
                    <w14:schemeClr w14:val="tx1"/>
                  </w14:solidFill>
                </w14:textFill>
              </w:rPr>
              <w:t>4</w:t>
            </w:r>
            <w:r>
              <w:rPr>
                <w:color w:val="000000" w:themeColor="text1"/>
                <w:w w:val="105"/>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45" w:type="dxa"/>
            <w:vMerge w:val="continue"/>
            <w:vAlign w:val="center"/>
          </w:tcPr>
          <w:p>
            <w:pPr>
              <w:autoSpaceDE w:val="0"/>
              <w:autoSpaceDN w:val="0"/>
              <w:adjustRightInd w:val="0"/>
              <w:snapToGrid w:val="0"/>
              <w:jc w:val="center"/>
              <w:rPr>
                <w:spacing w:val="1"/>
                <w:kern w:val="0"/>
                <w:szCs w:val="21"/>
              </w:rPr>
            </w:pPr>
          </w:p>
        </w:tc>
        <w:tc>
          <w:tcPr>
            <w:tcW w:w="930" w:type="dxa"/>
            <w:vMerge w:val="continue"/>
            <w:vAlign w:val="center"/>
          </w:tcPr>
          <w:p>
            <w:pPr>
              <w:autoSpaceDE w:val="0"/>
              <w:autoSpaceDN w:val="0"/>
              <w:adjustRightInd w:val="0"/>
              <w:snapToGrid w:val="0"/>
              <w:jc w:val="center"/>
              <w:rPr>
                <w:color w:val="000000" w:themeColor="text1"/>
                <w:spacing w:val="1"/>
                <w:kern w:val="0"/>
                <w:szCs w:val="21"/>
                <w14:textFill>
                  <w14:solidFill>
                    <w14:schemeClr w14:val="tx1"/>
                  </w14:solidFill>
                </w14:textFill>
              </w:rPr>
            </w:pPr>
          </w:p>
        </w:tc>
        <w:tc>
          <w:tcPr>
            <w:tcW w:w="5076" w:type="dxa"/>
            <w:gridSpan w:val="2"/>
            <w:tcBorders>
              <w:top w:val="single" w:color="auto" w:sz="4" w:space="0"/>
              <w:bottom w:val="single" w:color="auto" w:sz="4" w:space="0"/>
            </w:tcBorders>
            <w:vAlign w:val="center"/>
          </w:tcPr>
          <w:p>
            <w:pPr>
              <w:autoSpaceDE w:val="0"/>
              <w:autoSpaceDN w:val="0"/>
              <w:adjustRightInd w:val="0"/>
              <w:snapToGrid w:val="0"/>
              <w:jc w:val="left"/>
              <w:rPr>
                <w:rFonts w:ascii="宋体" w:hAnsi="宋体" w:cs="宋体"/>
                <w:color w:val="000000" w:themeColor="text1"/>
                <w:kern w:val="0"/>
                <w:lang w:val="zh-CN" w:bidi="zh-CN"/>
                <w14:textFill>
                  <w14:solidFill>
                    <w14:schemeClr w14:val="tx1"/>
                  </w14:solidFill>
                </w14:textFill>
              </w:rPr>
            </w:pPr>
            <w:r>
              <w:rPr>
                <w:rFonts w:eastAsia="Times New Roman"/>
                <w:color w:val="000000" w:themeColor="text1"/>
                <w:w w:val="105"/>
                <w14:textFill>
                  <w14:solidFill>
                    <w14:schemeClr w14:val="tx1"/>
                  </w14:solidFill>
                </w14:textFill>
              </w:rPr>
              <w:t>9</w:t>
            </w:r>
            <w:r>
              <w:rPr>
                <w:color w:val="000000" w:themeColor="text1"/>
                <w:w w:val="105"/>
                <w14:textFill>
                  <w14:solidFill>
                    <w14:schemeClr w14:val="tx1"/>
                  </w14:solidFill>
                </w14:textFill>
              </w:rPr>
              <w:t>、</w:t>
            </w:r>
            <w:r>
              <w:rPr>
                <w:rFonts w:hint="eastAsia"/>
                <w:color w:val="000000" w:themeColor="text1"/>
                <w:w w:val="105"/>
                <w14:textFill>
                  <w14:solidFill>
                    <w14:schemeClr w14:val="tx1"/>
                  </w14:solidFill>
                </w14:textFill>
              </w:rPr>
              <w:t>现场监理部技术装备</w:t>
            </w:r>
          </w:p>
        </w:tc>
        <w:tc>
          <w:tcPr>
            <w:tcW w:w="1694" w:type="dxa"/>
            <w:tcBorders>
              <w:top w:val="single" w:color="auto" w:sz="4" w:space="0"/>
              <w:bottom w:val="single" w:color="auto" w:sz="4" w:space="0"/>
            </w:tcBorders>
            <w:vAlign w:val="center"/>
          </w:tcPr>
          <w:p>
            <w:pPr>
              <w:autoSpaceDE w:val="0"/>
              <w:autoSpaceDN w:val="0"/>
              <w:adjustRightInd w:val="0"/>
              <w:snapToGrid w:val="0"/>
              <w:jc w:val="center"/>
              <w:rPr>
                <w:rFonts w:ascii="宋体" w:hAnsi="宋体" w:cs="宋体"/>
                <w:color w:val="000000" w:themeColor="text1"/>
                <w:kern w:val="0"/>
                <w:lang w:val="zh-CN" w:bidi="zh-CN"/>
                <w14:textFill>
                  <w14:solidFill>
                    <w14:schemeClr w14:val="tx1"/>
                  </w14:solidFill>
                </w14:textFill>
              </w:rPr>
            </w:pPr>
            <w:r>
              <w:rPr>
                <w:color w:val="000000" w:themeColor="text1"/>
                <w:w w:val="105"/>
                <w14:textFill>
                  <w14:solidFill>
                    <w14:schemeClr w14:val="tx1"/>
                  </w14:solidFill>
                </w14:textFill>
              </w:rPr>
              <w:t>0-</w:t>
            </w:r>
            <w:r>
              <w:rPr>
                <w:rFonts w:hint="eastAsia"/>
                <w:color w:val="000000" w:themeColor="text1"/>
                <w:w w:val="105"/>
                <w14:textFill>
                  <w14:solidFill>
                    <w14:schemeClr w14:val="tx1"/>
                  </w14:solidFill>
                </w14:textFill>
              </w:rPr>
              <w:t>6</w:t>
            </w:r>
            <w:r>
              <w:rPr>
                <w:color w:val="000000" w:themeColor="text1"/>
                <w:w w:val="105"/>
                <w14:textFill>
                  <w14:solidFill>
                    <w14:schemeClr w14:val="tx1"/>
                  </w14:solidFill>
                </w14:textFill>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1" w:hRule="atLeast"/>
        </w:trPr>
        <w:tc>
          <w:tcPr>
            <w:tcW w:w="945" w:type="dxa"/>
            <w:vAlign w:val="center"/>
          </w:tcPr>
          <w:p>
            <w:pPr>
              <w:autoSpaceDE w:val="0"/>
              <w:autoSpaceDN w:val="0"/>
              <w:adjustRightInd w:val="0"/>
              <w:snapToGrid w:val="0"/>
              <w:spacing w:line="360" w:lineRule="auto"/>
              <w:jc w:val="center"/>
              <w:rPr>
                <w:spacing w:val="1"/>
                <w:kern w:val="0"/>
                <w:szCs w:val="21"/>
              </w:rPr>
            </w:pPr>
            <w:r>
              <w:rPr>
                <w:spacing w:val="1"/>
                <w:kern w:val="0"/>
                <w:szCs w:val="21"/>
              </w:rPr>
              <w:t>2.2.4</w:t>
            </w:r>
          </w:p>
          <w:p>
            <w:pPr>
              <w:autoSpaceDE w:val="0"/>
              <w:autoSpaceDN w:val="0"/>
              <w:adjustRightInd w:val="0"/>
              <w:snapToGrid w:val="0"/>
              <w:spacing w:line="360" w:lineRule="auto"/>
              <w:jc w:val="center"/>
              <w:rPr>
                <w:spacing w:val="1"/>
                <w:kern w:val="0"/>
                <w:szCs w:val="21"/>
              </w:rPr>
            </w:pPr>
            <w:r>
              <w:rPr>
                <w:spacing w:val="1"/>
                <w:kern w:val="0"/>
                <w:szCs w:val="21"/>
              </w:rPr>
              <w:t>(3)</w:t>
            </w:r>
          </w:p>
        </w:tc>
        <w:tc>
          <w:tcPr>
            <w:tcW w:w="930" w:type="dxa"/>
            <w:vAlign w:val="center"/>
          </w:tcPr>
          <w:p>
            <w:pPr>
              <w:autoSpaceDE w:val="0"/>
              <w:autoSpaceDN w:val="0"/>
              <w:adjustRightInd w:val="0"/>
              <w:snapToGrid w:val="0"/>
              <w:spacing w:line="360" w:lineRule="auto"/>
              <w:jc w:val="center"/>
              <w:rPr>
                <w:color w:val="000000" w:themeColor="text1"/>
                <w:spacing w:val="1"/>
                <w:kern w:val="0"/>
                <w:szCs w:val="21"/>
                <w14:textFill>
                  <w14:solidFill>
                    <w14:schemeClr w14:val="tx1"/>
                  </w14:solidFill>
                </w14:textFill>
              </w:rPr>
            </w:pPr>
            <w:r>
              <w:rPr>
                <w:color w:val="000000" w:themeColor="text1"/>
                <w14:textFill>
                  <w14:solidFill>
                    <w14:schemeClr w14:val="tx1"/>
                  </w14:solidFill>
                </w14:textFill>
              </w:rPr>
              <w:t>企业综合实</w:t>
            </w:r>
            <w:r>
              <w:rPr>
                <w:color w:val="000000" w:themeColor="text1"/>
                <w:w w:val="105"/>
                <w14:textFill>
                  <w14:solidFill>
                    <w14:schemeClr w14:val="tx1"/>
                  </w14:solidFill>
                </w14:textFill>
              </w:rPr>
              <w:t>力</w:t>
            </w:r>
            <w:r>
              <w:rPr>
                <w:color w:val="000000" w:themeColor="text1"/>
                <w:spacing w:val="1"/>
                <w:kern w:val="0"/>
                <w:szCs w:val="21"/>
                <w14:textFill>
                  <w14:solidFill>
                    <w14:schemeClr w14:val="tx1"/>
                  </w14:solidFill>
                </w14:textFill>
              </w:rPr>
              <w:t>(</w:t>
            </w:r>
            <w:r>
              <w:rPr>
                <w:rFonts w:hint="eastAsia"/>
                <w:color w:val="000000" w:themeColor="text1"/>
                <w:spacing w:val="1"/>
                <w:kern w:val="0"/>
                <w:szCs w:val="21"/>
                <w14:textFill>
                  <w14:solidFill>
                    <w14:schemeClr w14:val="tx1"/>
                  </w14:solidFill>
                </w14:textFill>
              </w:rPr>
              <w:t>20</w:t>
            </w:r>
            <w:r>
              <w:rPr>
                <w:color w:val="000000" w:themeColor="text1"/>
                <w:spacing w:val="1"/>
                <w:kern w:val="0"/>
                <w:szCs w:val="21"/>
                <w14:textFill>
                  <w14:solidFill>
                    <w14:schemeClr w14:val="tx1"/>
                  </w14:solidFill>
                </w14:textFill>
              </w:rPr>
              <w:t>分)</w:t>
            </w:r>
          </w:p>
        </w:tc>
        <w:tc>
          <w:tcPr>
            <w:tcW w:w="6770" w:type="dxa"/>
            <w:gridSpan w:val="3"/>
            <w:vAlign w:val="center"/>
          </w:tcPr>
          <w:p>
            <w:pPr>
              <w:autoSpaceDE w:val="0"/>
              <w:autoSpaceDN w:val="0"/>
              <w:adjustRightInd w:val="0"/>
              <w:snapToGrid w:val="0"/>
              <w:jc w:val="left"/>
              <w:rPr>
                <w:color w:val="FF0000"/>
                <w:w w:val="105"/>
              </w:rPr>
            </w:pPr>
            <w:r>
              <w:rPr>
                <w:rFonts w:hint="eastAsia"/>
                <w:color w:val="FF0000"/>
                <w:w w:val="105"/>
              </w:rPr>
              <w:t>1、</w:t>
            </w:r>
            <w:r>
              <w:rPr>
                <w:color w:val="FF0000"/>
              </w:rPr>
              <w:t>投标企业提供</w:t>
            </w:r>
            <w:r>
              <w:rPr>
                <w:rFonts w:hint="eastAsia"/>
                <w:color w:val="FF0000"/>
              </w:rPr>
              <w:t>质量、环境、职业健康安全管理体系认证证书的，得3分</w:t>
            </w:r>
            <w:r>
              <w:rPr>
                <w:rFonts w:hint="eastAsia"/>
                <w:color w:val="FF0000"/>
                <w:w w:val="105"/>
              </w:rPr>
              <w:t>。</w:t>
            </w:r>
          </w:p>
          <w:p>
            <w:pPr>
              <w:autoSpaceDE w:val="0"/>
              <w:autoSpaceDN w:val="0"/>
              <w:adjustRightInd w:val="0"/>
              <w:snapToGrid w:val="0"/>
              <w:jc w:val="left"/>
              <w:rPr>
                <w:color w:val="000000" w:themeColor="text1"/>
                <w:w w:val="105"/>
                <w14:textFill>
                  <w14:solidFill>
                    <w14:schemeClr w14:val="tx1"/>
                  </w14:solidFill>
                </w14:textFill>
              </w:rPr>
            </w:pPr>
            <w:r>
              <w:rPr>
                <w:rFonts w:hint="eastAsia"/>
                <w:color w:val="000000" w:themeColor="text1"/>
                <w:w w:val="105"/>
                <w14:textFill>
                  <w14:solidFill>
                    <w14:schemeClr w14:val="tx1"/>
                  </w14:solidFill>
                </w14:textFill>
              </w:rPr>
              <w:t>2、拟派项目监理工程师自2020年以来获得 “优秀监理工程师”荣誉称号的得2分，最多得6分。</w:t>
            </w:r>
          </w:p>
          <w:p>
            <w:pPr>
              <w:autoSpaceDE w:val="0"/>
              <w:autoSpaceDN w:val="0"/>
              <w:adjustRightInd w:val="0"/>
              <w:snapToGrid w:val="0"/>
              <w:jc w:val="left"/>
              <w:rPr>
                <w:color w:val="000000" w:themeColor="text1"/>
                <w:w w:val="105"/>
                <w14:textFill>
                  <w14:solidFill>
                    <w14:schemeClr w14:val="tx1"/>
                  </w14:solidFill>
                </w14:textFill>
              </w:rPr>
            </w:pPr>
            <w:r>
              <w:rPr>
                <w:rFonts w:hint="eastAsia"/>
                <w:color w:val="000000" w:themeColor="text1"/>
                <w:w w:val="105"/>
                <w14:textFill>
                  <w14:solidFill>
                    <w14:schemeClr w14:val="tx1"/>
                  </w14:solidFill>
                </w14:textFill>
              </w:rPr>
              <w:t>3、项目业绩中有自2020年以来被评为 “优秀监理成果”的得2分，最多得6分。</w:t>
            </w:r>
          </w:p>
          <w:p>
            <w:pPr>
              <w:tabs>
                <w:tab w:val="left" w:pos="-22"/>
              </w:tabs>
              <w:adjustRightInd w:val="0"/>
              <w:snapToGrid w:val="0"/>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4、单位具有“环境生态治理”乙级以上资质得5分。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945" w:type="dxa"/>
            <w:vAlign w:val="center"/>
          </w:tcPr>
          <w:p>
            <w:pPr>
              <w:autoSpaceDE w:val="0"/>
              <w:autoSpaceDN w:val="0"/>
              <w:adjustRightInd w:val="0"/>
              <w:snapToGrid w:val="0"/>
              <w:spacing w:line="480" w:lineRule="auto"/>
              <w:jc w:val="center"/>
              <w:rPr>
                <w:spacing w:val="1"/>
                <w:kern w:val="0"/>
                <w:szCs w:val="21"/>
              </w:rPr>
            </w:pPr>
            <w:r>
              <w:rPr>
                <w:spacing w:val="1"/>
                <w:kern w:val="0"/>
                <w:szCs w:val="21"/>
              </w:rPr>
              <w:t>2.2.4（4）</w:t>
            </w:r>
          </w:p>
        </w:tc>
        <w:tc>
          <w:tcPr>
            <w:tcW w:w="930" w:type="dxa"/>
            <w:vAlign w:val="center"/>
          </w:tcPr>
          <w:p>
            <w:pPr>
              <w:autoSpaceDE w:val="0"/>
              <w:autoSpaceDN w:val="0"/>
              <w:adjustRightInd w:val="0"/>
              <w:snapToGrid w:val="0"/>
              <w:spacing w:line="480" w:lineRule="auto"/>
              <w:jc w:val="center"/>
              <w:rPr>
                <w:spacing w:val="1"/>
                <w:kern w:val="0"/>
                <w:szCs w:val="21"/>
              </w:rPr>
            </w:pPr>
            <w:r>
              <w:rPr>
                <w:spacing w:val="1"/>
                <w:kern w:val="0"/>
                <w:szCs w:val="21"/>
              </w:rPr>
              <w:t>服务</w:t>
            </w:r>
          </w:p>
          <w:p>
            <w:pPr>
              <w:autoSpaceDE w:val="0"/>
              <w:autoSpaceDN w:val="0"/>
              <w:adjustRightInd w:val="0"/>
              <w:snapToGrid w:val="0"/>
              <w:spacing w:line="480" w:lineRule="auto"/>
              <w:jc w:val="center"/>
              <w:rPr>
                <w:spacing w:val="1"/>
                <w:kern w:val="0"/>
                <w:szCs w:val="21"/>
              </w:rPr>
            </w:pPr>
            <w:r>
              <w:rPr>
                <w:spacing w:val="1"/>
                <w:kern w:val="0"/>
                <w:szCs w:val="21"/>
              </w:rPr>
              <w:t>承诺</w:t>
            </w:r>
          </w:p>
          <w:p>
            <w:pPr>
              <w:autoSpaceDE w:val="0"/>
              <w:autoSpaceDN w:val="0"/>
              <w:adjustRightInd w:val="0"/>
              <w:snapToGrid w:val="0"/>
              <w:spacing w:line="480" w:lineRule="auto"/>
              <w:jc w:val="center"/>
              <w:rPr>
                <w:spacing w:val="1"/>
                <w:kern w:val="0"/>
                <w:szCs w:val="21"/>
              </w:rPr>
            </w:pPr>
            <w:r>
              <w:rPr>
                <w:spacing w:val="1"/>
                <w:kern w:val="0"/>
                <w:szCs w:val="21"/>
              </w:rPr>
              <w:t>（</w:t>
            </w:r>
            <w:r>
              <w:rPr>
                <w:rFonts w:hint="eastAsia"/>
                <w:spacing w:val="1"/>
                <w:kern w:val="0"/>
                <w:szCs w:val="21"/>
              </w:rPr>
              <w:t>5</w:t>
            </w:r>
            <w:r>
              <w:rPr>
                <w:spacing w:val="1"/>
                <w:kern w:val="0"/>
                <w:szCs w:val="21"/>
              </w:rPr>
              <w:t>分）</w:t>
            </w:r>
          </w:p>
        </w:tc>
        <w:tc>
          <w:tcPr>
            <w:tcW w:w="1963" w:type="dxa"/>
            <w:vAlign w:val="center"/>
          </w:tcPr>
          <w:p>
            <w:pPr>
              <w:autoSpaceDE w:val="0"/>
              <w:autoSpaceDN w:val="0"/>
              <w:adjustRightInd w:val="0"/>
              <w:snapToGrid w:val="0"/>
              <w:spacing w:line="480" w:lineRule="auto"/>
              <w:jc w:val="center"/>
              <w:rPr>
                <w:spacing w:val="1"/>
                <w:kern w:val="0"/>
                <w:szCs w:val="21"/>
              </w:rPr>
            </w:pPr>
            <w:r>
              <w:rPr>
                <w:spacing w:val="1"/>
                <w:kern w:val="0"/>
                <w:szCs w:val="21"/>
              </w:rPr>
              <w:t>投标人针对本项目做出的服务承诺。（</w:t>
            </w:r>
            <w:r>
              <w:rPr>
                <w:rFonts w:hint="eastAsia"/>
                <w:spacing w:val="1"/>
                <w:kern w:val="0"/>
                <w:szCs w:val="21"/>
              </w:rPr>
              <w:t>5</w:t>
            </w:r>
            <w:r>
              <w:rPr>
                <w:spacing w:val="1"/>
                <w:kern w:val="0"/>
                <w:szCs w:val="21"/>
              </w:rPr>
              <w:t>分）</w:t>
            </w:r>
          </w:p>
        </w:tc>
        <w:tc>
          <w:tcPr>
            <w:tcW w:w="4807" w:type="dxa"/>
            <w:gridSpan w:val="2"/>
            <w:vAlign w:val="center"/>
          </w:tcPr>
          <w:p>
            <w:pPr>
              <w:tabs>
                <w:tab w:val="left" w:pos="-22"/>
              </w:tabs>
              <w:adjustRightInd w:val="0"/>
              <w:snapToGrid w:val="0"/>
              <w:spacing w:line="480" w:lineRule="auto"/>
              <w:rPr>
                <w:szCs w:val="21"/>
              </w:rPr>
            </w:pPr>
            <w:r>
              <w:rPr>
                <w:rFonts w:hint="eastAsia"/>
                <w:kern w:val="0"/>
                <w:szCs w:val="21"/>
              </w:rPr>
              <w:t xml:space="preserve">   （1）</w:t>
            </w:r>
            <w:r>
              <w:rPr>
                <w:kern w:val="0"/>
                <w:szCs w:val="21"/>
              </w:rPr>
              <w:t>针对本项目特点，监理单位有针对性的提出有利于项目管理水平提高的</w:t>
            </w:r>
            <w:r>
              <w:rPr>
                <w:szCs w:val="21"/>
              </w:rPr>
              <w:t>实质性优惠及服务承诺。（0-</w:t>
            </w:r>
            <w:r>
              <w:rPr>
                <w:rFonts w:hint="eastAsia"/>
                <w:szCs w:val="21"/>
              </w:rPr>
              <w:t>3</w:t>
            </w:r>
            <w:r>
              <w:rPr>
                <w:szCs w:val="21"/>
              </w:rPr>
              <w:t>分）</w:t>
            </w:r>
          </w:p>
          <w:p>
            <w:pPr>
              <w:tabs>
                <w:tab w:val="left" w:pos="-22"/>
              </w:tabs>
              <w:adjustRightInd w:val="0"/>
              <w:snapToGrid w:val="0"/>
              <w:spacing w:line="480" w:lineRule="auto"/>
              <w:rPr>
                <w:rFonts w:ascii="宋体" w:hAnsi="宋体" w:cs="宋体"/>
                <w:szCs w:val="21"/>
              </w:rPr>
            </w:pPr>
            <w:r>
              <w:rPr>
                <w:rFonts w:hint="eastAsia" w:ascii="宋体" w:hAnsi="宋体" w:cs="宋体"/>
                <w:szCs w:val="21"/>
              </w:rPr>
              <w:t xml:space="preserve">   （2）针对保修期及后期跟踪服务方面的承诺；（0-2分）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45" w:type="dxa"/>
            <w:gridSpan w:val="5"/>
            <w:vAlign w:val="center"/>
          </w:tcPr>
          <w:p>
            <w:pPr>
              <w:autoSpaceDE w:val="0"/>
              <w:autoSpaceDN w:val="0"/>
              <w:adjustRightInd w:val="0"/>
              <w:snapToGrid w:val="0"/>
              <w:spacing w:line="480" w:lineRule="auto"/>
              <w:rPr>
                <w:bCs/>
                <w:spacing w:val="1"/>
                <w:kern w:val="0"/>
                <w:szCs w:val="21"/>
              </w:rPr>
            </w:pPr>
            <w:r>
              <w:rPr>
                <w:rFonts w:hint="eastAsia"/>
                <w:bCs/>
                <w:spacing w:val="1"/>
                <w:kern w:val="0"/>
                <w:szCs w:val="21"/>
              </w:rPr>
              <w:t>（1）各投标人的最终得分为各评委所评定分数的算术平均值。</w:t>
            </w:r>
          </w:p>
          <w:p>
            <w:pPr>
              <w:autoSpaceDE w:val="0"/>
              <w:autoSpaceDN w:val="0"/>
              <w:adjustRightInd w:val="0"/>
              <w:snapToGrid w:val="0"/>
              <w:spacing w:line="480" w:lineRule="auto"/>
              <w:rPr>
                <w:bCs/>
                <w:spacing w:val="1"/>
                <w:kern w:val="0"/>
                <w:szCs w:val="21"/>
              </w:rPr>
            </w:pPr>
            <w:r>
              <w:rPr>
                <w:rFonts w:hint="eastAsia"/>
                <w:bCs/>
                <w:spacing w:val="1"/>
                <w:kern w:val="0"/>
                <w:szCs w:val="21"/>
              </w:rPr>
              <w:t>（2）各项统计、评分结果均按四舍五入方法精确到小数点后两位（得分相同者精确到小数点后3位，以此类推）。</w:t>
            </w:r>
          </w:p>
          <w:p>
            <w:pPr>
              <w:tabs>
                <w:tab w:val="left" w:pos="20"/>
                <w:tab w:val="left" w:pos="820"/>
                <w:tab w:val="left" w:pos="1140"/>
              </w:tabs>
              <w:autoSpaceDE w:val="0"/>
              <w:autoSpaceDN w:val="0"/>
              <w:adjustRightInd w:val="0"/>
              <w:snapToGrid w:val="0"/>
              <w:spacing w:line="480" w:lineRule="auto"/>
              <w:rPr>
                <w:spacing w:val="1"/>
                <w:kern w:val="0"/>
                <w:szCs w:val="21"/>
              </w:rPr>
            </w:pPr>
            <w:r>
              <w:rPr>
                <w:rFonts w:hint="eastAsia"/>
                <w:bCs/>
                <w:spacing w:val="1"/>
                <w:kern w:val="0"/>
                <w:szCs w:val="21"/>
              </w:rPr>
              <w:t>（3）评标委员会根据投标人的最终得分，按得分高低次序确定投标人的最终的排列名次，确定得分最高者为第一中标候选人。</w:t>
            </w:r>
          </w:p>
        </w:tc>
      </w:tr>
    </w:tbl>
    <w:p>
      <w:pPr>
        <w:spacing w:line="460" w:lineRule="exact"/>
        <w:rPr>
          <w:rFonts w:ascii="宋体" w:hAnsi="宋体"/>
          <w:b/>
          <w:sz w:val="24"/>
        </w:rPr>
      </w:pPr>
      <w:bookmarkStart w:id="65" w:name="_Toc24064"/>
      <w:bookmarkStart w:id="66" w:name="_Toc30433"/>
      <w:bookmarkStart w:id="67" w:name="_Toc20396"/>
      <w:bookmarkStart w:id="68" w:name="_Toc22180"/>
    </w:p>
    <w:p>
      <w:pPr>
        <w:spacing w:line="460" w:lineRule="exact"/>
        <w:rPr>
          <w:rFonts w:ascii="宋体" w:hAnsi="宋体"/>
          <w:b/>
          <w:sz w:val="24"/>
        </w:rPr>
      </w:pPr>
      <w:r>
        <w:rPr>
          <w:rFonts w:hint="eastAsia" w:ascii="宋体" w:hAnsi="宋体"/>
          <w:b/>
          <w:sz w:val="24"/>
        </w:rPr>
        <w:t>三、澄清、说明或补正</w:t>
      </w:r>
      <w:bookmarkEnd w:id="65"/>
      <w:bookmarkEnd w:id="66"/>
      <w:bookmarkEnd w:id="67"/>
      <w:bookmarkEnd w:id="68"/>
    </w:p>
    <w:p>
      <w:pPr>
        <w:spacing w:line="460" w:lineRule="exact"/>
        <w:ind w:firstLine="315" w:firstLineChars="150"/>
        <w:rPr>
          <w:rFonts w:ascii="宋体" w:hAnsi="宋体"/>
          <w:szCs w:val="21"/>
        </w:rPr>
      </w:pPr>
      <w:r>
        <w:rPr>
          <w:rFonts w:hint="eastAsia" w:ascii="宋体" w:hAnsi="宋体"/>
          <w:szCs w:val="21"/>
        </w:rPr>
        <w:t>在评审过程中，评标委员会应当就投标文件中不明确的内容要求投标人进行澄清、说明或者补正。投标人应当根据问题澄清通知要求，以书面形式予以澄清、说明或者补正。</w:t>
      </w:r>
    </w:p>
    <w:p>
      <w:pPr>
        <w:spacing w:line="460" w:lineRule="exact"/>
        <w:rPr>
          <w:rFonts w:ascii="宋体" w:hAnsi="宋体"/>
          <w:szCs w:val="21"/>
        </w:rPr>
      </w:pPr>
      <w:r>
        <w:rPr>
          <w:rFonts w:hint="eastAsia" w:ascii="宋体" w:hAnsi="宋体"/>
          <w:szCs w:val="21"/>
        </w:rPr>
        <w:t>但澄清、说明或者补正不得超出投标文件的范围或者改变投标文件的实质性内容。</w:t>
      </w:r>
    </w:p>
    <w:p>
      <w:pPr>
        <w:spacing w:line="460" w:lineRule="exact"/>
        <w:rPr>
          <w:rFonts w:ascii="宋体" w:hAnsi="宋体"/>
          <w:b/>
          <w:sz w:val="24"/>
        </w:rPr>
      </w:pPr>
      <w:bookmarkStart w:id="69" w:name="_Toc2656"/>
      <w:bookmarkStart w:id="70" w:name="_Toc20133"/>
      <w:bookmarkStart w:id="71" w:name="_Toc23056"/>
      <w:bookmarkStart w:id="72" w:name="_Toc6669"/>
    </w:p>
    <w:p>
      <w:pPr>
        <w:spacing w:line="460" w:lineRule="exact"/>
        <w:rPr>
          <w:rFonts w:ascii="宋体" w:hAnsi="宋体"/>
          <w:b/>
          <w:sz w:val="24"/>
        </w:rPr>
      </w:pPr>
      <w:r>
        <w:rPr>
          <w:rFonts w:hint="eastAsia" w:ascii="宋体" w:hAnsi="宋体"/>
          <w:b/>
          <w:sz w:val="24"/>
        </w:rPr>
        <w:t>四、推荐中标候选人和确定中标人</w:t>
      </w:r>
      <w:bookmarkEnd w:id="69"/>
      <w:bookmarkEnd w:id="70"/>
      <w:bookmarkEnd w:id="71"/>
      <w:bookmarkEnd w:id="72"/>
    </w:p>
    <w:p>
      <w:pPr>
        <w:spacing w:line="460" w:lineRule="exact"/>
        <w:ind w:left="478" w:leftChars="33" w:hanging="409" w:hangingChars="195"/>
        <w:rPr>
          <w:rFonts w:ascii="宋体" w:hAnsi="宋体"/>
          <w:szCs w:val="21"/>
        </w:rPr>
      </w:pPr>
      <w:r>
        <w:rPr>
          <w:rFonts w:hint="eastAsia" w:ascii="宋体" w:hAnsi="宋体"/>
          <w:szCs w:val="21"/>
        </w:rPr>
        <w:t>　评标委员会按照得分由高到低的顺序推荐三名中标候选人。</w:t>
      </w:r>
    </w:p>
    <w:p>
      <w:pPr>
        <w:spacing w:line="460" w:lineRule="exact"/>
        <w:ind w:firstLine="315" w:firstLineChars="150"/>
        <w:rPr>
          <w:rFonts w:ascii="宋体" w:hAnsi="宋体"/>
          <w:szCs w:val="21"/>
        </w:rPr>
      </w:pPr>
      <w:r>
        <w:rPr>
          <w:rFonts w:hint="eastAsia" w:ascii="宋体" w:hAnsi="宋体"/>
          <w:szCs w:val="21"/>
        </w:rPr>
        <w:t>排名第一的中标候选人放弃中标、因不可抗力提出不能履行合同，在规定的期限内未能提交的，招标人可以确定排名第二的中标候选人为中标人。</w:t>
      </w:r>
    </w:p>
    <w:p>
      <w:pPr>
        <w:spacing w:line="460" w:lineRule="exact"/>
        <w:ind w:firstLine="210" w:firstLineChars="100"/>
        <w:rPr>
          <w:rFonts w:ascii="宋体" w:hAnsi="宋体"/>
          <w:szCs w:val="21"/>
        </w:rPr>
      </w:pPr>
      <w:r>
        <w:rPr>
          <w:rFonts w:hint="eastAsia" w:ascii="宋体" w:hAnsi="宋体"/>
          <w:szCs w:val="21"/>
        </w:rPr>
        <w:t>排名第二的中标候选人因前款规定的同样原因不能签订合同的，招标人可以确定排名第三的中标候选人为中标人。其他情况应重新招标。</w:t>
      </w:r>
    </w:p>
    <w:p>
      <w:r>
        <w:br w:type="page"/>
      </w:r>
    </w:p>
    <w:p>
      <w:pPr>
        <w:pStyle w:val="7"/>
        <w:keepNext w:val="0"/>
        <w:keepLines w:val="0"/>
        <w:jc w:val="center"/>
        <w:rPr>
          <w:b w:val="0"/>
        </w:rPr>
      </w:pPr>
      <w:r>
        <w:rPr>
          <w:b w:val="0"/>
        </w:rPr>
        <w:t>第四章</w:t>
      </w:r>
      <w:r>
        <w:rPr>
          <w:rFonts w:hint="eastAsia"/>
          <w:b w:val="0"/>
        </w:rPr>
        <w:t xml:space="preserve">  合同条款及格式</w:t>
      </w:r>
    </w:p>
    <w:bookmarkEnd w:id="56"/>
    <w:p>
      <w:pPr>
        <w:rPr>
          <w:b/>
          <w:bCs/>
          <w:kern w:val="0"/>
          <w:sz w:val="24"/>
          <w:szCs w:val="24"/>
        </w:rPr>
      </w:pPr>
      <w:bookmarkStart w:id="73" w:name="_Toc351203652"/>
      <w:r>
        <w:rPr>
          <w:b/>
          <w:sz w:val="24"/>
          <w:szCs w:val="24"/>
        </w:rPr>
        <w:t>（ＧＦ－2012－0202）</w:t>
      </w:r>
    </w:p>
    <w:p>
      <w:pPr>
        <w:snapToGrid w:val="0"/>
        <w:rPr>
          <w:b/>
          <w:bCs/>
          <w:sz w:val="24"/>
          <w:szCs w:val="24"/>
        </w:rPr>
      </w:pPr>
    </w:p>
    <w:p>
      <w:pPr>
        <w:snapToGrid w:val="0"/>
        <w:rPr>
          <w:b/>
          <w:bCs/>
          <w:sz w:val="24"/>
          <w:szCs w:val="24"/>
        </w:rPr>
      </w:pPr>
    </w:p>
    <w:p>
      <w:pPr>
        <w:snapToGrid w:val="0"/>
        <w:rPr>
          <w:b/>
          <w:bCs/>
          <w:sz w:val="24"/>
          <w:szCs w:val="24"/>
        </w:rPr>
      </w:pPr>
    </w:p>
    <w:p>
      <w:pPr>
        <w:snapToGrid w:val="0"/>
        <w:jc w:val="center"/>
        <w:rPr>
          <w:b/>
          <w:bCs/>
          <w:sz w:val="24"/>
          <w:szCs w:val="24"/>
        </w:rPr>
      </w:pPr>
      <w:r>
        <w:rPr>
          <w:b/>
          <w:bCs/>
          <w:sz w:val="24"/>
          <w:szCs w:val="24"/>
        </w:rPr>
        <w:t>建设工程监理合同</w:t>
      </w:r>
    </w:p>
    <w:p>
      <w:pPr>
        <w:snapToGrid w:val="0"/>
        <w:jc w:val="center"/>
        <w:rPr>
          <w:b/>
          <w:bCs/>
          <w:sz w:val="24"/>
          <w:szCs w:val="24"/>
        </w:rPr>
      </w:pPr>
      <w:r>
        <w:rPr>
          <w:b/>
          <w:bCs/>
          <w:sz w:val="24"/>
          <w:szCs w:val="24"/>
        </w:rPr>
        <w:t>（示范文本）</w:t>
      </w:r>
      <w:r>
        <w:rPr>
          <w:rFonts w:hint="eastAsia"/>
          <w:b/>
          <w:bCs/>
          <w:sz w:val="24"/>
          <w:szCs w:val="24"/>
        </w:rPr>
        <w:t>（仅供参考）</w:t>
      </w:r>
    </w:p>
    <w:p>
      <w:pPr>
        <w:snapToGrid w:val="0"/>
        <w:rPr>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rPr>
          <w:b/>
          <w:bCs/>
          <w:sz w:val="24"/>
          <w:szCs w:val="24"/>
        </w:rPr>
      </w:pPr>
    </w:p>
    <w:p>
      <w:pPr>
        <w:snapToGrid w:val="0"/>
        <w:jc w:val="center"/>
        <w:rPr>
          <w:b/>
          <w:sz w:val="24"/>
          <w:szCs w:val="24"/>
        </w:rPr>
      </w:pPr>
      <w:r>
        <w:rPr>
          <w:b/>
          <w:bCs/>
          <w:sz w:val="24"/>
          <w:szCs w:val="24"/>
        </w:rPr>
        <w:t xml:space="preserve">  住房和城乡建设部</w:t>
      </w:r>
    </w:p>
    <w:p>
      <w:pPr>
        <w:snapToGrid w:val="0"/>
        <w:jc w:val="center"/>
        <w:rPr>
          <w:b/>
          <w:sz w:val="24"/>
          <w:szCs w:val="24"/>
        </w:rPr>
      </w:pPr>
      <w:r>
        <w:rPr>
          <w:b/>
          <w:sz w:val="24"/>
          <w:szCs w:val="24"/>
        </w:rPr>
        <w:t xml:space="preserve">                                                          制定</w:t>
      </w:r>
    </w:p>
    <w:p>
      <w:pPr>
        <w:snapToGrid w:val="0"/>
        <w:jc w:val="center"/>
        <w:rPr>
          <w:b/>
          <w:sz w:val="24"/>
          <w:szCs w:val="24"/>
        </w:rPr>
      </w:pPr>
      <w:r>
        <w:rPr>
          <w:b/>
          <w:bCs/>
          <w:sz w:val="24"/>
          <w:szCs w:val="24"/>
        </w:rPr>
        <w:t xml:space="preserve">   国家工商行政管理总局</w:t>
      </w:r>
    </w:p>
    <w:p>
      <w:pPr>
        <w:pStyle w:val="15"/>
        <w:jc w:val="center"/>
        <w:rPr>
          <w:rFonts w:ascii="Times New Roman" w:hAnsi="Times New Roman" w:cs="Times New Roman"/>
          <w:b/>
          <w:bCs/>
          <w:kern w:val="2"/>
          <w:sz w:val="18"/>
          <w:szCs w:val="18"/>
        </w:rPr>
        <w:sectPr>
          <w:footerReference r:id="rId3" w:type="default"/>
          <w:pgSz w:w="12240" w:h="15840"/>
          <w:pgMar w:top="1440" w:right="1800" w:bottom="1440" w:left="1800" w:header="720" w:footer="720" w:gutter="0"/>
          <w:cols w:space="720" w:num="1"/>
        </w:sectPr>
      </w:pPr>
    </w:p>
    <w:p>
      <w:pPr>
        <w:pStyle w:val="25"/>
        <w:jc w:val="center"/>
        <w:rPr>
          <w:rFonts w:ascii="Times New Roman" w:hAnsi="Times New Roman"/>
          <w:b w:val="0"/>
          <w:szCs w:val="24"/>
        </w:rPr>
      </w:pPr>
      <w:r>
        <w:rPr>
          <w:rFonts w:hint="eastAsia" w:ascii="Times New Roman" w:hAnsi="Times New Roman"/>
          <w:b w:val="0"/>
          <w:szCs w:val="24"/>
        </w:rPr>
        <w:t>（以下仅提供格式，具体细节由招标人在合同签订时，根据实际情况进行补充修改）</w:t>
      </w:r>
    </w:p>
    <w:p>
      <w:pPr>
        <w:spacing w:line="360" w:lineRule="auto"/>
        <w:jc w:val="center"/>
        <w:rPr>
          <w:b/>
          <w:bCs/>
          <w:kern w:val="0"/>
          <w:sz w:val="24"/>
          <w:szCs w:val="24"/>
        </w:rPr>
      </w:pPr>
      <w:r>
        <w:rPr>
          <w:b/>
          <w:bCs/>
          <w:sz w:val="24"/>
          <w:szCs w:val="24"/>
        </w:rPr>
        <w:t>          第一部分  协议书</w:t>
      </w:r>
    </w:p>
    <w:p>
      <w:pPr>
        <w:adjustRightInd w:val="0"/>
        <w:snapToGrid w:val="0"/>
        <w:spacing w:line="360" w:lineRule="auto"/>
        <w:ind w:firstLine="602" w:firstLineChars="250"/>
        <w:rPr>
          <w:b/>
          <w:sz w:val="24"/>
          <w:szCs w:val="24"/>
        </w:rPr>
      </w:pPr>
    </w:p>
    <w:p>
      <w:pPr>
        <w:adjustRightInd w:val="0"/>
        <w:snapToGrid w:val="0"/>
        <w:spacing w:line="360" w:lineRule="auto"/>
        <w:ind w:firstLine="482" w:firstLineChars="200"/>
        <w:rPr>
          <w:b/>
          <w:sz w:val="24"/>
          <w:szCs w:val="24"/>
        </w:rPr>
      </w:pPr>
      <w:r>
        <w:rPr>
          <w:b/>
          <w:sz w:val="24"/>
          <w:szCs w:val="24"/>
        </w:rPr>
        <w:t>委托人（全称）：</w:t>
      </w:r>
      <w:r>
        <w:rPr>
          <w:b/>
          <w:sz w:val="24"/>
          <w:szCs w:val="24"/>
          <w:u w:val="single"/>
        </w:rPr>
        <w:t xml:space="preserve">                                      </w:t>
      </w:r>
    </w:p>
    <w:p>
      <w:pPr>
        <w:adjustRightInd w:val="0"/>
        <w:snapToGrid w:val="0"/>
        <w:spacing w:line="360" w:lineRule="auto"/>
        <w:ind w:firstLine="482" w:firstLineChars="200"/>
        <w:rPr>
          <w:sz w:val="24"/>
          <w:szCs w:val="24"/>
        </w:rPr>
      </w:pPr>
      <w:r>
        <w:rPr>
          <w:b/>
          <w:sz w:val="24"/>
          <w:szCs w:val="24"/>
        </w:rPr>
        <w:t>监理人（全称）：</w:t>
      </w:r>
      <w:r>
        <w:rPr>
          <w:b/>
          <w:sz w:val="24"/>
          <w:szCs w:val="24"/>
          <w:u w:val="single"/>
        </w:rPr>
        <w:t xml:space="preserve">                                   </w:t>
      </w:r>
      <w:r>
        <w:rPr>
          <w:sz w:val="24"/>
          <w:szCs w:val="24"/>
          <w:u w:val="single"/>
        </w:rPr>
        <w:t xml:space="preserve">   </w:t>
      </w:r>
    </w:p>
    <w:p>
      <w:pPr>
        <w:adjustRightInd w:val="0"/>
        <w:snapToGrid w:val="0"/>
        <w:spacing w:line="360" w:lineRule="auto"/>
        <w:ind w:firstLine="480" w:firstLineChars="200"/>
        <w:rPr>
          <w:sz w:val="24"/>
          <w:szCs w:val="24"/>
          <w:u w:val="single"/>
        </w:rPr>
      </w:pPr>
      <w:r>
        <w:rPr>
          <w:sz w:val="24"/>
          <w:szCs w:val="24"/>
        </w:rPr>
        <w:t>根据《中华人民共和国合同法》、《中华人民共和国建筑法》及其他有关法律、法规，遵循平等、自愿、公平和诚信的原则，双方就下述工程委托监理与相关服务事项协商一致，订立本合同。</w:t>
      </w:r>
    </w:p>
    <w:p>
      <w:pPr>
        <w:spacing w:line="360" w:lineRule="auto"/>
        <w:ind w:firstLine="477" w:firstLineChars="198"/>
        <w:outlineLvl w:val="0"/>
        <w:rPr>
          <w:b/>
          <w:sz w:val="24"/>
          <w:szCs w:val="24"/>
        </w:rPr>
      </w:pPr>
      <w:bookmarkStart w:id="74" w:name="_Toc491094753"/>
      <w:bookmarkStart w:id="75" w:name="_Toc536623947"/>
      <w:r>
        <w:rPr>
          <w:b/>
          <w:sz w:val="24"/>
          <w:szCs w:val="24"/>
        </w:rPr>
        <w:t>一、工程概况</w:t>
      </w:r>
      <w:bookmarkEnd w:id="74"/>
      <w:bookmarkEnd w:id="75"/>
    </w:p>
    <w:p>
      <w:pPr>
        <w:adjustRightInd w:val="0"/>
        <w:snapToGrid w:val="0"/>
        <w:spacing w:line="360" w:lineRule="auto"/>
        <w:ind w:firstLine="475" w:firstLineChars="198"/>
        <w:rPr>
          <w:sz w:val="24"/>
          <w:szCs w:val="24"/>
        </w:rPr>
      </w:pPr>
      <w:r>
        <w:rPr>
          <w:sz w:val="24"/>
          <w:szCs w:val="24"/>
        </w:rPr>
        <w:t>1. 工程名称：</w:t>
      </w:r>
      <w:r>
        <w:rPr>
          <w:sz w:val="24"/>
          <w:szCs w:val="24"/>
          <w:u w:val="single"/>
        </w:rPr>
        <w:t xml:space="preserve">                                        </w:t>
      </w:r>
      <w:r>
        <w:rPr>
          <w:sz w:val="24"/>
          <w:szCs w:val="24"/>
        </w:rPr>
        <w:t>；</w:t>
      </w:r>
    </w:p>
    <w:p>
      <w:pPr>
        <w:adjustRightInd w:val="0"/>
        <w:snapToGrid w:val="0"/>
        <w:spacing w:line="360" w:lineRule="auto"/>
        <w:ind w:firstLine="475" w:firstLineChars="198"/>
        <w:rPr>
          <w:sz w:val="24"/>
          <w:szCs w:val="24"/>
        </w:rPr>
      </w:pPr>
      <w:r>
        <w:rPr>
          <w:sz w:val="24"/>
          <w:szCs w:val="24"/>
        </w:rPr>
        <w:t>2. 工程地点：</w:t>
      </w:r>
      <w:r>
        <w:rPr>
          <w:sz w:val="24"/>
          <w:szCs w:val="24"/>
          <w:u w:val="single"/>
        </w:rPr>
        <w:t xml:space="preserve">                                        </w:t>
      </w:r>
      <w:r>
        <w:rPr>
          <w:sz w:val="24"/>
          <w:szCs w:val="24"/>
        </w:rPr>
        <w:t>；</w:t>
      </w:r>
    </w:p>
    <w:p>
      <w:pPr>
        <w:adjustRightInd w:val="0"/>
        <w:snapToGrid w:val="0"/>
        <w:spacing w:line="360" w:lineRule="auto"/>
        <w:ind w:firstLine="475" w:firstLineChars="198"/>
        <w:rPr>
          <w:sz w:val="24"/>
          <w:szCs w:val="24"/>
        </w:rPr>
      </w:pPr>
      <w:r>
        <w:rPr>
          <w:sz w:val="24"/>
          <w:szCs w:val="24"/>
        </w:rPr>
        <w:t>3. 工程规模：</w:t>
      </w:r>
      <w:r>
        <w:rPr>
          <w:sz w:val="24"/>
          <w:szCs w:val="24"/>
          <w:u w:val="single"/>
        </w:rPr>
        <w:t xml:space="preserve">                                        </w:t>
      </w:r>
      <w:r>
        <w:rPr>
          <w:sz w:val="24"/>
          <w:szCs w:val="24"/>
        </w:rPr>
        <w:t>；</w:t>
      </w:r>
    </w:p>
    <w:p>
      <w:pPr>
        <w:adjustRightInd w:val="0"/>
        <w:snapToGrid w:val="0"/>
        <w:spacing w:line="360" w:lineRule="auto"/>
        <w:ind w:firstLine="475" w:firstLineChars="198"/>
        <w:rPr>
          <w:sz w:val="24"/>
          <w:szCs w:val="24"/>
        </w:rPr>
      </w:pPr>
      <w:r>
        <w:rPr>
          <w:sz w:val="24"/>
          <w:szCs w:val="24"/>
        </w:rPr>
        <w:t>4. 工程概算投资额：</w:t>
      </w:r>
      <w:r>
        <w:rPr>
          <w:sz w:val="24"/>
          <w:szCs w:val="24"/>
          <w:u w:val="single"/>
        </w:rPr>
        <w:t xml:space="preserve">           </w:t>
      </w:r>
      <w:r>
        <w:rPr>
          <w:sz w:val="24"/>
          <w:szCs w:val="24"/>
        </w:rPr>
        <w:t>。</w:t>
      </w:r>
    </w:p>
    <w:p>
      <w:pPr>
        <w:spacing w:line="360" w:lineRule="auto"/>
        <w:ind w:firstLine="477" w:firstLineChars="198"/>
        <w:outlineLvl w:val="0"/>
        <w:rPr>
          <w:b/>
          <w:sz w:val="24"/>
          <w:szCs w:val="24"/>
        </w:rPr>
      </w:pPr>
      <w:r>
        <w:rPr>
          <w:b/>
          <w:sz w:val="24"/>
          <w:szCs w:val="24"/>
        </w:rPr>
        <w:t>二、词语限定</w:t>
      </w:r>
    </w:p>
    <w:p>
      <w:pPr>
        <w:adjustRightInd w:val="0"/>
        <w:snapToGrid w:val="0"/>
        <w:spacing w:line="360" w:lineRule="auto"/>
        <w:ind w:firstLine="475" w:firstLineChars="198"/>
        <w:rPr>
          <w:sz w:val="24"/>
          <w:szCs w:val="24"/>
        </w:rPr>
      </w:pPr>
      <w:r>
        <w:rPr>
          <w:sz w:val="24"/>
          <w:szCs w:val="24"/>
        </w:rPr>
        <w:t>协议书中相关词语的含义与通用条件中的定义与解释相同。</w:t>
      </w:r>
    </w:p>
    <w:p>
      <w:pPr>
        <w:spacing w:line="360" w:lineRule="auto"/>
        <w:ind w:firstLine="477" w:firstLineChars="198"/>
        <w:outlineLvl w:val="0"/>
        <w:rPr>
          <w:b/>
          <w:sz w:val="24"/>
          <w:szCs w:val="24"/>
        </w:rPr>
      </w:pPr>
      <w:bookmarkStart w:id="76" w:name="_Toc491094754"/>
      <w:bookmarkStart w:id="77" w:name="_Toc536623948"/>
      <w:r>
        <w:rPr>
          <w:b/>
          <w:sz w:val="24"/>
          <w:szCs w:val="24"/>
        </w:rPr>
        <w:t>三、组成本合同的文件</w:t>
      </w:r>
      <w:bookmarkEnd w:id="76"/>
      <w:bookmarkEnd w:id="77"/>
    </w:p>
    <w:p>
      <w:pPr>
        <w:adjustRightInd w:val="0"/>
        <w:snapToGrid w:val="0"/>
        <w:spacing w:line="360" w:lineRule="auto"/>
        <w:ind w:firstLine="475" w:firstLineChars="198"/>
        <w:rPr>
          <w:sz w:val="24"/>
          <w:szCs w:val="24"/>
        </w:rPr>
      </w:pPr>
      <w:r>
        <w:rPr>
          <w:sz w:val="24"/>
          <w:szCs w:val="24"/>
        </w:rPr>
        <w:t>1. 协议书；</w:t>
      </w:r>
    </w:p>
    <w:p>
      <w:pPr>
        <w:adjustRightInd w:val="0"/>
        <w:snapToGrid w:val="0"/>
        <w:spacing w:line="360" w:lineRule="auto"/>
        <w:ind w:firstLine="475" w:firstLineChars="198"/>
        <w:rPr>
          <w:sz w:val="24"/>
          <w:szCs w:val="24"/>
        </w:rPr>
      </w:pPr>
      <w:r>
        <w:rPr>
          <w:sz w:val="24"/>
          <w:szCs w:val="24"/>
        </w:rPr>
        <w:t>2. 中标通知书（适用于招标工程）或委托书（适用于非招标工程）；</w:t>
      </w:r>
    </w:p>
    <w:p>
      <w:pPr>
        <w:adjustRightInd w:val="0"/>
        <w:snapToGrid w:val="0"/>
        <w:spacing w:line="360" w:lineRule="auto"/>
        <w:ind w:firstLine="475" w:firstLineChars="198"/>
        <w:rPr>
          <w:sz w:val="24"/>
          <w:szCs w:val="24"/>
        </w:rPr>
      </w:pPr>
      <w:r>
        <w:rPr>
          <w:sz w:val="24"/>
          <w:szCs w:val="24"/>
        </w:rPr>
        <w:t>3. 投标文件（适用于招标工程）或监理与相关服务建议书（适用于非招标工程）；</w:t>
      </w:r>
    </w:p>
    <w:p>
      <w:pPr>
        <w:adjustRightInd w:val="0"/>
        <w:snapToGrid w:val="0"/>
        <w:spacing w:line="360" w:lineRule="auto"/>
        <w:rPr>
          <w:sz w:val="24"/>
          <w:szCs w:val="24"/>
        </w:rPr>
      </w:pPr>
      <w:r>
        <w:rPr>
          <w:sz w:val="24"/>
          <w:szCs w:val="24"/>
        </w:rPr>
        <w:t xml:space="preserve">    4. 专用条件；</w:t>
      </w:r>
    </w:p>
    <w:p>
      <w:pPr>
        <w:adjustRightInd w:val="0"/>
        <w:snapToGrid w:val="0"/>
        <w:spacing w:line="360" w:lineRule="auto"/>
        <w:ind w:firstLine="475" w:firstLineChars="198"/>
        <w:rPr>
          <w:sz w:val="24"/>
          <w:szCs w:val="24"/>
        </w:rPr>
      </w:pPr>
      <w:r>
        <w:rPr>
          <w:sz w:val="24"/>
          <w:szCs w:val="24"/>
        </w:rPr>
        <w:t>5. 通用条件；</w:t>
      </w:r>
    </w:p>
    <w:p>
      <w:pPr>
        <w:adjustRightInd w:val="0"/>
        <w:snapToGrid w:val="0"/>
        <w:spacing w:line="360" w:lineRule="auto"/>
        <w:ind w:firstLine="475" w:firstLineChars="198"/>
        <w:rPr>
          <w:sz w:val="24"/>
          <w:szCs w:val="24"/>
        </w:rPr>
      </w:pPr>
      <w:r>
        <w:rPr>
          <w:sz w:val="24"/>
          <w:szCs w:val="24"/>
        </w:rPr>
        <w:t>6. 附录，即：</w:t>
      </w:r>
    </w:p>
    <w:p>
      <w:pPr>
        <w:adjustRightInd w:val="0"/>
        <w:snapToGrid w:val="0"/>
        <w:spacing w:line="360" w:lineRule="auto"/>
        <w:ind w:firstLine="475" w:firstLineChars="198"/>
        <w:rPr>
          <w:sz w:val="24"/>
          <w:szCs w:val="24"/>
        </w:rPr>
      </w:pPr>
      <w:r>
        <w:rPr>
          <w:sz w:val="24"/>
          <w:szCs w:val="24"/>
        </w:rPr>
        <w:t>附录A  相关服务的范围和内容</w:t>
      </w:r>
    </w:p>
    <w:p>
      <w:pPr>
        <w:adjustRightInd w:val="0"/>
        <w:snapToGrid w:val="0"/>
        <w:spacing w:line="360" w:lineRule="auto"/>
        <w:ind w:firstLine="480" w:firstLineChars="200"/>
        <w:rPr>
          <w:sz w:val="24"/>
          <w:szCs w:val="24"/>
        </w:rPr>
      </w:pPr>
      <w:r>
        <w:rPr>
          <w:sz w:val="24"/>
          <w:szCs w:val="24"/>
        </w:rPr>
        <w:t>附录B  委托人派遣的人员和提供的</w:t>
      </w:r>
      <w:r>
        <w:rPr>
          <w:bCs/>
          <w:sz w:val="24"/>
          <w:szCs w:val="24"/>
        </w:rPr>
        <w:t>房屋、资料</w:t>
      </w:r>
      <w:r>
        <w:rPr>
          <w:sz w:val="24"/>
          <w:szCs w:val="24"/>
        </w:rPr>
        <w:t>、设备</w:t>
      </w:r>
    </w:p>
    <w:p>
      <w:pPr>
        <w:adjustRightInd w:val="0"/>
        <w:snapToGrid w:val="0"/>
        <w:spacing w:line="360" w:lineRule="auto"/>
        <w:ind w:firstLine="475" w:firstLineChars="198"/>
        <w:rPr>
          <w:sz w:val="24"/>
          <w:szCs w:val="24"/>
        </w:rPr>
      </w:pPr>
      <w:r>
        <w:rPr>
          <w:sz w:val="24"/>
          <w:szCs w:val="24"/>
        </w:rPr>
        <w:t>本合同签订后，双方依法签订的补充协议也是本合同文件的组成部分。</w:t>
      </w:r>
    </w:p>
    <w:p>
      <w:pPr>
        <w:spacing w:line="360" w:lineRule="auto"/>
        <w:ind w:firstLine="477" w:firstLineChars="198"/>
        <w:outlineLvl w:val="0"/>
        <w:rPr>
          <w:b/>
          <w:sz w:val="24"/>
          <w:szCs w:val="24"/>
        </w:rPr>
      </w:pPr>
      <w:bookmarkStart w:id="78" w:name="_Toc491094755"/>
      <w:bookmarkStart w:id="79" w:name="_Toc536623949"/>
      <w:r>
        <w:rPr>
          <w:b/>
          <w:sz w:val="24"/>
          <w:szCs w:val="24"/>
        </w:rPr>
        <w:t>四、总监理工程师</w:t>
      </w:r>
      <w:bookmarkEnd w:id="78"/>
      <w:bookmarkEnd w:id="79"/>
    </w:p>
    <w:p>
      <w:pPr>
        <w:adjustRightInd w:val="0"/>
        <w:snapToGrid w:val="0"/>
        <w:spacing w:line="360" w:lineRule="auto"/>
        <w:ind w:firstLine="475" w:firstLineChars="198"/>
        <w:rPr>
          <w:sz w:val="24"/>
          <w:szCs w:val="24"/>
        </w:rPr>
      </w:pPr>
      <w:r>
        <w:rPr>
          <w:sz w:val="24"/>
          <w:szCs w:val="24"/>
        </w:rPr>
        <w:t>总监理工程师姓名：</w:t>
      </w:r>
      <w:r>
        <w:rPr>
          <w:sz w:val="24"/>
          <w:szCs w:val="24"/>
          <w:u w:val="single"/>
        </w:rPr>
        <w:t xml:space="preserve">           </w:t>
      </w:r>
      <w:r>
        <w:rPr>
          <w:sz w:val="24"/>
          <w:szCs w:val="24"/>
        </w:rPr>
        <w:t>，身份证号码：</w:t>
      </w:r>
      <w:r>
        <w:rPr>
          <w:sz w:val="24"/>
          <w:szCs w:val="24"/>
          <w:u w:val="single"/>
        </w:rPr>
        <w:t xml:space="preserve">            </w:t>
      </w:r>
      <w:r>
        <w:rPr>
          <w:sz w:val="24"/>
          <w:szCs w:val="24"/>
        </w:rPr>
        <w:t>，注册号：</w:t>
      </w:r>
      <w:r>
        <w:rPr>
          <w:sz w:val="24"/>
          <w:szCs w:val="24"/>
          <w:u w:val="single"/>
        </w:rPr>
        <w:t xml:space="preserve">                 </w:t>
      </w:r>
      <w:r>
        <w:rPr>
          <w:sz w:val="24"/>
          <w:szCs w:val="24"/>
        </w:rPr>
        <w:t>。</w:t>
      </w:r>
    </w:p>
    <w:p>
      <w:pPr>
        <w:spacing w:line="360" w:lineRule="auto"/>
        <w:ind w:firstLine="477" w:firstLineChars="198"/>
        <w:outlineLvl w:val="0"/>
        <w:rPr>
          <w:b/>
          <w:sz w:val="24"/>
          <w:szCs w:val="24"/>
        </w:rPr>
      </w:pPr>
      <w:bookmarkStart w:id="80" w:name="_Toc491094756"/>
      <w:bookmarkStart w:id="81" w:name="_Toc536623950"/>
    </w:p>
    <w:p>
      <w:pPr>
        <w:spacing w:line="360" w:lineRule="auto"/>
        <w:ind w:firstLine="477" w:firstLineChars="198"/>
        <w:outlineLvl w:val="0"/>
        <w:rPr>
          <w:b/>
          <w:sz w:val="24"/>
          <w:szCs w:val="24"/>
        </w:rPr>
      </w:pPr>
    </w:p>
    <w:p>
      <w:pPr>
        <w:spacing w:line="360" w:lineRule="auto"/>
        <w:ind w:firstLine="477" w:firstLineChars="198"/>
        <w:outlineLvl w:val="0"/>
        <w:rPr>
          <w:b/>
          <w:sz w:val="24"/>
          <w:szCs w:val="24"/>
        </w:rPr>
      </w:pPr>
      <w:r>
        <w:rPr>
          <w:b/>
          <w:sz w:val="24"/>
          <w:szCs w:val="24"/>
        </w:rPr>
        <w:t>五、签约酬金</w:t>
      </w:r>
      <w:bookmarkEnd w:id="80"/>
      <w:bookmarkEnd w:id="81"/>
    </w:p>
    <w:p>
      <w:pPr>
        <w:adjustRightInd w:val="0"/>
        <w:snapToGrid w:val="0"/>
        <w:spacing w:line="360" w:lineRule="auto"/>
        <w:ind w:firstLine="475" w:firstLineChars="198"/>
        <w:rPr>
          <w:sz w:val="24"/>
          <w:szCs w:val="24"/>
        </w:rPr>
      </w:pPr>
      <w:r>
        <w:rPr>
          <w:sz w:val="24"/>
          <w:szCs w:val="24"/>
        </w:rPr>
        <w:t>签约酬金（大写）：</w:t>
      </w:r>
      <w:r>
        <w:rPr>
          <w:sz w:val="24"/>
          <w:szCs w:val="24"/>
          <w:u w:val="single"/>
        </w:rPr>
        <w:t xml:space="preserve">                            </w:t>
      </w:r>
      <w:r>
        <w:rPr>
          <w:sz w:val="24"/>
          <w:szCs w:val="24"/>
        </w:rPr>
        <w:t>（¥        ）。</w:t>
      </w:r>
    </w:p>
    <w:p>
      <w:pPr>
        <w:adjustRightInd w:val="0"/>
        <w:snapToGrid w:val="0"/>
        <w:spacing w:line="360" w:lineRule="auto"/>
        <w:ind w:firstLine="475" w:firstLineChars="198"/>
        <w:rPr>
          <w:sz w:val="24"/>
          <w:szCs w:val="24"/>
        </w:rPr>
      </w:pPr>
      <w:r>
        <w:rPr>
          <w:sz w:val="24"/>
          <w:szCs w:val="24"/>
        </w:rPr>
        <w:t>包括：</w:t>
      </w:r>
    </w:p>
    <w:p>
      <w:pPr>
        <w:adjustRightInd w:val="0"/>
        <w:snapToGrid w:val="0"/>
        <w:spacing w:line="360" w:lineRule="auto"/>
        <w:ind w:firstLine="600" w:firstLineChars="250"/>
        <w:rPr>
          <w:sz w:val="24"/>
          <w:szCs w:val="24"/>
        </w:rPr>
      </w:pPr>
      <w:r>
        <w:rPr>
          <w:sz w:val="24"/>
          <w:szCs w:val="24"/>
        </w:rPr>
        <w:t>1. 监理酬金：</w:t>
      </w:r>
      <w:r>
        <w:rPr>
          <w:sz w:val="24"/>
          <w:szCs w:val="24"/>
          <w:u w:val="single"/>
        </w:rPr>
        <w:t xml:space="preserve">                                 </w:t>
      </w:r>
      <w:r>
        <w:rPr>
          <w:sz w:val="24"/>
          <w:szCs w:val="24"/>
        </w:rPr>
        <w:t>。</w:t>
      </w:r>
    </w:p>
    <w:p>
      <w:pPr>
        <w:adjustRightInd w:val="0"/>
        <w:snapToGrid w:val="0"/>
        <w:spacing w:line="360" w:lineRule="auto"/>
        <w:ind w:firstLine="600" w:firstLineChars="250"/>
        <w:rPr>
          <w:sz w:val="24"/>
          <w:szCs w:val="24"/>
        </w:rPr>
      </w:pPr>
      <w:r>
        <w:rPr>
          <w:sz w:val="24"/>
          <w:szCs w:val="24"/>
        </w:rPr>
        <w:t>2. 相关服务酬金：</w:t>
      </w:r>
      <w:r>
        <w:rPr>
          <w:sz w:val="24"/>
          <w:szCs w:val="24"/>
          <w:u w:val="single"/>
        </w:rPr>
        <w:t xml:space="preserve">                            </w:t>
      </w:r>
      <w:r>
        <w:rPr>
          <w:sz w:val="24"/>
          <w:szCs w:val="24"/>
        </w:rPr>
        <w:t>。</w:t>
      </w:r>
    </w:p>
    <w:p>
      <w:pPr>
        <w:adjustRightInd w:val="0"/>
        <w:snapToGrid w:val="0"/>
        <w:spacing w:line="360" w:lineRule="auto"/>
        <w:ind w:left="420" w:leftChars="200" w:firstLine="600" w:firstLineChars="250"/>
        <w:rPr>
          <w:sz w:val="24"/>
          <w:szCs w:val="24"/>
        </w:rPr>
      </w:pPr>
      <w:r>
        <w:rPr>
          <w:sz w:val="24"/>
          <w:szCs w:val="24"/>
        </w:rPr>
        <w:t>其中：</w:t>
      </w:r>
    </w:p>
    <w:p>
      <w:pPr>
        <w:adjustRightInd w:val="0"/>
        <w:snapToGrid w:val="0"/>
        <w:spacing w:line="360" w:lineRule="auto"/>
        <w:ind w:firstLine="960" w:firstLineChars="400"/>
        <w:rPr>
          <w:sz w:val="24"/>
          <w:szCs w:val="24"/>
        </w:rPr>
      </w:pPr>
      <w:r>
        <w:rPr>
          <w:sz w:val="24"/>
          <w:szCs w:val="24"/>
        </w:rPr>
        <w:t>（1）</w:t>
      </w:r>
      <w:r>
        <w:rPr>
          <w:rFonts w:hint="eastAsia"/>
          <w:sz w:val="24"/>
          <w:szCs w:val="24"/>
        </w:rPr>
        <w:t>施工</w:t>
      </w:r>
      <w:r>
        <w:rPr>
          <w:sz w:val="24"/>
          <w:szCs w:val="24"/>
        </w:rPr>
        <w:t>阶段服务酬金：</w:t>
      </w:r>
      <w:r>
        <w:rPr>
          <w:sz w:val="24"/>
          <w:szCs w:val="24"/>
          <w:u w:val="single"/>
        </w:rPr>
        <w:t xml:space="preserve">                           </w:t>
      </w:r>
      <w:r>
        <w:rPr>
          <w:sz w:val="24"/>
          <w:szCs w:val="24"/>
        </w:rPr>
        <w:t>。</w:t>
      </w:r>
    </w:p>
    <w:p>
      <w:pPr>
        <w:adjustRightInd w:val="0"/>
        <w:snapToGrid w:val="0"/>
        <w:spacing w:line="360" w:lineRule="auto"/>
        <w:ind w:firstLine="960" w:firstLineChars="400"/>
        <w:rPr>
          <w:sz w:val="24"/>
          <w:szCs w:val="24"/>
        </w:rPr>
      </w:pPr>
      <w:r>
        <w:rPr>
          <w:sz w:val="24"/>
          <w:szCs w:val="24"/>
        </w:rPr>
        <w:t>（2）保修阶段服务酬金：</w:t>
      </w:r>
      <w:r>
        <w:rPr>
          <w:sz w:val="24"/>
          <w:szCs w:val="24"/>
          <w:u w:val="single"/>
        </w:rPr>
        <w:t xml:space="preserve">                           </w:t>
      </w:r>
      <w:r>
        <w:rPr>
          <w:sz w:val="24"/>
          <w:szCs w:val="24"/>
        </w:rPr>
        <w:t>。</w:t>
      </w:r>
    </w:p>
    <w:p>
      <w:pPr>
        <w:adjustRightInd w:val="0"/>
        <w:snapToGrid w:val="0"/>
        <w:spacing w:line="360" w:lineRule="auto"/>
        <w:ind w:firstLine="960" w:firstLineChars="400"/>
        <w:rPr>
          <w:sz w:val="24"/>
          <w:szCs w:val="24"/>
        </w:rPr>
      </w:pPr>
      <w:r>
        <w:rPr>
          <w:sz w:val="24"/>
          <w:szCs w:val="24"/>
        </w:rPr>
        <w:t>（</w:t>
      </w:r>
      <w:r>
        <w:rPr>
          <w:rFonts w:hint="eastAsia"/>
          <w:sz w:val="24"/>
          <w:szCs w:val="24"/>
        </w:rPr>
        <w:t>3</w:t>
      </w:r>
      <w:r>
        <w:rPr>
          <w:sz w:val="24"/>
          <w:szCs w:val="24"/>
        </w:rPr>
        <w:t>）其他相关服务酬金：</w:t>
      </w:r>
      <w:r>
        <w:rPr>
          <w:sz w:val="24"/>
          <w:szCs w:val="24"/>
          <w:u w:val="single"/>
        </w:rPr>
        <w:t xml:space="preserve">                           </w:t>
      </w:r>
      <w:r>
        <w:rPr>
          <w:sz w:val="24"/>
          <w:szCs w:val="24"/>
        </w:rPr>
        <w:t>。</w:t>
      </w:r>
    </w:p>
    <w:p>
      <w:pPr>
        <w:spacing w:line="360" w:lineRule="auto"/>
        <w:outlineLvl w:val="0"/>
        <w:rPr>
          <w:b/>
          <w:sz w:val="24"/>
          <w:szCs w:val="24"/>
        </w:rPr>
      </w:pPr>
      <w:bookmarkStart w:id="82" w:name="_Toc491094757"/>
      <w:bookmarkStart w:id="83" w:name="_Toc536623951"/>
      <w:r>
        <w:rPr>
          <w:rFonts w:hint="eastAsia"/>
          <w:b/>
          <w:sz w:val="24"/>
          <w:szCs w:val="24"/>
        </w:rPr>
        <w:t xml:space="preserve">    </w:t>
      </w:r>
      <w:r>
        <w:rPr>
          <w:b/>
          <w:sz w:val="24"/>
          <w:szCs w:val="24"/>
        </w:rPr>
        <w:t>六、期限</w:t>
      </w:r>
      <w:bookmarkEnd w:id="82"/>
      <w:bookmarkEnd w:id="83"/>
    </w:p>
    <w:p>
      <w:pPr>
        <w:adjustRightInd w:val="0"/>
        <w:snapToGrid w:val="0"/>
        <w:spacing w:line="360" w:lineRule="auto"/>
        <w:ind w:firstLine="600" w:firstLineChars="250"/>
        <w:rPr>
          <w:sz w:val="24"/>
          <w:szCs w:val="24"/>
        </w:rPr>
      </w:pPr>
      <w:r>
        <w:rPr>
          <w:sz w:val="24"/>
          <w:szCs w:val="24"/>
        </w:rPr>
        <w:t>1. 监理期限：</w:t>
      </w:r>
    </w:p>
    <w:p>
      <w:pPr>
        <w:adjustRightInd w:val="0"/>
        <w:snapToGrid w:val="0"/>
        <w:spacing w:line="360" w:lineRule="auto"/>
        <w:ind w:firstLine="600" w:firstLineChars="250"/>
        <w:rPr>
          <w:sz w:val="24"/>
          <w:szCs w:val="24"/>
        </w:rPr>
      </w:pPr>
      <w:r>
        <w:rPr>
          <w:sz w:val="24"/>
          <w:szCs w:val="24"/>
        </w:rPr>
        <w:t>自</w:t>
      </w:r>
      <w:r>
        <w:rPr>
          <w:sz w:val="24"/>
          <w:szCs w:val="24"/>
          <w:u w:val="single"/>
        </w:rPr>
        <w:t xml:space="preserve">      </w:t>
      </w:r>
      <w:r>
        <w:rPr>
          <w:sz w:val="24"/>
          <w:szCs w:val="24"/>
        </w:rPr>
        <w:t>年</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日始，至</w:t>
      </w:r>
      <w:r>
        <w:rPr>
          <w:sz w:val="24"/>
          <w:szCs w:val="24"/>
          <w:u w:val="single"/>
        </w:rPr>
        <w:t xml:space="preserve">       </w:t>
      </w:r>
      <w:r>
        <w:rPr>
          <w:sz w:val="24"/>
          <w:szCs w:val="24"/>
        </w:rPr>
        <w:t>年</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日止。</w:t>
      </w:r>
    </w:p>
    <w:p>
      <w:pPr>
        <w:adjustRightInd w:val="0"/>
        <w:snapToGrid w:val="0"/>
        <w:spacing w:line="360" w:lineRule="auto"/>
        <w:ind w:firstLine="600" w:firstLineChars="250"/>
        <w:rPr>
          <w:sz w:val="24"/>
          <w:szCs w:val="24"/>
        </w:rPr>
      </w:pPr>
      <w:r>
        <w:rPr>
          <w:sz w:val="24"/>
          <w:szCs w:val="24"/>
        </w:rPr>
        <w:t>2. 相关服务期限：</w:t>
      </w:r>
    </w:p>
    <w:p>
      <w:pPr>
        <w:adjustRightInd w:val="0"/>
        <w:snapToGrid w:val="0"/>
        <w:spacing w:line="480" w:lineRule="auto"/>
        <w:ind w:firstLine="600" w:firstLineChars="250"/>
        <w:rPr>
          <w:sz w:val="24"/>
          <w:szCs w:val="24"/>
        </w:rPr>
      </w:pPr>
      <w:r>
        <w:rPr>
          <w:sz w:val="24"/>
          <w:szCs w:val="24"/>
        </w:rPr>
        <w:t>（1）</w:t>
      </w:r>
      <w:r>
        <w:rPr>
          <w:rFonts w:hint="eastAsia"/>
          <w:sz w:val="24"/>
          <w:szCs w:val="24"/>
        </w:rPr>
        <w:t>施工</w:t>
      </w:r>
      <w:r>
        <w:rPr>
          <w:sz w:val="24"/>
          <w:szCs w:val="24"/>
        </w:rPr>
        <w:t>阶段服务期限自</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日始，至</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日止。</w:t>
      </w:r>
    </w:p>
    <w:p>
      <w:pPr>
        <w:adjustRightInd w:val="0"/>
        <w:snapToGrid w:val="0"/>
        <w:spacing w:line="480" w:lineRule="auto"/>
        <w:ind w:firstLine="600" w:firstLineChars="250"/>
        <w:rPr>
          <w:sz w:val="24"/>
          <w:szCs w:val="24"/>
        </w:rPr>
      </w:pPr>
      <w:r>
        <w:rPr>
          <w:sz w:val="24"/>
          <w:szCs w:val="24"/>
        </w:rPr>
        <w:t>（2）保修阶段服务期限自</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日始，至</w:t>
      </w:r>
      <w:r>
        <w:rPr>
          <w:sz w:val="24"/>
          <w:szCs w:val="24"/>
          <w:u w:val="single"/>
        </w:rPr>
        <w:t xml:space="preserve">    </w:t>
      </w:r>
      <w:r>
        <w:rPr>
          <w:sz w:val="24"/>
          <w:szCs w:val="24"/>
        </w:rPr>
        <w:t>年</w:t>
      </w:r>
      <w:r>
        <w:rPr>
          <w:sz w:val="24"/>
          <w:szCs w:val="24"/>
          <w:u w:val="single"/>
        </w:rPr>
        <w:t xml:space="preserve">   </w:t>
      </w:r>
      <w:r>
        <w:rPr>
          <w:rFonts w:hint="eastAsia"/>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日止。</w:t>
      </w:r>
    </w:p>
    <w:p>
      <w:pPr>
        <w:adjustRightInd w:val="0"/>
        <w:snapToGrid w:val="0"/>
        <w:spacing w:line="480" w:lineRule="auto"/>
        <w:ind w:firstLine="600" w:firstLineChars="250"/>
        <w:rPr>
          <w:sz w:val="24"/>
          <w:szCs w:val="24"/>
        </w:rPr>
      </w:pPr>
      <w:r>
        <w:rPr>
          <w:sz w:val="24"/>
          <w:szCs w:val="24"/>
        </w:rPr>
        <w:t>（</w:t>
      </w:r>
      <w:r>
        <w:rPr>
          <w:rFonts w:hint="eastAsia"/>
          <w:sz w:val="24"/>
          <w:szCs w:val="24"/>
        </w:rPr>
        <w:t>3</w:t>
      </w:r>
      <w:r>
        <w:rPr>
          <w:sz w:val="24"/>
          <w:szCs w:val="24"/>
        </w:rPr>
        <w:t>）其他相关服务期限自</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日始，至</w:t>
      </w:r>
      <w:r>
        <w:rPr>
          <w:sz w:val="24"/>
          <w:szCs w:val="24"/>
          <w:u w:val="single"/>
        </w:rPr>
        <w:t xml:space="preserve">   </w:t>
      </w:r>
      <w:r>
        <w:rPr>
          <w:rFonts w:hint="eastAsia"/>
          <w:sz w:val="24"/>
          <w:szCs w:val="24"/>
          <w:u w:val="single"/>
        </w:rPr>
        <w:t xml:space="preserve"> </w:t>
      </w:r>
      <w:r>
        <w:rPr>
          <w:sz w:val="24"/>
          <w:szCs w:val="24"/>
        </w:rPr>
        <w:t>年</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日止。</w:t>
      </w:r>
    </w:p>
    <w:p>
      <w:pPr>
        <w:spacing w:line="480" w:lineRule="auto"/>
        <w:outlineLvl w:val="0"/>
        <w:rPr>
          <w:b/>
          <w:sz w:val="24"/>
          <w:szCs w:val="24"/>
        </w:rPr>
      </w:pPr>
      <w:bookmarkStart w:id="84" w:name="_Toc536623952"/>
      <w:bookmarkStart w:id="85" w:name="_Toc491094758"/>
      <w:r>
        <w:rPr>
          <w:rFonts w:hint="eastAsia"/>
          <w:b/>
          <w:sz w:val="24"/>
          <w:szCs w:val="24"/>
        </w:rPr>
        <w:t xml:space="preserve">   </w:t>
      </w:r>
      <w:r>
        <w:rPr>
          <w:b/>
          <w:sz w:val="24"/>
          <w:szCs w:val="24"/>
        </w:rPr>
        <w:t>七、双方承诺</w:t>
      </w:r>
      <w:bookmarkEnd w:id="84"/>
      <w:bookmarkEnd w:id="85"/>
    </w:p>
    <w:p>
      <w:pPr>
        <w:spacing w:line="360" w:lineRule="auto"/>
        <w:ind w:firstLine="475" w:firstLineChars="198"/>
        <w:outlineLvl w:val="0"/>
        <w:rPr>
          <w:b/>
          <w:sz w:val="24"/>
          <w:szCs w:val="24"/>
        </w:rPr>
      </w:pPr>
      <w:bookmarkStart w:id="86" w:name="_Toc341360879"/>
      <w:bookmarkStart w:id="87" w:name="_Toc491094759"/>
      <w:bookmarkStart w:id="88" w:name="_Toc429866595"/>
      <w:bookmarkStart w:id="89" w:name="_Toc536623953"/>
      <w:bookmarkStart w:id="90" w:name="_Toc26101"/>
      <w:r>
        <w:rPr>
          <w:sz w:val="24"/>
          <w:szCs w:val="24"/>
        </w:rPr>
        <w:t>1. 监理人向委托人承诺，按照本合同约定提供监理与相关服务。</w:t>
      </w:r>
      <w:bookmarkEnd w:id="86"/>
      <w:bookmarkEnd w:id="87"/>
      <w:bookmarkEnd w:id="88"/>
      <w:bookmarkEnd w:id="89"/>
      <w:bookmarkEnd w:id="90"/>
    </w:p>
    <w:p>
      <w:pPr>
        <w:spacing w:line="360" w:lineRule="auto"/>
        <w:ind w:firstLine="475" w:firstLineChars="198"/>
        <w:outlineLvl w:val="0"/>
        <w:rPr>
          <w:sz w:val="24"/>
          <w:szCs w:val="24"/>
        </w:rPr>
      </w:pPr>
      <w:bookmarkStart w:id="91" w:name="_Toc6851"/>
      <w:bookmarkStart w:id="92" w:name="_Toc341360880"/>
      <w:bookmarkStart w:id="93" w:name="_Toc491094760"/>
      <w:bookmarkStart w:id="94" w:name="_Toc536623954"/>
      <w:bookmarkStart w:id="95" w:name="_Toc429866596"/>
      <w:r>
        <w:rPr>
          <w:sz w:val="24"/>
          <w:szCs w:val="24"/>
        </w:rPr>
        <w:t>2. 委托人向监理人承诺，按照本合同约定派遣相应的人员，提供</w:t>
      </w:r>
      <w:r>
        <w:rPr>
          <w:bCs/>
          <w:sz w:val="24"/>
          <w:szCs w:val="24"/>
        </w:rPr>
        <w:t>房屋、资料</w:t>
      </w:r>
      <w:r>
        <w:rPr>
          <w:sz w:val="24"/>
          <w:szCs w:val="24"/>
        </w:rPr>
        <w:t>、设备，并按本合同约定支付酬金。</w:t>
      </w:r>
      <w:bookmarkEnd w:id="91"/>
      <w:bookmarkEnd w:id="92"/>
      <w:bookmarkEnd w:id="93"/>
      <w:bookmarkEnd w:id="94"/>
      <w:bookmarkEnd w:id="95"/>
    </w:p>
    <w:p>
      <w:pPr>
        <w:spacing w:line="360" w:lineRule="auto"/>
        <w:ind w:firstLine="477" w:firstLineChars="198"/>
        <w:outlineLvl w:val="0"/>
        <w:rPr>
          <w:b/>
          <w:sz w:val="24"/>
          <w:szCs w:val="24"/>
        </w:rPr>
      </w:pPr>
      <w:bookmarkStart w:id="96" w:name="_Toc536623955"/>
      <w:bookmarkStart w:id="97" w:name="_Toc491094761"/>
      <w:r>
        <w:rPr>
          <w:b/>
          <w:sz w:val="24"/>
          <w:szCs w:val="24"/>
        </w:rPr>
        <w:t>八、合同订立</w:t>
      </w:r>
      <w:bookmarkEnd w:id="96"/>
      <w:bookmarkEnd w:id="97"/>
    </w:p>
    <w:p>
      <w:pPr>
        <w:adjustRightInd w:val="0"/>
        <w:snapToGrid w:val="0"/>
        <w:spacing w:line="360" w:lineRule="auto"/>
        <w:ind w:firstLine="475" w:firstLineChars="198"/>
        <w:rPr>
          <w:sz w:val="24"/>
          <w:szCs w:val="24"/>
        </w:rPr>
      </w:pPr>
      <w:r>
        <w:rPr>
          <w:sz w:val="24"/>
          <w:szCs w:val="24"/>
        </w:rPr>
        <w:t>1. 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pPr>
        <w:adjustRightInd w:val="0"/>
        <w:snapToGrid w:val="0"/>
        <w:spacing w:line="360" w:lineRule="auto"/>
        <w:ind w:firstLine="475" w:firstLineChars="198"/>
        <w:rPr>
          <w:sz w:val="24"/>
          <w:szCs w:val="24"/>
        </w:rPr>
      </w:pPr>
      <w:r>
        <w:rPr>
          <w:sz w:val="24"/>
          <w:szCs w:val="24"/>
        </w:rPr>
        <w:t>2. 订立地点：</w:t>
      </w:r>
      <w:r>
        <w:rPr>
          <w:sz w:val="24"/>
          <w:szCs w:val="24"/>
          <w:u w:val="single"/>
        </w:rPr>
        <w:t xml:space="preserve">                             </w:t>
      </w:r>
      <w:r>
        <w:rPr>
          <w:sz w:val="24"/>
          <w:szCs w:val="24"/>
        </w:rPr>
        <w:t>。</w:t>
      </w:r>
    </w:p>
    <w:p>
      <w:pPr>
        <w:adjustRightInd w:val="0"/>
        <w:snapToGrid w:val="0"/>
        <w:spacing w:line="360" w:lineRule="auto"/>
        <w:rPr>
          <w:sz w:val="24"/>
          <w:szCs w:val="24"/>
        </w:rPr>
      </w:pPr>
      <w:r>
        <w:rPr>
          <w:rFonts w:hint="eastAsia"/>
          <w:sz w:val="24"/>
          <w:szCs w:val="24"/>
        </w:rPr>
        <w:t xml:space="preserve">    </w:t>
      </w:r>
      <w:r>
        <w:rPr>
          <w:sz w:val="24"/>
          <w:szCs w:val="24"/>
        </w:rPr>
        <w:t>3. 本合同一式</w:t>
      </w:r>
      <w:r>
        <w:rPr>
          <w:sz w:val="24"/>
          <w:szCs w:val="24"/>
          <w:u w:val="single"/>
        </w:rPr>
        <w:t xml:space="preserve">    </w:t>
      </w:r>
      <w:r>
        <w:rPr>
          <w:sz w:val="24"/>
          <w:szCs w:val="24"/>
        </w:rPr>
        <w:t>份，具有同等法律效力，双方各执</w:t>
      </w:r>
      <w:r>
        <w:rPr>
          <w:sz w:val="24"/>
          <w:szCs w:val="24"/>
          <w:u w:val="single"/>
        </w:rPr>
        <w:t xml:space="preserve">     </w:t>
      </w:r>
      <w:r>
        <w:rPr>
          <w:sz w:val="24"/>
          <w:szCs w:val="24"/>
        </w:rPr>
        <w:t>份。</w:t>
      </w:r>
    </w:p>
    <w:p>
      <w:pPr>
        <w:adjustRightInd w:val="0"/>
        <w:snapToGrid w:val="0"/>
        <w:spacing w:line="360" w:lineRule="auto"/>
        <w:ind w:firstLine="475" w:firstLineChars="198"/>
        <w:rPr>
          <w:sz w:val="24"/>
          <w:szCs w:val="24"/>
        </w:rPr>
      </w:pPr>
    </w:p>
    <w:p>
      <w:pPr>
        <w:pStyle w:val="16"/>
        <w:ind w:firstLine="240"/>
        <w:rPr>
          <w:sz w:val="24"/>
          <w:szCs w:val="24"/>
        </w:rPr>
      </w:pPr>
    </w:p>
    <w:p>
      <w:pPr>
        <w:pStyle w:val="4"/>
        <w:ind w:firstLine="480"/>
        <w:rPr>
          <w:sz w:val="24"/>
          <w:szCs w:val="24"/>
        </w:rPr>
      </w:pPr>
    </w:p>
    <w:p/>
    <w:p>
      <w:pPr>
        <w:adjustRightInd w:val="0"/>
        <w:snapToGrid w:val="0"/>
        <w:spacing w:line="360" w:lineRule="auto"/>
        <w:ind w:firstLine="475" w:firstLineChars="198"/>
        <w:rPr>
          <w:sz w:val="24"/>
          <w:szCs w:val="24"/>
        </w:rPr>
      </w:pPr>
    </w:p>
    <w:p>
      <w:pPr>
        <w:adjustRightInd w:val="0"/>
        <w:snapToGrid w:val="0"/>
        <w:spacing w:line="360" w:lineRule="auto"/>
        <w:ind w:firstLine="475" w:firstLineChars="198"/>
        <w:rPr>
          <w:sz w:val="24"/>
          <w:szCs w:val="24"/>
        </w:rPr>
      </w:pPr>
      <w:r>
        <w:rPr>
          <w:sz w:val="24"/>
          <w:szCs w:val="24"/>
        </w:rPr>
        <w:t>委托人：</w:t>
      </w:r>
      <w:r>
        <w:rPr>
          <w:sz w:val="24"/>
          <w:szCs w:val="24"/>
          <w:u w:val="single"/>
        </w:rPr>
        <w:t xml:space="preserve">   （盖章）    </w:t>
      </w:r>
      <w:r>
        <w:rPr>
          <w:rFonts w:hint="eastAsia"/>
          <w:sz w:val="24"/>
          <w:szCs w:val="24"/>
          <w:u w:val="single"/>
        </w:rPr>
        <w:t xml:space="preserve">     </w:t>
      </w:r>
      <w:r>
        <w:rPr>
          <w:sz w:val="24"/>
          <w:szCs w:val="24"/>
        </w:rPr>
        <w:t xml:space="preserve">  </w:t>
      </w:r>
      <w:r>
        <w:rPr>
          <w:rFonts w:hint="eastAsia"/>
          <w:sz w:val="24"/>
          <w:szCs w:val="24"/>
        </w:rPr>
        <w:t xml:space="preserve">  </w:t>
      </w:r>
      <w:r>
        <w:rPr>
          <w:sz w:val="24"/>
          <w:szCs w:val="24"/>
        </w:rPr>
        <w:t>监</w:t>
      </w:r>
      <w:r>
        <w:rPr>
          <w:rFonts w:hint="eastAsia"/>
          <w:sz w:val="24"/>
          <w:szCs w:val="24"/>
        </w:rPr>
        <w:t xml:space="preserve"> </w:t>
      </w:r>
      <w:r>
        <w:rPr>
          <w:sz w:val="24"/>
          <w:szCs w:val="24"/>
        </w:rPr>
        <w:t>理</w:t>
      </w:r>
      <w:r>
        <w:rPr>
          <w:rFonts w:hint="eastAsia"/>
          <w:sz w:val="24"/>
          <w:szCs w:val="24"/>
        </w:rPr>
        <w:t xml:space="preserve"> </w:t>
      </w:r>
      <w:r>
        <w:rPr>
          <w:sz w:val="24"/>
          <w:szCs w:val="24"/>
        </w:rPr>
        <w:t>人：</w:t>
      </w:r>
      <w:r>
        <w:rPr>
          <w:sz w:val="24"/>
          <w:szCs w:val="24"/>
          <w:u w:val="single"/>
        </w:rPr>
        <w:t xml:space="preserve">   （盖章）  </w:t>
      </w:r>
      <w:r>
        <w:rPr>
          <w:rFonts w:hint="eastAsia"/>
          <w:sz w:val="24"/>
          <w:szCs w:val="24"/>
          <w:u w:val="single"/>
        </w:rPr>
        <w:t xml:space="preserve">     </w:t>
      </w:r>
      <w:r>
        <w:rPr>
          <w:sz w:val="24"/>
          <w:szCs w:val="24"/>
          <w:u w:val="single"/>
        </w:rPr>
        <w:t xml:space="preserve">  </w:t>
      </w:r>
    </w:p>
    <w:p>
      <w:pPr>
        <w:adjustRightInd w:val="0"/>
        <w:snapToGrid w:val="0"/>
        <w:spacing w:line="360" w:lineRule="auto"/>
        <w:ind w:firstLine="475" w:firstLineChars="198"/>
        <w:rPr>
          <w:sz w:val="24"/>
          <w:szCs w:val="24"/>
        </w:rPr>
      </w:pPr>
      <w:r>
        <w:rPr>
          <w:sz w:val="24"/>
          <w:szCs w:val="24"/>
        </w:rPr>
        <w:t xml:space="preserve">住所：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住</w:t>
      </w:r>
      <w:r>
        <w:rPr>
          <w:rFonts w:hint="eastAsia"/>
          <w:sz w:val="24"/>
          <w:szCs w:val="24"/>
        </w:rPr>
        <w:t xml:space="preserve">    </w:t>
      </w:r>
      <w:r>
        <w:rPr>
          <w:sz w:val="24"/>
          <w:szCs w:val="24"/>
        </w:rPr>
        <w:t>所：</w:t>
      </w:r>
      <w:r>
        <w:rPr>
          <w:sz w:val="24"/>
          <w:szCs w:val="24"/>
          <w:u w:val="single"/>
        </w:rPr>
        <w:t xml:space="preserve">                 </w:t>
      </w:r>
      <w:r>
        <w:rPr>
          <w:rFonts w:hint="eastAsia"/>
          <w:sz w:val="24"/>
          <w:szCs w:val="24"/>
          <w:u w:val="single"/>
        </w:rPr>
        <w:t xml:space="preserve">    </w:t>
      </w:r>
    </w:p>
    <w:p>
      <w:pPr>
        <w:adjustRightInd w:val="0"/>
        <w:snapToGrid w:val="0"/>
        <w:spacing w:line="360" w:lineRule="auto"/>
        <w:ind w:firstLine="480" w:firstLineChars="200"/>
        <w:rPr>
          <w:sz w:val="24"/>
          <w:szCs w:val="24"/>
        </w:rPr>
      </w:pPr>
      <w:r>
        <w:rPr>
          <w:sz w:val="24"/>
          <w:szCs w:val="24"/>
        </w:rPr>
        <w:t>邮政编码：</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rFonts w:hint="eastAsia"/>
          <w:sz w:val="24"/>
          <w:szCs w:val="24"/>
        </w:rPr>
        <w:t xml:space="preserve"> </w:t>
      </w:r>
      <w:r>
        <w:rPr>
          <w:sz w:val="24"/>
          <w:szCs w:val="24"/>
        </w:rPr>
        <w:t>邮政编码：</w:t>
      </w:r>
      <w:r>
        <w:rPr>
          <w:sz w:val="24"/>
          <w:szCs w:val="24"/>
          <w:u w:val="single"/>
        </w:rPr>
        <w:t xml:space="preserve">               </w:t>
      </w:r>
      <w:r>
        <w:rPr>
          <w:rFonts w:hint="eastAsia"/>
          <w:sz w:val="24"/>
          <w:szCs w:val="24"/>
          <w:u w:val="single"/>
        </w:rPr>
        <w:t xml:space="preserve">    </w:t>
      </w:r>
      <w:r>
        <w:rPr>
          <w:sz w:val="24"/>
          <w:szCs w:val="24"/>
          <w:u w:val="single"/>
        </w:rPr>
        <w:t xml:space="preserve">  </w:t>
      </w:r>
    </w:p>
    <w:p>
      <w:pPr>
        <w:adjustRightInd w:val="0"/>
        <w:snapToGrid w:val="0"/>
        <w:spacing w:line="480" w:lineRule="auto"/>
        <w:ind w:firstLine="475" w:firstLineChars="198"/>
        <w:rPr>
          <w:sz w:val="24"/>
          <w:szCs w:val="24"/>
        </w:rPr>
      </w:pPr>
      <w:r>
        <w:rPr>
          <w:sz w:val="24"/>
          <w:szCs w:val="24"/>
        </w:rPr>
        <w:t xml:space="preserve">法定代表人或其授权       </w:t>
      </w:r>
      <w:r>
        <w:rPr>
          <w:rFonts w:hint="eastAsia"/>
          <w:sz w:val="24"/>
          <w:szCs w:val="24"/>
        </w:rPr>
        <w:t xml:space="preserve">         </w:t>
      </w:r>
      <w:r>
        <w:rPr>
          <w:sz w:val="24"/>
          <w:szCs w:val="24"/>
        </w:rPr>
        <w:t>法定代表人或其授权</w:t>
      </w:r>
    </w:p>
    <w:p>
      <w:pPr>
        <w:adjustRightInd w:val="0"/>
        <w:snapToGrid w:val="0"/>
        <w:spacing w:line="480" w:lineRule="auto"/>
        <w:ind w:firstLine="475" w:firstLineChars="198"/>
        <w:rPr>
          <w:sz w:val="24"/>
          <w:szCs w:val="24"/>
        </w:rPr>
      </w:pPr>
      <w:r>
        <w:rPr>
          <w:sz w:val="24"/>
          <w:szCs w:val="24"/>
        </w:rPr>
        <w:t>的代理人：</w:t>
      </w:r>
      <w:r>
        <w:rPr>
          <w:sz w:val="24"/>
          <w:szCs w:val="24"/>
          <w:u w:val="single"/>
        </w:rPr>
        <w:t xml:space="preserve">（签字）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rFonts w:hint="eastAsia"/>
          <w:sz w:val="24"/>
          <w:szCs w:val="24"/>
        </w:rPr>
        <w:t xml:space="preserve">    </w:t>
      </w:r>
      <w:r>
        <w:rPr>
          <w:sz w:val="24"/>
          <w:szCs w:val="24"/>
        </w:rPr>
        <w:t>的代理人：</w:t>
      </w:r>
      <w:r>
        <w:rPr>
          <w:sz w:val="24"/>
          <w:szCs w:val="24"/>
          <w:u w:val="single"/>
        </w:rPr>
        <w:t xml:space="preserve">（签字）         </w:t>
      </w:r>
      <w:r>
        <w:rPr>
          <w:rFonts w:hint="eastAsia"/>
          <w:sz w:val="24"/>
          <w:szCs w:val="24"/>
          <w:u w:val="single"/>
        </w:rPr>
        <w:t xml:space="preserve">     </w:t>
      </w:r>
      <w:r>
        <w:rPr>
          <w:sz w:val="24"/>
          <w:szCs w:val="24"/>
          <w:u w:val="single"/>
        </w:rPr>
        <w:t xml:space="preserve"> </w:t>
      </w:r>
    </w:p>
    <w:p>
      <w:pPr>
        <w:adjustRightInd w:val="0"/>
        <w:snapToGrid w:val="0"/>
        <w:spacing w:line="480" w:lineRule="auto"/>
        <w:ind w:firstLine="475" w:firstLineChars="198"/>
        <w:rPr>
          <w:sz w:val="24"/>
          <w:szCs w:val="24"/>
        </w:rPr>
      </w:pPr>
      <w:r>
        <w:rPr>
          <w:sz w:val="24"/>
          <w:szCs w:val="24"/>
        </w:rPr>
        <w:t>开户银行：</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rFonts w:hint="eastAsia"/>
          <w:sz w:val="24"/>
          <w:szCs w:val="24"/>
        </w:rPr>
        <w:t xml:space="preserve">  </w:t>
      </w:r>
      <w:r>
        <w:rPr>
          <w:sz w:val="24"/>
          <w:szCs w:val="24"/>
        </w:rPr>
        <w:t>开户银行：</w:t>
      </w:r>
      <w:r>
        <w:rPr>
          <w:sz w:val="24"/>
          <w:szCs w:val="24"/>
          <w:u w:val="single"/>
        </w:rPr>
        <w:t xml:space="preserve">                 </w:t>
      </w:r>
      <w:r>
        <w:rPr>
          <w:rFonts w:hint="eastAsia"/>
          <w:sz w:val="24"/>
          <w:szCs w:val="24"/>
          <w:u w:val="single"/>
        </w:rPr>
        <w:t xml:space="preserve">    </w:t>
      </w:r>
      <w:r>
        <w:rPr>
          <w:sz w:val="24"/>
          <w:szCs w:val="24"/>
          <w:u w:val="single"/>
        </w:rPr>
        <w:t xml:space="preserve"> </w:t>
      </w:r>
    </w:p>
    <w:p>
      <w:pPr>
        <w:adjustRightInd w:val="0"/>
        <w:snapToGrid w:val="0"/>
        <w:spacing w:line="480" w:lineRule="auto"/>
        <w:ind w:firstLine="475" w:firstLineChars="198"/>
        <w:rPr>
          <w:sz w:val="24"/>
          <w:szCs w:val="24"/>
        </w:rPr>
      </w:pPr>
      <w:r>
        <w:rPr>
          <w:sz w:val="24"/>
          <w:szCs w:val="24"/>
        </w:rPr>
        <w:t>账</w:t>
      </w:r>
      <w:r>
        <w:rPr>
          <w:rFonts w:hint="eastAsia"/>
          <w:sz w:val="24"/>
          <w:szCs w:val="24"/>
        </w:rPr>
        <w:t xml:space="preserve">    </w:t>
      </w:r>
      <w:r>
        <w:rPr>
          <w:sz w:val="24"/>
          <w:szCs w:val="24"/>
        </w:rPr>
        <w:t>号：</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rPr>
        <w:t xml:space="preserve"> </w:t>
      </w:r>
      <w:r>
        <w:rPr>
          <w:rFonts w:hint="eastAsia"/>
          <w:sz w:val="24"/>
          <w:szCs w:val="24"/>
        </w:rPr>
        <w:t xml:space="preserve">    </w:t>
      </w:r>
      <w:r>
        <w:rPr>
          <w:sz w:val="24"/>
          <w:szCs w:val="24"/>
        </w:rPr>
        <w:t>账</w:t>
      </w:r>
      <w:r>
        <w:rPr>
          <w:rFonts w:hint="eastAsia"/>
          <w:sz w:val="24"/>
          <w:szCs w:val="24"/>
        </w:rPr>
        <w:t xml:space="preserve">    </w:t>
      </w:r>
      <w:r>
        <w:rPr>
          <w:sz w:val="24"/>
          <w:szCs w:val="24"/>
        </w:rPr>
        <w:t>号：</w:t>
      </w:r>
      <w:r>
        <w:rPr>
          <w:sz w:val="24"/>
          <w:szCs w:val="24"/>
          <w:u w:val="single"/>
        </w:rPr>
        <w:t xml:space="preserve">                      </w:t>
      </w:r>
    </w:p>
    <w:p>
      <w:pPr>
        <w:adjustRightInd w:val="0"/>
        <w:snapToGrid w:val="0"/>
        <w:spacing w:line="480" w:lineRule="auto"/>
        <w:ind w:firstLine="475" w:firstLineChars="198"/>
        <w:rPr>
          <w:sz w:val="24"/>
          <w:szCs w:val="24"/>
        </w:rPr>
      </w:pPr>
      <w:r>
        <w:rPr>
          <w:sz w:val="24"/>
          <w:szCs w:val="24"/>
        </w:rPr>
        <w:t>电</w:t>
      </w:r>
      <w:r>
        <w:rPr>
          <w:rFonts w:hint="eastAsia"/>
          <w:sz w:val="24"/>
          <w:szCs w:val="24"/>
        </w:rPr>
        <w:t xml:space="preserve">    </w:t>
      </w:r>
      <w:r>
        <w:rPr>
          <w:sz w:val="24"/>
          <w:szCs w:val="24"/>
        </w:rPr>
        <w:t>话：</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rFonts w:hint="eastAsia"/>
          <w:sz w:val="24"/>
          <w:szCs w:val="24"/>
        </w:rPr>
        <w:t xml:space="preserve">    </w:t>
      </w:r>
      <w:r>
        <w:rPr>
          <w:sz w:val="24"/>
          <w:szCs w:val="24"/>
        </w:rPr>
        <w:t>电</w:t>
      </w:r>
      <w:r>
        <w:rPr>
          <w:rFonts w:hint="eastAsia"/>
          <w:sz w:val="24"/>
          <w:szCs w:val="24"/>
        </w:rPr>
        <w:t xml:space="preserve">    </w:t>
      </w:r>
      <w:r>
        <w:rPr>
          <w:sz w:val="24"/>
          <w:szCs w:val="24"/>
        </w:rPr>
        <w:t>话：</w:t>
      </w:r>
      <w:r>
        <w:rPr>
          <w:sz w:val="24"/>
          <w:szCs w:val="24"/>
          <w:u w:val="single"/>
        </w:rPr>
        <w:t xml:space="preserve">                      </w:t>
      </w:r>
    </w:p>
    <w:p>
      <w:pPr>
        <w:adjustRightInd w:val="0"/>
        <w:snapToGrid w:val="0"/>
        <w:spacing w:line="480" w:lineRule="auto"/>
        <w:ind w:firstLine="475" w:firstLineChars="198"/>
        <w:rPr>
          <w:sz w:val="24"/>
          <w:szCs w:val="24"/>
        </w:rPr>
      </w:pPr>
      <w:r>
        <w:rPr>
          <w:sz w:val="24"/>
          <w:szCs w:val="24"/>
        </w:rPr>
        <w:t>传</w:t>
      </w:r>
      <w:r>
        <w:rPr>
          <w:rFonts w:hint="eastAsia"/>
          <w:sz w:val="24"/>
          <w:szCs w:val="24"/>
        </w:rPr>
        <w:t xml:space="preserve">    </w:t>
      </w:r>
      <w:r>
        <w:rPr>
          <w:sz w:val="24"/>
          <w:szCs w:val="24"/>
        </w:rPr>
        <w:t>真：</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rFonts w:hint="eastAsia"/>
          <w:sz w:val="24"/>
          <w:szCs w:val="24"/>
        </w:rPr>
        <w:t xml:space="preserve">   </w:t>
      </w:r>
      <w:r>
        <w:rPr>
          <w:sz w:val="24"/>
          <w:szCs w:val="24"/>
        </w:rPr>
        <w:t>传</w:t>
      </w:r>
      <w:r>
        <w:rPr>
          <w:rFonts w:hint="eastAsia"/>
          <w:sz w:val="24"/>
          <w:szCs w:val="24"/>
        </w:rPr>
        <w:t xml:space="preserve">    </w:t>
      </w:r>
      <w:r>
        <w:rPr>
          <w:sz w:val="24"/>
          <w:szCs w:val="24"/>
        </w:rPr>
        <w:t>真：</w:t>
      </w:r>
      <w:r>
        <w:rPr>
          <w:sz w:val="24"/>
          <w:szCs w:val="24"/>
          <w:u w:val="single"/>
        </w:rPr>
        <w:t xml:space="preserve">                      </w:t>
      </w:r>
    </w:p>
    <w:p>
      <w:pPr>
        <w:adjustRightInd w:val="0"/>
        <w:snapToGrid w:val="0"/>
        <w:spacing w:line="480" w:lineRule="auto"/>
        <w:ind w:firstLine="475" w:firstLineChars="198"/>
        <w:rPr>
          <w:sz w:val="24"/>
          <w:szCs w:val="24"/>
        </w:rPr>
      </w:pPr>
      <w:r>
        <w:rPr>
          <w:sz w:val="24"/>
          <w:szCs w:val="24"/>
        </w:rPr>
        <w:t>电子邮箱：</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rFonts w:hint="eastAsia"/>
          <w:sz w:val="24"/>
          <w:szCs w:val="24"/>
        </w:rPr>
        <w:t xml:space="preserve">   </w:t>
      </w:r>
      <w:r>
        <w:rPr>
          <w:sz w:val="24"/>
          <w:szCs w:val="24"/>
        </w:rPr>
        <w:t>电子邮箱：</w:t>
      </w:r>
      <w:r>
        <w:rPr>
          <w:sz w:val="24"/>
          <w:szCs w:val="24"/>
          <w:u w:val="single"/>
        </w:rPr>
        <w:t xml:space="preserve">            </w:t>
      </w:r>
      <w:r>
        <w:rPr>
          <w:rFonts w:hint="eastAsia"/>
          <w:sz w:val="24"/>
          <w:szCs w:val="24"/>
          <w:u w:val="single"/>
        </w:rPr>
        <w:t xml:space="preserve">    </w:t>
      </w:r>
      <w:r>
        <w:rPr>
          <w:sz w:val="24"/>
          <w:szCs w:val="24"/>
          <w:u w:val="single"/>
        </w:rPr>
        <w:t xml:space="preserve">      </w:t>
      </w:r>
    </w:p>
    <w:p>
      <w:pPr>
        <w:adjustRightInd w:val="0"/>
        <w:snapToGrid w:val="0"/>
        <w:spacing w:line="360" w:lineRule="auto"/>
        <w:ind w:firstLine="475" w:firstLineChars="198"/>
        <w:rPr>
          <w:sz w:val="24"/>
          <w:szCs w:val="24"/>
          <w:u w:val="single"/>
        </w:rPr>
      </w:pPr>
      <w:r>
        <w:rPr>
          <w:sz w:val="24"/>
          <w:szCs w:val="24"/>
        </w:rPr>
        <w:t> </w:t>
      </w:r>
    </w:p>
    <w:p>
      <w:pPr>
        <w:pageBreakBefore/>
        <w:tabs>
          <w:tab w:val="left" w:pos="1275"/>
          <w:tab w:val="center" w:pos="4819"/>
        </w:tabs>
        <w:spacing w:line="360" w:lineRule="auto"/>
        <w:rPr>
          <w:b/>
          <w:sz w:val="24"/>
          <w:szCs w:val="24"/>
        </w:rPr>
      </w:pPr>
      <w:r>
        <w:rPr>
          <w:b/>
          <w:sz w:val="24"/>
          <w:szCs w:val="24"/>
        </w:rPr>
        <w:tab/>
      </w:r>
      <w:r>
        <w:rPr>
          <w:b/>
          <w:sz w:val="24"/>
          <w:szCs w:val="24"/>
        </w:rPr>
        <w:tab/>
      </w:r>
      <w:r>
        <w:rPr>
          <w:b/>
          <w:sz w:val="24"/>
          <w:szCs w:val="24"/>
        </w:rPr>
        <w:t>第二部分  通用条件</w:t>
      </w:r>
    </w:p>
    <w:p>
      <w:pPr>
        <w:spacing w:line="360" w:lineRule="auto"/>
        <w:rPr>
          <w:sz w:val="24"/>
          <w:szCs w:val="24"/>
        </w:rPr>
      </w:pPr>
      <w:r>
        <w:rPr>
          <w:sz w:val="24"/>
          <w:szCs w:val="24"/>
        </w:rPr>
        <w:t>1. 定义与解释</w:t>
      </w:r>
    </w:p>
    <w:p>
      <w:pPr>
        <w:spacing w:line="360" w:lineRule="auto"/>
        <w:ind w:firstLine="480" w:firstLineChars="200"/>
        <w:rPr>
          <w:bCs/>
          <w:sz w:val="24"/>
          <w:szCs w:val="24"/>
        </w:rPr>
      </w:pPr>
      <w:r>
        <w:rPr>
          <w:sz w:val="24"/>
          <w:szCs w:val="24"/>
        </w:rPr>
        <w:t xml:space="preserve">1.1 </w:t>
      </w:r>
      <w:r>
        <w:rPr>
          <w:bCs/>
          <w:sz w:val="24"/>
          <w:szCs w:val="24"/>
        </w:rPr>
        <w:t>定义</w:t>
      </w:r>
    </w:p>
    <w:p>
      <w:pPr>
        <w:adjustRightInd w:val="0"/>
        <w:snapToGrid w:val="0"/>
        <w:spacing w:line="360" w:lineRule="auto"/>
        <w:ind w:firstLine="480" w:firstLineChars="200"/>
        <w:rPr>
          <w:sz w:val="24"/>
          <w:szCs w:val="24"/>
        </w:rPr>
      </w:pPr>
      <w:r>
        <w:rPr>
          <w:sz w:val="24"/>
          <w:szCs w:val="24"/>
        </w:rPr>
        <w:t>除根据上下文另有其意义外，组成本合同的全部文件中的下列名词和用语应具有本款所赋予的含义：</w:t>
      </w:r>
    </w:p>
    <w:p>
      <w:pPr>
        <w:adjustRightInd w:val="0"/>
        <w:snapToGrid w:val="0"/>
        <w:spacing w:line="360" w:lineRule="auto"/>
        <w:ind w:firstLine="480" w:firstLineChars="200"/>
        <w:rPr>
          <w:sz w:val="24"/>
          <w:szCs w:val="24"/>
        </w:rPr>
      </w:pPr>
      <w:r>
        <w:rPr>
          <w:sz w:val="24"/>
          <w:szCs w:val="24"/>
        </w:rPr>
        <w:t>1.1.1 “工程”是指按照本合同约定实施监理与相关服务的建设工程。</w:t>
      </w:r>
    </w:p>
    <w:p>
      <w:pPr>
        <w:adjustRightInd w:val="0"/>
        <w:snapToGrid w:val="0"/>
        <w:spacing w:line="360" w:lineRule="auto"/>
        <w:ind w:firstLine="480" w:firstLineChars="200"/>
        <w:rPr>
          <w:sz w:val="24"/>
          <w:szCs w:val="24"/>
        </w:rPr>
      </w:pPr>
      <w:r>
        <w:rPr>
          <w:sz w:val="24"/>
          <w:szCs w:val="24"/>
        </w:rPr>
        <w:t>1.1.2 “委托人”是指本合同中委托监理与相关服务的一方，及其合法的继承人或受让人。</w:t>
      </w:r>
    </w:p>
    <w:p>
      <w:pPr>
        <w:adjustRightInd w:val="0"/>
        <w:snapToGrid w:val="0"/>
        <w:spacing w:line="360" w:lineRule="auto"/>
        <w:ind w:firstLine="480" w:firstLineChars="200"/>
        <w:rPr>
          <w:sz w:val="24"/>
          <w:szCs w:val="24"/>
        </w:rPr>
      </w:pPr>
      <w:r>
        <w:rPr>
          <w:sz w:val="24"/>
          <w:szCs w:val="24"/>
        </w:rPr>
        <w:t>1.1.3 “监理人”是指本合同中提供监理与相关服务的一方，及其合法的继承人。</w:t>
      </w:r>
    </w:p>
    <w:p>
      <w:pPr>
        <w:adjustRightInd w:val="0"/>
        <w:snapToGrid w:val="0"/>
        <w:spacing w:line="360" w:lineRule="auto"/>
        <w:ind w:firstLine="480" w:firstLineChars="200"/>
        <w:rPr>
          <w:sz w:val="24"/>
          <w:szCs w:val="24"/>
        </w:rPr>
      </w:pPr>
      <w:r>
        <w:rPr>
          <w:sz w:val="24"/>
          <w:szCs w:val="24"/>
        </w:rPr>
        <w:t>1.1.4 “承包人”是指在工程范围内与委托人签订勘察、设计、施工等有关合同的当事人，及其合法的继承人。</w:t>
      </w:r>
    </w:p>
    <w:p>
      <w:pPr>
        <w:pStyle w:val="10"/>
        <w:spacing w:line="360" w:lineRule="auto"/>
        <w:ind w:firstLine="480" w:firstLineChars="200"/>
        <w:rPr>
          <w:rFonts w:ascii="Times New Roman" w:hAnsi="Times New Roman" w:cs="Times New Roman"/>
          <w:sz w:val="24"/>
          <w:szCs w:val="24"/>
        </w:rPr>
      </w:pPr>
      <w:r>
        <w:rPr>
          <w:rFonts w:hAnsi="Times New Roman" w:cs="Times New Roman" w:asciiTheme="minorHAnsi"/>
          <w:sz w:val="24"/>
          <w:szCs w:val="24"/>
        </w:rPr>
        <w:t>1.1.5</w:t>
      </w:r>
      <w:r>
        <w:rPr>
          <w:rFonts w:ascii="Times New Roman" w:hAnsi="Times New Roman" w:cs="Times New Roman"/>
          <w:sz w:val="24"/>
          <w:szCs w:val="24"/>
        </w:rPr>
        <w:t xml:space="preserve">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80" w:firstLineChars="200"/>
        <w:rPr>
          <w:sz w:val="24"/>
          <w:szCs w:val="24"/>
        </w:rPr>
      </w:pPr>
      <w:r>
        <w:rPr>
          <w:sz w:val="24"/>
          <w:szCs w:val="24"/>
        </w:rPr>
        <w:t>1.1.6 “相关服务”是指监理人受委托人的委托，按照本合同约定，在勘察、设计、保修等阶段提供的服务活动。</w:t>
      </w:r>
    </w:p>
    <w:p>
      <w:pPr>
        <w:adjustRightInd w:val="0"/>
        <w:snapToGrid w:val="0"/>
        <w:spacing w:line="360" w:lineRule="auto"/>
        <w:ind w:firstLine="480" w:firstLineChars="200"/>
        <w:rPr>
          <w:sz w:val="24"/>
          <w:szCs w:val="24"/>
        </w:rPr>
      </w:pPr>
      <w:r>
        <w:rPr>
          <w:sz w:val="24"/>
          <w:szCs w:val="24"/>
        </w:rPr>
        <w:t>1.1.7 “正常工作”指本合同订立时通用条件和专用条件中约定的监理人的工作。</w:t>
      </w:r>
    </w:p>
    <w:p>
      <w:pPr>
        <w:adjustRightInd w:val="0"/>
        <w:snapToGrid w:val="0"/>
        <w:spacing w:line="360" w:lineRule="auto"/>
        <w:ind w:firstLine="480" w:firstLineChars="200"/>
        <w:rPr>
          <w:sz w:val="24"/>
          <w:szCs w:val="24"/>
        </w:rPr>
      </w:pPr>
      <w:r>
        <w:rPr>
          <w:sz w:val="24"/>
          <w:szCs w:val="24"/>
        </w:rPr>
        <w:t>1.1.8 “附加工作”是指本合同约定的正常工作以外监理人的工作。</w:t>
      </w:r>
    </w:p>
    <w:p>
      <w:pPr>
        <w:adjustRightInd w:val="0"/>
        <w:snapToGrid w:val="0"/>
        <w:spacing w:line="360" w:lineRule="auto"/>
        <w:ind w:firstLine="480" w:firstLineChars="200"/>
        <w:rPr>
          <w:sz w:val="24"/>
          <w:szCs w:val="24"/>
        </w:rPr>
      </w:pPr>
      <w:r>
        <w:rPr>
          <w:sz w:val="24"/>
          <w:szCs w:val="24"/>
        </w:rPr>
        <w:t>1.1.9 “项目监理机构”是指监理人派驻工程负责履行本合同的组织机构。</w:t>
      </w:r>
    </w:p>
    <w:p>
      <w:pPr>
        <w:adjustRightInd w:val="0"/>
        <w:snapToGrid w:val="0"/>
        <w:spacing w:line="360" w:lineRule="auto"/>
        <w:ind w:firstLine="480" w:firstLineChars="200"/>
        <w:rPr>
          <w:sz w:val="24"/>
          <w:szCs w:val="24"/>
        </w:rPr>
      </w:pPr>
      <w:r>
        <w:rPr>
          <w:sz w:val="24"/>
          <w:szCs w:val="24"/>
        </w:rPr>
        <w:t>1.1.10 “总监理工程师”是指由监理人的法定代表人书面授权，全面负责履行本合同、主持项目监理机构工作的注册监理工程师。</w:t>
      </w:r>
    </w:p>
    <w:p>
      <w:pPr>
        <w:adjustRightInd w:val="0"/>
        <w:snapToGrid w:val="0"/>
        <w:spacing w:line="360" w:lineRule="auto"/>
        <w:ind w:firstLine="480" w:firstLineChars="200"/>
        <w:rPr>
          <w:sz w:val="24"/>
          <w:szCs w:val="24"/>
        </w:rPr>
      </w:pPr>
      <w:r>
        <w:rPr>
          <w:sz w:val="24"/>
          <w:szCs w:val="24"/>
        </w:rPr>
        <w:t>1.1.11 “酬金”是指监理人履行本合同义务，委托人按照本合同约定给付监理人的金额。</w:t>
      </w:r>
    </w:p>
    <w:p>
      <w:pPr>
        <w:adjustRightInd w:val="0"/>
        <w:snapToGrid w:val="0"/>
        <w:spacing w:line="360" w:lineRule="auto"/>
        <w:ind w:firstLine="480" w:firstLineChars="200"/>
        <w:rPr>
          <w:sz w:val="24"/>
          <w:szCs w:val="24"/>
        </w:rPr>
      </w:pPr>
      <w:r>
        <w:rPr>
          <w:sz w:val="24"/>
          <w:szCs w:val="24"/>
        </w:rPr>
        <w:t>1.1.12 “正常工作酬金”是指监理人完成正常工作，委托人应给付监理人并在协议书中载明的签约酬金额。</w:t>
      </w:r>
    </w:p>
    <w:p>
      <w:pPr>
        <w:adjustRightInd w:val="0"/>
        <w:snapToGrid w:val="0"/>
        <w:spacing w:line="360" w:lineRule="auto"/>
        <w:ind w:firstLine="480" w:firstLineChars="200"/>
        <w:rPr>
          <w:sz w:val="24"/>
          <w:szCs w:val="24"/>
        </w:rPr>
      </w:pPr>
      <w:r>
        <w:rPr>
          <w:sz w:val="24"/>
          <w:szCs w:val="24"/>
        </w:rPr>
        <w:t>1.1.13 “附加工作酬金”是指监理人完成附加工作，委托人应给付监理人的金额。</w:t>
      </w:r>
    </w:p>
    <w:p>
      <w:pPr>
        <w:adjustRightInd w:val="0"/>
        <w:snapToGrid w:val="0"/>
        <w:spacing w:line="360" w:lineRule="auto"/>
        <w:ind w:firstLine="480" w:firstLineChars="200"/>
        <w:rPr>
          <w:sz w:val="24"/>
          <w:szCs w:val="24"/>
        </w:rPr>
      </w:pPr>
      <w:r>
        <w:rPr>
          <w:sz w:val="24"/>
          <w:szCs w:val="24"/>
        </w:rPr>
        <w:t>1.1.14 “一方”是指委托人或监理人；“双方”是指委托人和监理人；“第三方”是指除委托人和监理人以外的有关方。</w:t>
      </w:r>
    </w:p>
    <w:p>
      <w:pPr>
        <w:adjustRightInd w:val="0"/>
        <w:snapToGrid w:val="0"/>
        <w:spacing w:line="360" w:lineRule="auto"/>
        <w:ind w:firstLine="480" w:firstLineChars="200"/>
        <w:rPr>
          <w:sz w:val="24"/>
          <w:szCs w:val="24"/>
        </w:rPr>
      </w:pPr>
      <w:r>
        <w:rPr>
          <w:sz w:val="24"/>
          <w:szCs w:val="24"/>
        </w:rPr>
        <w:t>1.1.15 “书面形式”是指合同书、信件和数据电文（包括电报、电传、传真、电子数据交换和电子邮件）等可以有形地表现所载内容的形式。</w:t>
      </w:r>
    </w:p>
    <w:p>
      <w:pPr>
        <w:adjustRightInd w:val="0"/>
        <w:snapToGrid w:val="0"/>
        <w:spacing w:line="360" w:lineRule="auto"/>
        <w:ind w:firstLine="480" w:firstLineChars="200"/>
        <w:rPr>
          <w:sz w:val="24"/>
          <w:szCs w:val="24"/>
        </w:rPr>
      </w:pPr>
      <w:r>
        <w:rPr>
          <w:sz w:val="24"/>
          <w:szCs w:val="24"/>
        </w:rPr>
        <w:t>1.1.16 “天”是指第一天零时至第二天零时的时间。</w:t>
      </w:r>
    </w:p>
    <w:p>
      <w:pPr>
        <w:adjustRightInd w:val="0"/>
        <w:snapToGrid w:val="0"/>
        <w:spacing w:line="360" w:lineRule="auto"/>
        <w:ind w:firstLine="480" w:firstLineChars="200"/>
        <w:rPr>
          <w:sz w:val="24"/>
          <w:szCs w:val="24"/>
        </w:rPr>
      </w:pPr>
      <w:r>
        <w:rPr>
          <w:sz w:val="24"/>
          <w:szCs w:val="24"/>
        </w:rPr>
        <w:t>1.1.17“月”是指按公历从一个月中任何一天开始的一个公历月时间。</w:t>
      </w:r>
    </w:p>
    <w:p>
      <w:pPr>
        <w:adjustRightInd w:val="0"/>
        <w:snapToGrid w:val="0"/>
        <w:spacing w:line="360" w:lineRule="auto"/>
        <w:ind w:firstLine="480" w:firstLineChars="200"/>
        <w:rPr>
          <w:sz w:val="24"/>
          <w:szCs w:val="24"/>
        </w:rPr>
      </w:pPr>
      <w:r>
        <w:rPr>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firstLine="480" w:firstLineChars="200"/>
        <w:rPr>
          <w:sz w:val="24"/>
          <w:szCs w:val="24"/>
        </w:rPr>
      </w:pPr>
      <w:r>
        <w:rPr>
          <w:bCs/>
          <w:sz w:val="24"/>
          <w:szCs w:val="24"/>
        </w:rPr>
        <w:t xml:space="preserve">1.2 </w:t>
      </w:r>
      <w:r>
        <w:rPr>
          <w:sz w:val="24"/>
          <w:szCs w:val="24"/>
        </w:rPr>
        <w:t>解释</w:t>
      </w:r>
    </w:p>
    <w:p>
      <w:pPr>
        <w:tabs>
          <w:tab w:val="left" w:pos="6140"/>
        </w:tabs>
        <w:adjustRightInd w:val="0"/>
        <w:snapToGrid w:val="0"/>
        <w:spacing w:line="360" w:lineRule="auto"/>
        <w:ind w:firstLine="480" w:firstLineChars="200"/>
        <w:rPr>
          <w:sz w:val="24"/>
          <w:szCs w:val="24"/>
        </w:rPr>
      </w:pPr>
      <w:r>
        <w:rPr>
          <w:sz w:val="24"/>
          <w:szCs w:val="24"/>
        </w:rPr>
        <w:t>1.2.1本合同使用中文书写、解释和说明。如专用条件约定使用两种及以上语言文字时，应以中文为准。</w:t>
      </w:r>
    </w:p>
    <w:p>
      <w:pPr>
        <w:tabs>
          <w:tab w:val="left" w:pos="6140"/>
        </w:tabs>
        <w:adjustRightInd w:val="0"/>
        <w:snapToGrid w:val="0"/>
        <w:spacing w:line="360" w:lineRule="auto"/>
        <w:ind w:firstLine="480" w:firstLineChars="200"/>
        <w:rPr>
          <w:sz w:val="24"/>
          <w:szCs w:val="24"/>
        </w:rPr>
      </w:pPr>
      <w:r>
        <w:rPr>
          <w:sz w:val="24"/>
          <w:szCs w:val="24"/>
        </w:rPr>
        <w:t>1.2.2 组成本合同的下列文件彼此应能相互解释、互为说明。除专用条件另有约定外，本合同文件的解释顺序如下：</w:t>
      </w:r>
    </w:p>
    <w:p>
      <w:pPr>
        <w:adjustRightInd w:val="0"/>
        <w:snapToGrid w:val="0"/>
        <w:spacing w:line="360" w:lineRule="auto"/>
        <w:ind w:firstLine="480" w:firstLineChars="200"/>
        <w:rPr>
          <w:sz w:val="24"/>
          <w:szCs w:val="24"/>
        </w:rPr>
      </w:pPr>
      <w:r>
        <w:rPr>
          <w:sz w:val="24"/>
          <w:szCs w:val="24"/>
        </w:rPr>
        <w:t>（1）协议书；</w:t>
      </w:r>
    </w:p>
    <w:p>
      <w:pPr>
        <w:adjustRightInd w:val="0"/>
        <w:snapToGrid w:val="0"/>
        <w:spacing w:line="360" w:lineRule="auto"/>
        <w:ind w:firstLine="480" w:firstLineChars="200"/>
        <w:rPr>
          <w:sz w:val="24"/>
          <w:szCs w:val="24"/>
        </w:rPr>
      </w:pPr>
      <w:r>
        <w:rPr>
          <w:sz w:val="24"/>
          <w:szCs w:val="24"/>
        </w:rPr>
        <w:t>（2）中标通知书（适用于招标工程）或委托书（适用于非招标工程）；</w:t>
      </w:r>
    </w:p>
    <w:p>
      <w:pPr>
        <w:adjustRightInd w:val="0"/>
        <w:snapToGrid w:val="0"/>
        <w:spacing w:line="360" w:lineRule="auto"/>
        <w:ind w:firstLine="480" w:firstLineChars="200"/>
        <w:rPr>
          <w:sz w:val="24"/>
          <w:szCs w:val="24"/>
        </w:rPr>
      </w:pPr>
      <w:r>
        <w:rPr>
          <w:sz w:val="24"/>
          <w:szCs w:val="24"/>
        </w:rPr>
        <w:t>（3）专用条件及附录A、附录B；</w:t>
      </w:r>
    </w:p>
    <w:p>
      <w:pPr>
        <w:adjustRightInd w:val="0"/>
        <w:snapToGrid w:val="0"/>
        <w:spacing w:line="360" w:lineRule="auto"/>
        <w:ind w:firstLine="480" w:firstLineChars="200"/>
        <w:rPr>
          <w:sz w:val="24"/>
          <w:szCs w:val="24"/>
        </w:rPr>
      </w:pPr>
      <w:r>
        <w:rPr>
          <w:sz w:val="24"/>
          <w:szCs w:val="24"/>
        </w:rPr>
        <w:t>（4）通用条件；</w:t>
      </w:r>
    </w:p>
    <w:p>
      <w:pPr>
        <w:adjustRightInd w:val="0"/>
        <w:snapToGrid w:val="0"/>
        <w:spacing w:line="360" w:lineRule="auto"/>
        <w:ind w:firstLine="480" w:firstLineChars="200"/>
        <w:rPr>
          <w:sz w:val="24"/>
          <w:szCs w:val="24"/>
        </w:rPr>
      </w:pPr>
      <w:r>
        <w:rPr>
          <w:sz w:val="24"/>
          <w:szCs w:val="24"/>
        </w:rPr>
        <w:t>（5）投标文件（适用于招标工程）或监理与相关服务建议书（适用于非招标工程）。</w:t>
      </w:r>
    </w:p>
    <w:p>
      <w:pPr>
        <w:spacing w:line="360" w:lineRule="auto"/>
        <w:ind w:firstLine="480" w:firstLineChars="200"/>
        <w:rPr>
          <w:sz w:val="24"/>
          <w:szCs w:val="24"/>
        </w:rPr>
      </w:pPr>
      <w:r>
        <w:rPr>
          <w:sz w:val="24"/>
          <w:szCs w:val="24"/>
        </w:rPr>
        <w:t>双方签订的补充协议与其他文件发生矛盾或歧义时，属于同一类内容的文件，应以最新签署的为准。</w:t>
      </w:r>
    </w:p>
    <w:p>
      <w:pPr>
        <w:spacing w:line="360" w:lineRule="auto"/>
        <w:ind w:firstLine="480" w:firstLineChars="200"/>
        <w:rPr>
          <w:sz w:val="24"/>
          <w:szCs w:val="24"/>
        </w:rPr>
      </w:pPr>
      <w:r>
        <w:rPr>
          <w:sz w:val="24"/>
          <w:szCs w:val="24"/>
        </w:rPr>
        <w:t>2. 监理人的义务</w:t>
      </w:r>
    </w:p>
    <w:p>
      <w:pPr>
        <w:adjustRightInd w:val="0"/>
        <w:snapToGrid w:val="0"/>
        <w:spacing w:line="360" w:lineRule="auto"/>
        <w:ind w:firstLine="480" w:firstLineChars="200"/>
        <w:rPr>
          <w:bCs/>
          <w:sz w:val="24"/>
          <w:szCs w:val="24"/>
        </w:rPr>
      </w:pPr>
      <w:r>
        <w:rPr>
          <w:sz w:val="24"/>
          <w:szCs w:val="24"/>
        </w:rPr>
        <w:t>2.1 监理的范围和工作内容</w:t>
      </w:r>
    </w:p>
    <w:p>
      <w:pPr>
        <w:adjustRightInd w:val="0"/>
        <w:snapToGrid w:val="0"/>
        <w:spacing w:line="360" w:lineRule="auto"/>
        <w:ind w:firstLine="480" w:firstLineChars="200"/>
        <w:rPr>
          <w:sz w:val="24"/>
          <w:szCs w:val="24"/>
        </w:rPr>
      </w:pPr>
      <w:r>
        <w:rPr>
          <w:sz w:val="24"/>
          <w:szCs w:val="24"/>
        </w:rPr>
        <w:t>2.1.1 监理范围在专用条件中约定。</w:t>
      </w:r>
    </w:p>
    <w:p>
      <w:pPr>
        <w:adjustRightInd w:val="0"/>
        <w:snapToGrid w:val="0"/>
        <w:spacing w:line="360" w:lineRule="auto"/>
        <w:ind w:firstLine="480" w:firstLineChars="200"/>
        <w:rPr>
          <w:sz w:val="24"/>
          <w:szCs w:val="24"/>
        </w:rPr>
      </w:pPr>
      <w:r>
        <w:rPr>
          <w:sz w:val="24"/>
          <w:szCs w:val="24"/>
        </w:rPr>
        <w:t>2.1.2 除专用条件另有约定外，监理工作内容包括：</w:t>
      </w:r>
    </w:p>
    <w:p>
      <w:pPr>
        <w:adjustRightInd w:val="0"/>
        <w:snapToGrid w:val="0"/>
        <w:spacing w:line="360" w:lineRule="auto"/>
        <w:ind w:firstLine="480" w:firstLineChars="200"/>
        <w:rPr>
          <w:sz w:val="24"/>
          <w:szCs w:val="24"/>
        </w:rPr>
      </w:pPr>
      <w:r>
        <w:rPr>
          <w:sz w:val="24"/>
          <w:szCs w:val="24"/>
        </w:rPr>
        <w:t>（1）收到工程设计文件后编制监理规划，并在第一次工地会议7天前报委托人。根据有关规定和监理工作需要，编制监理实施细则；</w:t>
      </w:r>
    </w:p>
    <w:p>
      <w:pPr>
        <w:adjustRightInd w:val="0"/>
        <w:snapToGrid w:val="0"/>
        <w:spacing w:line="360" w:lineRule="auto"/>
        <w:ind w:firstLine="480" w:firstLineChars="200"/>
        <w:rPr>
          <w:sz w:val="24"/>
          <w:szCs w:val="24"/>
        </w:rPr>
      </w:pPr>
      <w:r>
        <w:rPr>
          <w:sz w:val="24"/>
          <w:szCs w:val="24"/>
        </w:rPr>
        <w:t>（2）熟悉工程设计文件，并参加由委托人主持的图纸会审和设计交底会议；</w:t>
      </w:r>
    </w:p>
    <w:p>
      <w:pPr>
        <w:adjustRightInd w:val="0"/>
        <w:snapToGrid w:val="0"/>
        <w:spacing w:line="360" w:lineRule="auto"/>
        <w:ind w:firstLine="480" w:firstLineChars="200"/>
        <w:rPr>
          <w:sz w:val="24"/>
          <w:szCs w:val="24"/>
        </w:rPr>
      </w:pPr>
      <w:r>
        <w:rPr>
          <w:sz w:val="24"/>
          <w:szCs w:val="24"/>
        </w:rPr>
        <w:t>（3）参加由委托人主持的第一次工地会议；主持监理例会并根据工程需要主持或参加专题会议；</w:t>
      </w:r>
    </w:p>
    <w:p>
      <w:pPr>
        <w:adjustRightInd w:val="0"/>
        <w:snapToGrid w:val="0"/>
        <w:spacing w:line="360" w:lineRule="auto"/>
        <w:ind w:firstLine="480" w:firstLineChars="200"/>
        <w:rPr>
          <w:sz w:val="24"/>
          <w:szCs w:val="24"/>
        </w:rPr>
      </w:pPr>
      <w:r>
        <w:rPr>
          <w:sz w:val="24"/>
          <w:szCs w:val="24"/>
        </w:rPr>
        <w:t>（4）审查施工承包人提交的施工组织设计，重点审查其中的质量安全技术措施、专项施工方案与工程建设强制性标准的符合性；</w:t>
      </w:r>
    </w:p>
    <w:p>
      <w:pPr>
        <w:adjustRightInd w:val="0"/>
        <w:snapToGrid w:val="0"/>
        <w:spacing w:line="360" w:lineRule="auto"/>
        <w:ind w:firstLine="480" w:firstLineChars="200"/>
        <w:rPr>
          <w:sz w:val="24"/>
          <w:szCs w:val="24"/>
        </w:rPr>
      </w:pPr>
      <w:r>
        <w:rPr>
          <w:sz w:val="24"/>
          <w:szCs w:val="24"/>
        </w:rPr>
        <w:t xml:space="preserve">（5）检查施工承包人工程质量、安全生产管理制度及组织机构和人员资格； </w:t>
      </w:r>
    </w:p>
    <w:p>
      <w:pPr>
        <w:adjustRightInd w:val="0"/>
        <w:snapToGrid w:val="0"/>
        <w:spacing w:line="360" w:lineRule="auto"/>
        <w:ind w:firstLine="480" w:firstLineChars="200"/>
        <w:rPr>
          <w:sz w:val="24"/>
          <w:szCs w:val="24"/>
        </w:rPr>
      </w:pPr>
      <w:r>
        <w:rPr>
          <w:sz w:val="24"/>
          <w:szCs w:val="24"/>
        </w:rPr>
        <w:t>（6）检查施工承包人专职安全生产管理人员的配备情况；</w:t>
      </w:r>
    </w:p>
    <w:p>
      <w:pPr>
        <w:adjustRightInd w:val="0"/>
        <w:snapToGrid w:val="0"/>
        <w:spacing w:line="360" w:lineRule="auto"/>
        <w:ind w:firstLine="480" w:firstLineChars="200"/>
        <w:rPr>
          <w:sz w:val="24"/>
          <w:szCs w:val="24"/>
        </w:rPr>
      </w:pPr>
      <w:r>
        <w:rPr>
          <w:sz w:val="24"/>
          <w:szCs w:val="24"/>
        </w:rPr>
        <w:t>（7）审查施工承包人提交的施工进度计划，核查承包人对施工进度计划的调整；</w:t>
      </w:r>
    </w:p>
    <w:p>
      <w:pPr>
        <w:adjustRightInd w:val="0"/>
        <w:snapToGrid w:val="0"/>
        <w:spacing w:line="360" w:lineRule="auto"/>
        <w:ind w:firstLine="480" w:firstLineChars="200"/>
        <w:rPr>
          <w:sz w:val="24"/>
          <w:szCs w:val="24"/>
        </w:rPr>
      </w:pPr>
      <w:r>
        <w:rPr>
          <w:sz w:val="24"/>
          <w:szCs w:val="24"/>
        </w:rPr>
        <w:t>（8）检查施工承包人的试验室；</w:t>
      </w:r>
    </w:p>
    <w:p>
      <w:pPr>
        <w:adjustRightInd w:val="0"/>
        <w:snapToGrid w:val="0"/>
        <w:spacing w:line="360" w:lineRule="auto"/>
        <w:ind w:firstLine="480" w:firstLineChars="200"/>
        <w:rPr>
          <w:sz w:val="24"/>
          <w:szCs w:val="24"/>
        </w:rPr>
      </w:pPr>
      <w:r>
        <w:rPr>
          <w:sz w:val="24"/>
          <w:szCs w:val="24"/>
        </w:rPr>
        <w:t>（9）审核施工分包人资质条件；</w:t>
      </w:r>
    </w:p>
    <w:p>
      <w:pPr>
        <w:spacing w:line="360" w:lineRule="auto"/>
        <w:ind w:firstLine="480" w:firstLineChars="200"/>
        <w:rPr>
          <w:sz w:val="24"/>
          <w:szCs w:val="24"/>
        </w:rPr>
      </w:pPr>
      <w:r>
        <w:rPr>
          <w:sz w:val="24"/>
          <w:szCs w:val="24"/>
        </w:rPr>
        <w:t>（10）查验施工承包人的施工测量放线成果；</w:t>
      </w:r>
    </w:p>
    <w:p>
      <w:pPr>
        <w:adjustRightInd w:val="0"/>
        <w:snapToGrid w:val="0"/>
        <w:spacing w:line="360" w:lineRule="auto"/>
        <w:ind w:firstLine="480" w:firstLineChars="200"/>
        <w:rPr>
          <w:sz w:val="24"/>
          <w:szCs w:val="24"/>
        </w:rPr>
      </w:pPr>
      <w:r>
        <w:rPr>
          <w:sz w:val="24"/>
          <w:szCs w:val="24"/>
        </w:rPr>
        <w:t>（11）审查工程开工条件，对条件具备的签发开工令；</w:t>
      </w:r>
    </w:p>
    <w:p>
      <w:pPr>
        <w:adjustRightInd w:val="0"/>
        <w:snapToGrid w:val="0"/>
        <w:spacing w:line="360" w:lineRule="auto"/>
        <w:ind w:firstLine="480" w:firstLineChars="200"/>
        <w:rPr>
          <w:sz w:val="24"/>
          <w:szCs w:val="24"/>
        </w:rPr>
      </w:pPr>
      <w:r>
        <w:rPr>
          <w:sz w:val="24"/>
          <w:szCs w:val="24"/>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firstLine="480" w:firstLineChars="200"/>
        <w:rPr>
          <w:sz w:val="24"/>
          <w:szCs w:val="24"/>
        </w:rPr>
      </w:pPr>
      <w:r>
        <w:rPr>
          <w:sz w:val="24"/>
          <w:szCs w:val="24"/>
        </w:rPr>
        <w:t>（13）审核施工承包人提交的工程款支付申请，签发或出具工程款支付证书，并报委托人审核、批准；</w:t>
      </w:r>
    </w:p>
    <w:p>
      <w:pPr>
        <w:adjustRightInd w:val="0"/>
        <w:snapToGrid w:val="0"/>
        <w:spacing w:line="360" w:lineRule="auto"/>
        <w:ind w:firstLine="480" w:firstLineChars="200"/>
        <w:rPr>
          <w:sz w:val="24"/>
          <w:szCs w:val="24"/>
        </w:rPr>
      </w:pPr>
      <w:r>
        <w:rPr>
          <w:sz w:val="24"/>
          <w:szCs w:val="24"/>
        </w:rPr>
        <w:t>（14）在巡视、旁站和检验过程中，发现工程质量、施工安全存在事故隐患的，要求施工承包人整改并报委托人；</w:t>
      </w:r>
    </w:p>
    <w:p>
      <w:pPr>
        <w:adjustRightInd w:val="0"/>
        <w:snapToGrid w:val="0"/>
        <w:spacing w:line="360" w:lineRule="auto"/>
        <w:ind w:firstLine="480" w:firstLineChars="200"/>
        <w:rPr>
          <w:sz w:val="24"/>
          <w:szCs w:val="24"/>
        </w:rPr>
      </w:pPr>
      <w:r>
        <w:rPr>
          <w:sz w:val="24"/>
          <w:szCs w:val="24"/>
        </w:rPr>
        <w:t>（15）经委托人同意，签发工程暂停令和复工令；</w:t>
      </w:r>
    </w:p>
    <w:p>
      <w:pPr>
        <w:adjustRightInd w:val="0"/>
        <w:snapToGrid w:val="0"/>
        <w:spacing w:line="360" w:lineRule="auto"/>
        <w:ind w:firstLine="480" w:firstLineChars="200"/>
        <w:rPr>
          <w:sz w:val="24"/>
          <w:szCs w:val="24"/>
        </w:rPr>
      </w:pPr>
      <w:r>
        <w:rPr>
          <w:sz w:val="24"/>
          <w:szCs w:val="24"/>
        </w:rPr>
        <w:t>（16）审查施工承包人提交的采用新材料、新工艺、新技术、新设备的论证材料及相关验收标准；</w:t>
      </w:r>
    </w:p>
    <w:p>
      <w:pPr>
        <w:adjustRightInd w:val="0"/>
        <w:snapToGrid w:val="0"/>
        <w:spacing w:line="360" w:lineRule="auto"/>
        <w:ind w:firstLine="480" w:firstLineChars="200"/>
        <w:rPr>
          <w:sz w:val="24"/>
          <w:szCs w:val="24"/>
        </w:rPr>
      </w:pPr>
      <w:r>
        <w:rPr>
          <w:sz w:val="24"/>
          <w:szCs w:val="24"/>
        </w:rPr>
        <w:t>（17）验收隐蔽工程、分部分项工程；</w:t>
      </w:r>
    </w:p>
    <w:p>
      <w:pPr>
        <w:adjustRightInd w:val="0"/>
        <w:snapToGrid w:val="0"/>
        <w:spacing w:line="360" w:lineRule="auto"/>
        <w:ind w:firstLine="480" w:firstLineChars="200"/>
        <w:rPr>
          <w:sz w:val="24"/>
          <w:szCs w:val="24"/>
        </w:rPr>
      </w:pPr>
      <w:r>
        <w:rPr>
          <w:sz w:val="24"/>
          <w:szCs w:val="24"/>
        </w:rPr>
        <w:t>（18）审查施工承包人提交的工程变更申请，协调处理施工进度调整、费用索赔、合同争议等事项；</w:t>
      </w:r>
    </w:p>
    <w:p>
      <w:pPr>
        <w:adjustRightInd w:val="0"/>
        <w:snapToGrid w:val="0"/>
        <w:spacing w:line="360" w:lineRule="auto"/>
        <w:ind w:firstLine="480" w:firstLineChars="200"/>
        <w:rPr>
          <w:sz w:val="24"/>
          <w:szCs w:val="24"/>
        </w:rPr>
      </w:pPr>
      <w:r>
        <w:rPr>
          <w:sz w:val="24"/>
          <w:szCs w:val="24"/>
        </w:rPr>
        <w:t>（19）审查施工承包人提交的竣工验收申请，编写工程质量评估报告；</w:t>
      </w:r>
    </w:p>
    <w:p>
      <w:pPr>
        <w:adjustRightInd w:val="0"/>
        <w:snapToGrid w:val="0"/>
        <w:spacing w:line="360" w:lineRule="auto"/>
        <w:ind w:firstLine="480" w:firstLineChars="200"/>
        <w:rPr>
          <w:sz w:val="24"/>
          <w:szCs w:val="24"/>
        </w:rPr>
      </w:pPr>
      <w:r>
        <w:rPr>
          <w:sz w:val="24"/>
          <w:szCs w:val="24"/>
        </w:rPr>
        <w:t>（20）参加工程竣工验收，签署竣工验收意见；</w:t>
      </w:r>
    </w:p>
    <w:p>
      <w:pPr>
        <w:adjustRightInd w:val="0"/>
        <w:snapToGrid w:val="0"/>
        <w:spacing w:line="360" w:lineRule="auto"/>
        <w:ind w:firstLine="480" w:firstLineChars="200"/>
        <w:rPr>
          <w:sz w:val="24"/>
          <w:szCs w:val="24"/>
        </w:rPr>
      </w:pPr>
      <w:r>
        <w:rPr>
          <w:sz w:val="24"/>
          <w:szCs w:val="24"/>
        </w:rPr>
        <w:t>（21）审查施工承包人提交的竣工结算申请并报委托人；</w:t>
      </w:r>
    </w:p>
    <w:p>
      <w:pPr>
        <w:adjustRightInd w:val="0"/>
        <w:snapToGrid w:val="0"/>
        <w:spacing w:line="360" w:lineRule="auto"/>
        <w:ind w:firstLine="480" w:firstLineChars="200"/>
        <w:rPr>
          <w:sz w:val="24"/>
          <w:szCs w:val="24"/>
        </w:rPr>
      </w:pPr>
      <w:r>
        <w:rPr>
          <w:sz w:val="24"/>
          <w:szCs w:val="24"/>
        </w:rPr>
        <w:t>（22）编制、整理工程监理归档文件并报委托人。</w:t>
      </w:r>
    </w:p>
    <w:p>
      <w:pPr>
        <w:spacing w:line="360" w:lineRule="auto"/>
        <w:ind w:firstLine="480" w:firstLineChars="200"/>
        <w:rPr>
          <w:sz w:val="24"/>
          <w:szCs w:val="24"/>
        </w:rPr>
      </w:pPr>
      <w:r>
        <w:rPr>
          <w:sz w:val="24"/>
          <w:szCs w:val="24"/>
        </w:rPr>
        <w:t>2.1.3 相关服务的范围和内容在附录A中约定。</w:t>
      </w:r>
    </w:p>
    <w:p>
      <w:pPr>
        <w:spacing w:line="360" w:lineRule="auto"/>
        <w:ind w:firstLine="480" w:firstLineChars="200"/>
        <w:rPr>
          <w:bCs/>
          <w:sz w:val="24"/>
          <w:szCs w:val="24"/>
        </w:rPr>
      </w:pPr>
      <w:r>
        <w:rPr>
          <w:sz w:val="24"/>
          <w:szCs w:val="24"/>
        </w:rPr>
        <w:t xml:space="preserve">2.2 </w:t>
      </w:r>
      <w:r>
        <w:rPr>
          <w:bCs/>
          <w:sz w:val="24"/>
          <w:szCs w:val="24"/>
        </w:rPr>
        <w:t>监理与相关服务依据</w:t>
      </w:r>
    </w:p>
    <w:p>
      <w:pPr>
        <w:adjustRightInd w:val="0"/>
        <w:snapToGrid w:val="0"/>
        <w:spacing w:line="360" w:lineRule="auto"/>
        <w:ind w:firstLine="480" w:firstLineChars="200"/>
        <w:rPr>
          <w:sz w:val="24"/>
          <w:szCs w:val="24"/>
        </w:rPr>
      </w:pPr>
      <w:r>
        <w:rPr>
          <w:sz w:val="24"/>
          <w:szCs w:val="24"/>
        </w:rPr>
        <w:t>2.2.1 监理依据包括：</w:t>
      </w:r>
    </w:p>
    <w:p>
      <w:pPr>
        <w:adjustRightInd w:val="0"/>
        <w:snapToGrid w:val="0"/>
        <w:spacing w:line="360" w:lineRule="auto"/>
        <w:ind w:firstLine="480" w:firstLineChars="200"/>
        <w:rPr>
          <w:sz w:val="24"/>
          <w:szCs w:val="24"/>
        </w:rPr>
      </w:pPr>
      <w:r>
        <w:rPr>
          <w:sz w:val="24"/>
          <w:szCs w:val="24"/>
        </w:rPr>
        <w:t>（1）适用的法律、行政法规及部门规章；</w:t>
      </w:r>
    </w:p>
    <w:p>
      <w:pPr>
        <w:adjustRightInd w:val="0"/>
        <w:snapToGrid w:val="0"/>
        <w:spacing w:line="360" w:lineRule="auto"/>
        <w:ind w:firstLine="480" w:firstLineChars="200"/>
        <w:rPr>
          <w:sz w:val="24"/>
          <w:szCs w:val="24"/>
        </w:rPr>
      </w:pPr>
      <w:r>
        <w:rPr>
          <w:sz w:val="24"/>
          <w:szCs w:val="24"/>
        </w:rPr>
        <w:t>（2）与工程有关的标准；</w:t>
      </w:r>
    </w:p>
    <w:p>
      <w:pPr>
        <w:adjustRightInd w:val="0"/>
        <w:snapToGrid w:val="0"/>
        <w:spacing w:line="360" w:lineRule="auto"/>
        <w:ind w:firstLine="480" w:firstLineChars="200"/>
        <w:rPr>
          <w:sz w:val="24"/>
          <w:szCs w:val="24"/>
        </w:rPr>
      </w:pPr>
      <w:r>
        <w:rPr>
          <w:sz w:val="24"/>
          <w:szCs w:val="24"/>
        </w:rPr>
        <w:t>（3）工程设计及有关文件；</w:t>
      </w:r>
    </w:p>
    <w:p>
      <w:pPr>
        <w:adjustRightInd w:val="0"/>
        <w:snapToGrid w:val="0"/>
        <w:spacing w:line="360" w:lineRule="auto"/>
        <w:ind w:firstLine="480" w:firstLineChars="200"/>
        <w:rPr>
          <w:sz w:val="24"/>
          <w:szCs w:val="24"/>
        </w:rPr>
      </w:pPr>
      <w:r>
        <w:rPr>
          <w:sz w:val="24"/>
          <w:szCs w:val="24"/>
        </w:rPr>
        <w:t>（4）本合同及委托人与第三方签订的与实施工程有关的其他合同。</w:t>
      </w:r>
    </w:p>
    <w:p>
      <w:pPr>
        <w:spacing w:line="360" w:lineRule="auto"/>
        <w:ind w:firstLine="480" w:firstLineChars="200"/>
        <w:rPr>
          <w:bCs/>
          <w:sz w:val="24"/>
          <w:szCs w:val="24"/>
        </w:rPr>
      </w:pPr>
      <w:r>
        <w:rPr>
          <w:bCs/>
          <w:sz w:val="24"/>
          <w:szCs w:val="24"/>
        </w:rPr>
        <w:t>双方根据工程的行业和地域特点，在专用条件中具体约定监理依据。</w:t>
      </w:r>
    </w:p>
    <w:p>
      <w:pPr>
        <w:adjustRightInd w:val="0"/>
        <w:snapToGrid w:val="0"/>
        <w:spacing w:line="360" w:lineRule="auto"/>
        <w:ind w:firstLine="480" w:firstLineChars="200"/>
        <w:rPr>
          <w:sz w:val="24"/>
          <w:szCs w:val="24"/>
        </w:rPr>
      </w:pPr>
      <w:r>
        <w:rPr>
          <w:sz w:val="24"/>
          <w:szCs w:val="24"/>
        </w:rPr>
        <w:t>2.2.2 相关服务依据在专用条件中约定。</w:t>
      </w:r>
    </w:p>
    <w:p>
      <w:pPr>
        <w:spacing w:line="360" w:lineRule="auto"/>
        <w:ind w:firstLine="480" w:firstLineChars="200"/>
        <w:rPr>
          <w:kern w:val="0"/>
          <w:sz w:val="24"/>
          <w:szCs w:val="24"/>
        </w:rPr>
      </w:pPr>
      <w:r>
        <w:rPr>
          <w:sz w:val="24"/>
          <w:szCs w:val="24"/>
        </w:rPr>
        <w:t>2.3 项目监理机构和人员</w:t>
      </w:r>
    </w:p>
    <w:p>
      <w:pPr>
        <w:adjustRightInd w:val="0"/>
        <w:snapToGrid w:val="0"/>
        <w:spacing w:line="360" w:lineRule="auto"/>
        <w:ind w:firstLine="480" w:firstLineChars="200"/>
        <w:rPr>
          <w:sz w:val="24"/>
          <w:szCs w:val="24"/>
        </w:rPr>
      </w:pPr>
      <w:r>
        <w:rPr>
          <w:sz w:val="24"/>
          <w:szCs w:val="24"/>
        </w:rPr>
        <w:t>2.3.1 监理人应组建满足工作需要的项目监理机构，配备必要的检测设备。项目监理机构的主要人员应具有相应的资格条件。</w:t>
      </w:r>
    </w:p>
    <w:p>
      <w:pPr>
        <w:adjustRightInd w:val="0"/>
        <w:snapToGrid w:val="0"/>
        <w:spacing w:line="360" w:lineRule="auto"/>
        <w:ind w:firstLine="480" w:firstLineChars="200"/>
        <w:rPr>
          <w:sz w:val="24"/>
          <w:szCs w:val="24"/>
        </w:rPr>
      </w:pPr>
      <w:r>
        <w:rPr>
          <w:sz w:val="24"/>
          <w:szCs w:val="24"/>
        </w:rPr>
        <w:t>2.3.2本合同履行过程中，总监理工程师及重要岗位监理人员应保持相对稳定，以保证监理工作正常进行。</w:t>
      </w:r>
    </w:p>
    <w:p>
      <w:pPr>
        <w:adjustRightInd w:val="0"/>
        <w:snapToGrid w:val="0"/>
        <w:spacing w:line="360" w:lineRule="auto"/>
        <w:ind w:firstLine="480" w:firstLineChars="200"/>
        <w:rPr>
          <w:sz w:val="24"/>
          <w:szCs w:val="24"/>
        </w:rPr>
      </w:pPr>
      <w:r>
        <w:rPr>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480" w:firstLineChars="200"/>
        <w:rPr>
          <w:sz w:val="24"/>
          <w:szCs w:val="24"/>
        </w:rPr>
      </w:pPr>
      <w:r>
        <w:rPr>
          <w:sz w:val="24"/>
          <w:szCs w:val="24"/>
        </w:rPr>
        <w:t>2.3.4 监理人应及时更换有下列情形之一的监理人员：</w:t>
      </w:r>
    </w:p>
    <w:p>
      <w:pPr>
        <w:adjustRightInd w:val="0"/>
        <w:snapToGrid w:val="0"/>
        <w:spacing w:line="360" w:lineRule="auto"/>
        <w:ind w:firstLine="480" w:firstLineChars="200"/>
        <w:rPr>
          <w:sz w:val="24"/>
          <w:szCs w:val="24"/>
        </w:rPr>
      </w:pPr>
      <w:r>
        <w:rPr>
          <w:sz w:val="24"/>
          <w:szCs w:val="24"/>
        </w:rPr>
        <w:t>（1）严重过失行为的；</w:t>
      </w:r>
    </w:p>
    <w:p>
      <w:pPr>
        <w:adjustRightInd w:val="0"/>
        <w:snapToGrid w:val="0"/>
        <w:spacing w:line="360" w:lineRule="auto"/>
        <w:ind w:firstLine="480" w:firstLineChars="200"/>
        <w:rPr>
          <w:sz w:val="24"/>
          <w:szCs w:val="24"/>
        </w:rPr>
      </w:pPr>
      <w:r>
        <w:rPr>
          <w:sz w:val="24"/>
          <w:szCs w:val="24"/>
        </w:rPr>
        <w:t>（2）有违法行为不能履行职责的；</w:t>
      </w:r>
    </w:p>
    <w:p>
      <w:pPr>
        <w:adjustRightInd w:val="0"/>
        <w:snapToGrid w:val="0"/>
        <w:spacing w:line="360" w:lineRule="auto"/>
        <w:ind w:firstLine="480" w:firstLineChars="200"/>
        <w:rPr>
          <w:sz w:val="24"/>
          <w:szCs w:val="24"/>
        </w:rPr>
      </w:pPr>
      <w:r>
        <w:rPr>
          <w:sz w:val="24"/>
          <w:szCs w:val="24"/>
        </w:rPr>
        <w:t>（3）涉嫌犯罪的；</w:t>
      </w:r>
    </w:p>
    <w:p>
      <w:pPr>
        <w:adjustRightInd w:val="0"/>
        <w:snapToGrid w:val="0"/>
        <w:spacing w:line="360" w:lineRule="auto"/>
        <w:ind w:firstLine="480" w:firstLineChars="200"/>
        <w:rPr>
          <w:sz w:val="24"/>
          <w:szCs w:val="24"/>
        </w:rPr>
      </w:pPr>
      <w:r>
        <w:rPr>
          <w:sz w:val="24"/>
          <w:szCs w:val="24"/>
        </w:rPr>
        <w:t>（4）不能胜任岗位职责的；</w:t>
      </w:r>
    </w:p>
    <w:p>
      <w:pPr>
        <w:adjustRightInd w:val="0"/>
        <w:snapToGrid w:val="0"/>
        <w:spacing w:line="360" w:lineRule="auto"/>
        <w:ind w:firstLine="480" w:firstLineChars="200"/>
        <w:rPr>
          <w:sz w:val="24"/>
          <w:szCs w:val="24"/>
        </w:rPr>
      </w:pPr>
      <w:r>
        <w:rPr>
          <w:sz w:val="24"/>
          <w:szCs w:val="24"/>
        </w:rPr>
        <w:t>（5）严重违反职业道德的；</w:t>
      </w:r>
    </w:p>
    <w:p>
      <w:pPr>
        <w:adjustRightInd w:val="0"/>
        <w:snapToGrid w:val="0"/>
        <w:spacing w:line="360" w:lineRule="auto"/>
        <w:ind w:firstLine="480" w:firstLineChars="200"/>
        <w:rPr>
          <w:sz w:val="24"/>
          <w:szCs w:val="24"/>
        </w:rPr>
      </w:pPr>
      <w:r>
        <w:rPr>
          <w:sz w:val="24"/>
          <w:szCs w:val="24"/>
        </w:rPr>
        <w:t>（6）专用条件约定的其他情形。</w:t>
      </w:r>
    </w:p>
    <w:p>
      <w:pPr>
        <w:spacing w:line="360" w:lineRule="auto"/>
        <w:ind w:firstLine="480" w:firstLineChars="200"/>
        <w:rPr>
          <w:sz w:val="24"/>
          <w:szCs w:val="24"/>
        </w:rPr>
      </w:pPr>
      <w:r>
        <w:rPr>
          <w:sz w:val="24"/>
          <w:szCs w:val="24"/>
        </w:rPr>
        <w:t>2.3.5 委托人可要求监理人更换不能胜任本职工作的项目监理机构人员。</w:t>
      </w:r>
    </w:p>
    <w:p>
      <w:pPr>
        <w:spacing w:line="360" w:lineRule="auto"/>
        <w:ind w:firstLine="480" w:firstLineChars="200"/>
        <w:rPr>
          <w:sz w:val="24"/>
          <w:szCs w:val="24"/>
        </w:rPr>
      </w:pPr>
      <w:r>
        <w:rPr>
          <w:sz w:val="24"/>
          <w:szCs w:val="24"/>
        </w:rPr>
        <w:t>2.4 履行职责</w:t>
      </w:r>
    </w:p>
    <w:p>
      <w:pPr>
        <w:adjustRightInd w:val="0"/>
        <w:snapToGrid w:val="0"/>
        <w:spacing w:line="360" w:lineRule="auto"/>
        <w:ind w:firstLine="480" w:firstLineChars="200"/>
        <w:rPr>
          <w:sz w:val="24"/>
          <w:szCs w:val="24"/>
        </w:rPr>
      </w:pPr>
      <w:r>
        <w:rPr>
          <w:sz w:val="24"/>
          <w:szCs w:val="24"/>
        </w:rPr>
        <w:t>监理人应遵循职业道德准则和行为规范，严格按照法律法规、工程建设有关标准及本合同履行职责。</w:t>
      </w:r>
    </w:p>
    <w:p>
      <w:pPr>
        <w:adjustRightInd w:val="0"/>
        <w:snapToGrid w:val="0"/>
        <w:spacing w:line="360" w:lineRule="auto"/>
        <w:ind w:firstLine="480" w:firstLineChars="200"/>
        <w:rPr>
          <w:kern w:val="0"/>
          <w:sz w:val="24"/>
          <w:szCs w:val="24"/>
        </w:rPr>
      </w:pPr>
      <w:r>
        <w:rPr>
          <w:sz w:val="24"/>
          <w:szCs w:val="24"/>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80" w:firstLineChars="200"/>
        <w:rPr>
          <w:sz w:val="24"/>
          <w:szCs w:val="24"/>
        </w:rPr>
      </w:pPr>
      <w:r>
        <w:rPr>
          <w:sz w:val="24"/>
          <w:szCs w:val="24"/>
        </w:rPr>
        <w:t>2.4.2 当委托人与承包人之间的合同争议提交仲裁机构仲裁或人民法院审理时，监理人应提供必要的证明资料。</w:t>
      </w:r>
    </w:p>
    <w:p>
      <w:pPr>
        <w:adjustRightInd w:val="0"/>
        <w:snapToGrid w:val="0"/>
        <w:spacing w:line="360" w:lineRule="auto"/>
        <w:ind w:firstLine="480" w:firstLineChars="200"/>
        <w:rPr>
          <w:sz w:val="24"/>
          <w:szCs w:val="24"/>
        </w:rPr>
      </w:pPr>
      <w:r>
        <w:rPr>
          <w:sz w:val="24"/>
          <w:szCs w:val="24"/>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firstLine="480" w:firstLineChars="200"/>
        <w:rPr>
          <w:sz w:val="24"/>
          <w:szCs w:val="24"/>
        </w:rPr>
      </w:pPr>
      <w:r>
        <w:rPr>
          <w:sz w:val="24"/>
          <w:szCs w:val="24"/>
        </w:rPr>
        <w:t>在紧急情况下，为了保护财产和人身安全，监理人所发出的指令未能事先报委托人批准时，应在发出指令后的24小时内以书面形式报委托人。</w:t>
      </w:r>
    </w:p>
    <w:p>
      <w:pPr>
        <w:spacing w:line="360" w:lineRule="auto"/>
        <w:ind w:firstLine="480" w:firstLineChars="200"/>
        <w:rPr>
          <w:sz w:val="24"/>
          <w:szCs w:val="24"/>
        </w:rPr>
      </w:pPr>
      <w:r>
        <w:rPr>
          <w:sz w:val="24"/>
          <w:szCs w:val="24"/>
        </w:rPr>
        <w:t>2.4.4 除专用条件另有约定外，监理人发现承包人的人员不能胜任本职工作的，有权要求承包人予以调换。</w:t>
      </w:r>
    </w:p>
    <w:p>
      <w:pPr>
        <w:spacing w:line="360" w:lineRule="auto"/>
        <w:ind w:firstLine="480" w:firstLineChars="200"/>
        <w:rPr>
          <w:sz w:val="24"/>
          <w:szCs w:val="24"/>
        </w:rPr>
      </w:pPr>
      <w:r>
        <w:rPr>
          <w:sz w:val="24"/>
          <w:szCs w:val="24"/>
        </w:rPr>
        <w:t>2.5 提交报告</w:t>
      </w:r>
    </w:p>
    <w:p>
      <w:pPr>
        <w:spacing w:line="360" w:lineRule="auto"/>
        <w:ind w:firstLine="480" w:firstLineChars="200"/>
        <w:rPr>
          <w:sz w:val="24"/>
          <w:szCs w:val="24"/>
        </w:rPr>
      </w:pPr>
      <w:r>
        <w:rPr>
          <w:sz w:val="24"/>
          <w:szCs w:val="24"/>
        </w:rPr>
        <w:t>监理人应按专用条件约定的种类、时间和份数向委托人提交监理与相关服务的报告。</w:t>
      </w:r>
    </w:p>
    <w:p>
      <w:pPr>
        <w:spacing w:line="360" w:lineRule="auto"/>
        <w:ind w:firstLine="480" w:firstLineChars="200"/>
        <w:rPr>
          <w:kern w:val="0"/>
          <w:sz w:val="24"/>
          <w:szCs w:val="24"/>
        </w:rPr>
      </w:pPr>
      <w:r>
        <w:rPr>
          <w:sz w:val="24"/>
          <w:szCs w:val="24"/>
        </w:rPr>
        <w:t>2.6 文件资料</w:t>
      </w:r>
    </w:p>
    <w:p>
      <w:pPr>
        <w:spacing w:line="360" w:lineRule="auto"/>
        <w:ind w:firstLine="480" w:firstLineChars="200"/>
        <w:rPr>
          <w:sz w:val="24"/>
          <w:szCs w:val="24"/>
        </w:rPr>
      </w:pPr>
      <w:r>
        <w:rPr>
          <w:sz w:val="24"/>
          <w:szCs w:val="24"/>
        </w:rPr>
        <w:t>在本合同履行期内，监理人应在现场保留工作所用的图纸、报告及记录监理工作的相关文件。工程竣工后，应当按照档案管理规定将监理有关文件归档。</w:t>
      </w:r>
    </w:p>
    <w:p>
      <w:pPr>
        <w:spacing w:line="360" w:lineRule="auto"/>
        <w:ind w:firstLine="480" w:firstLineChars="200"/>
        <w:rPr>
          <w:kern w:val="0"/>
          <w:sz w:val="24"/>
          <w:szCs w:val="24"/>
        </w:rPr>
      </w:pPr>
      <w:r>
        <w:rPr>
          <w:sz w:val="24"/>
          <w:szCs w:val="24"/>
        </w:rPr>
        <w:t>2.7 使用委托人的财产</w:t>
      </w:r>
    </w:p>
    <w:p>
      <w:pPr>
        <w:spacing w:line="360" w:lineRule="auto"/>
        <w:ind w:firstLine="480" w:firstLineChars="200"/>
        <w:rPr>
          <w:sz w:val="24"/>
          <w:szCs w:val="24"/>
        </w:rPr>
      </w:pPr>
      <w:r>
        <w:rPr>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ind w:firstLine="480" w:firstLineChars="200"/>
        <w:rPr>
          <w:kern w:val="0"/>
          <w:sz w:val="24"/>
          <w:szCs w:val="24"/>
        </w:rPr>
      </w:pPr>
      <w:r>
        <w:rPr>
          <w:sz w:val="24"/>
          <w:szCs w:val="24"/>
        </w:rPr>
        <w:t>3．委托人的义务</w:t>
      </w:r>
    </w:p>
    <w:p>
      <w:pPr>
        <w:spacing w:line="360" w:lineRule="auto"/>
        <w:ind w:firstLine="480" w:firstLineChars="200"/>
        <w:rPr>
          <w:sz w:val="24"/>
          <w:szCs w:val="24"/>
        </w:rPr>
      </w:pPr>
      <w:r>
        <w:rPr>
          <w:sz w:val="24"/>
          <w:szCs w:val="24"/>
        </w:rPr>
        <w:t>3.1 告知</w:t>
      </w:r>
    </w:p>
    <w:p>
      <w:pPr>
        <w:spacing w:line="360" w:lineRule="auto"/>
        <w:ind w:firstLine="480" w:firstLineChars="200"/>
        <w:rPr>
          <w:sz w:val="24"/>
          <w:szCs w:val="24"/>
        </w:rPr>
      </w:pPr>
      <w:r>
        <w:rPr>
          <w:sz w:val="24"/>
          <w:szCs w:val="24"/>
        </w:rPr>
        <w:t>委托人应在委托人与承包人签订的合同中明确监理人、总监理工程师和授予项目监理机构的权限。如有变更，应及时通知承包人。</w:t>
      </w:r>
    </w:p>
    <w:p>
      <w:pPr>
        <w:spacing w:line="360" w:lineRule="auto"/>
        <w:ind w:firstLine="480" w:firstLineChars="200"/>
        <w:rPr>
          <w:sz w:val="24"/>
          <w:szCs w:val="24"/>
        </w:rPr>
      </w:pPr>
      <w:r>
        <w:rPr>
          <w:sz w:val="24"/>
          <w:szCs w:val="24"/>
        </w:rPr>
        <w:t>3.2 提供资料</w:t>
      </w:r>
    </w:p>
    <w:p>
      <w:pPr>
        <w:spacing w:line="360" w:lineRule="auto"/>
        <w:ind w:firstLine="480" w:firstLineChars="200"/>
        <w:rPr>
          <w:sz w:val="24"/>
          <w:szCs w:val="24"/>
        </w:rPr>
      </w:pPr>
      <w:r>
        <w:rPr>
          <w:sz w:val="24"/>
          <w:szCs w:val="24"/>
        </w:rPr>
        <w:t>委托人应按照附录B约定，无偿向监理人提供工程有关的资料。在本合同履行过程中，委托人应及时向监理人提供最新的与工程有关的资料。</w:t>
      </w:r>
    </w:p>
    <w:p>
      <w:pPr>
        <w:spacing w:line="360" w:lineRule="auto"/>
        <w:ind w:firstLine="480" w:firstLineChars="200"/>
        <w:rPr>
          <w:kern w:val="0"/>
          <w:sz w:val="24"/>
          <w:szCs w:val="24"/>
        </w:rPr>
      </w:pPr>
      <w:r>
        <w:rPr>
          <w:sz w:val="24"/>
          <w:szCs w:val="24"/>
        </w:rPr>
        <w:t>3.3 提供工作条件</w:t>
      </w:r>
    </w:p>
    <w:p>
      <w:pPr>
        <w:adjustRightInd w:val="0"/>
        <w:snapToGrid w:val="0"/>
        <w:spacing w:line="360" w:lineRule="auto"/>
        <w:ind w:firstLine="480" w:firstLineChars="200"/>
        <w:rPr>
          <w:sz w:val="24"/>
          <w:szCs w:val="24"/>
        </w:rPr>
      </w:pPr>
      <w:r>
        <w:rPr>
          <w:sz w:val="24"/>
          <w:szCs w:val="24"/>
        </w:rPr>
        <w:t>委托人应为监理人完成监理与相关服务提供必要的条件。</w:t>
      </w:r>
    </w:p>
    <w:p>
      <w:pPr>
        <w:adjustRightInd w:val="0"/>
        <w:snapToGrid w:val="0"/>
        <w:spacing w:line="360" w:lineRule="auto"/>
        <w:ind w:firstLine="480" w:firstLineChars="200"/>
        <w:rPr>
          <w:sz w:val="24"/>
          <w:szCs w:val="24"/>
        </w:rPr>
      </w:pPr>
      <w:r>
        <w:rPr>
          <w:sz w:val="24"/>
          <w:szCs w:val="24"/>
        </w:rPr>
        <w:t>3.3.1 委托人应按照附录B约定，派遣相应的人员，提供房屋、设备，供监理人无偿使用。</w:t>
      </w:r>
    </w:p>
    <w:p>
      <w:pPr>
        <w:spacing w:line="360" w:lineRule="auto"/>
        <w:ind w:firstLine="480" w:firstLineChars="200"/>
        <w:rPr>
          <w:sz w:val="24"/>
          <w:szCs w:val="24"/>
        </w:rPr>
      </w:pPr>
      <w:r>
        <w:rPr>
          <w:sz w:val="24"/>
          <w:szCs w:val="24"/>
        </w:rPr>
        <w:t>3.3.2 委托人应负责协调工程建设中所有外部关系，为监理人履行本合同提供必要的外部条件。</w:t>
      </w:r>
    </w:p>
    <w:p>
      <w:pPr>
        <w:snapToGrid w:val="0"/>
        <w:spacing w:line="360" w:lineRule="auto"/>
        <w:ind w:firstLine="480" w:firstLineChars="200"/>
        <w:rPr>
          <w:kern w:val="0"/>
          <w:sz w:val="24"/>
          <w:szCs w:val="24"/>
        </w:rPr>
      </w:pPr>
      <w:r>
        <w:rPr>
          <w:sz w:val="24"/>
          <w:szCs w:val="24"/>
        </w:rPr>
        <w:t>3.4 委托人代表</w:t>
      </w:r>
    </w:p>
    <w:p>
      <w:pPr>
        <w:snapToGrid w:val="0"/>
        <w:spacing w:line="360" w:lineRule="auto"/>
        <w:ind w:firstLine="480" w:firstLineChars="200"/>
        <w:rPr>
          <w:sz w:val="24"/>
          <w:szCs w:val="24"/>
        </w:rPr>
      </w:pPr>
      <w:r>
        <w:rPr>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firstLine="480" w:firstLineChars="200"/>
        <w:rPr>
          <w:kern w:val="0"/>
          <w:sz w:val="24"/>
          <w:szCs w:val="24"/>
        </w:rPr>
      </w:pPr>
      <w:r>
        <w:rPr>
          <w:sz w:val="24"/>
          <w:szCs w:val="24"/>
        </w:rPr>
        <w:t>3.5 委托人意见或要求</w:t>
      </w:r>
    </w:p>
    <w:p>
      <w:pPr>
        <w:snapToGrid w:val="0"/>
        <w:spacing w:line="360" w:lineRule="auto"/>
        <w:ind w:firstLine="480" w:firstLineChars="200"/>
        <w:rPr>
          <w:sz w:val="24"/>
          <w:szCs w:val="24"/>
        </w:rPr>
      </w:pPr>
      <w:r>
        <w:rPr>
          <w:sz w:val="24"/>
          <w:szCs w:val="24"/>
        </w:rPr>
        <w:t>在本合同约定的监理与相关服务工作范围内，委托人对承包人的任何意见或要求应通知监理人，由监理人向承包人发出相应指令。</w:t>
      </w:r>
    </w:p>
    <w:p>
      <w:pPr>
        <w:snapToGrid w:val="0"/>
        <w:spacing w:line="360" w:lineRule="auto"/>
        <w:ind w:firstLine="480" w:firstLineChars="200"/>
        <w:rPr>
          <w:kern w:val="0"/>
          <w:sz w:val="24"/>
          <w:szCs w:val="24"/>
        </w:rPr>
      </w:pPr>
      <w:r>
        <w:rPr>
          <w:sz w:val="24"/>
          <w:szCs w:val="24"/>
        </w:rPr>
        <w:t>3.6 答复</w:t>
      </w:r>
    </w:p>
    <w:p>
      <w:pPr>
        <w:snapToGrid w:val="0"/>
        <w:spacing w:line="360" w:lineRule="auto"/>
        <w:ind w:firstLine="480" w:firstLineChars="200"/>
        <w:rPr>
          <w:sz w:val="24"/>
          <w:szCs w:val="24"/>
        </w:rPr>
      </w:pPr>
      <w:r>
        <w:rPr>
          <w:sz w:val="24"/>
          <w:szCs w:val="24"/>
        </w:rPr>
        <w:t>委托人应在专用条件约定的时间内，对监理人以书面形式提交并要求作出决定的事宜，给予书面答复。逾期未答复的，视为委托人认可。</w:t>
      </w:r>
    </w:p>
    <w:p>
      <w:pPr>
        <w:snapToGrid w:val="0"/>
        <w:spacing w:line="360" w:lineRule="auto"/>
        <w:ind w:firstLine="480" w:firstLineChars="200"/>
        <w:rPr>
          <w:kern w:val="0"/>
          <w:sz w:val="24"/>
          <w:szCs w:val="24"/>
        </w:rPr>
      </w:pPr>
      <w:r>
        <w:rPr>
          <w:sz w:val="24"/>
          <w:szCs w:val="24"/>
        </w:rPr>
        <w:t>3.7 支付</w:t>
      </w:r>
    </w:p>
    <w:p>
      <w:pPr>
        <w:snapToGrid w:val="0"/>
        <w:spacing w:line="360" w:lineRule="auto"/>
        <w:ind w:firstLine="480" w:firstLineChars="200"/>
        <w:rPr>
          <w:sz w:val="24"/>
          <w:szCs w:val="24"/>
        </w:rPr>
      </w:pPr>
      <w:r>
        <w:rPr>
          <w:sz w:val="24"/>
          <w:szCs w:val="24"/>
        </w:rPr>
        <w:t>委托人应按本合同约定，向监理人支付酬金。</w:t>
      </w:r>
    </w:p>
    <w:p>
      <w:pPr>
        <w:snapToGrid w:val="0"/>
        <w:spacing w:line="360" w:lineRule="auto"/>
        <w:ind w:firstLine="480" w:firstLineChars="200"/>
        <w:rPr>
          <w:bCs/>
          <w:sz w:val="24"/>
          <w:szCs w:val="24"/>
        </w:rPr>
      </w:pPr>
      <w:r>
        <w:rPr>
          <w:bCs/>
          <w:sz w:val="24"/>
          <w:szCs w:val="24"/>
        </w:rPr>
        <w:t>4. 违约责任</w:t>
      </w:r>
    </w:p>
    <w:p>
      <w:pPr>
        <w:spacing w:line="360" w:lineRule="auto"/>
        <w:ind w:firstLine="480" w:firstLineChars="200"/>
        <w:rPr>
          <w:kern w:val="0"/>
          <w:sz w:val="24"/>
          <w:szCs w:val="24"/>
        </w:rPr>
      </w:pPr>
      <w:r>
        <w:rPr>
          <w:sz w:val="24"/>
          <w:szCs w:val="24"/>
        </w:rPr>
        <w:t>4.1 监理人的违约责任</w:t>
      </w:r>
    </w:p>
    <w:p>
      <w:pPr>
        <w:adjustRightInd w:val="0"/>
        <w:snapToGrid w:val="0"/>
        <w:spacing w:line="360" w:lineRule="auto"/>
        <w:ind w:firstLine="480" w:firstLineChars="200"/>
        <w:rPr>
          <w:sz w:val="24"/>
          <w:szCs w:val="24"/>
        </w:rPr>
      </w:pPr>
      <w:r>
        <w:rPr>
          <w:sz w:val="24"/>
          <w:szCs w:val="24"/>
        </w:rPr>
        <w:t>监理人未履行本合同义务的，应承担相应的责任。</w:t>
      </w:r>
    </w:p>
    <w:p>
      <w:pPr>
        <w:adjustRightInd w:val="0"/>
        <w:snapToGrid w:val="0"/>
        <w:spacing w:line="360" w:lineRule="auto"/>
        <w:ind w:firstLine="480" w:firstLineChars="200"/>
        <w:rPr>
          <w:kern w:val="0"/>
          <w:sz w:val="24"/>
          <w:szCs w:val="24"/>
        </w:rPr>
      </w:pPr>
      <w:r>
        <w:rPr>
          <w:sz w:val="24"/>
          <w:szCs w:val="24"/>
        </w:rPr>
        <w:t>4.1.1 因监理人违反本合同约定给委托人造成损失的，监理人应当赔偿委托人损失。赔偿金额的确定方法在专用条件中约定。监理人承担部分赔偿责任的，其承担赔偿金额由双方协商确定。</w:t>
      </w:r>
    </w:p>
    <w:p>
      <w:pPr>
        <w:spacing w:line="360" w:lineRule="auto"/>
        <w:ind w:firstLine="480" w:firstLineChars="200"/>
        <w:rPr>
          <w:sz w:val="24"/>
          <w:szCs w:val="24"/>
        </w:rPr>
      </w:pPr>
      <w:r>
        <w:rPr>
          <w:sz w:val="24"/>
          <w:szCs w:val="24"/>
        </w:rPr>
        <w:t>4.1.2 监理人向委托人的索赔不成立时，监理人应赔偿委托人由此发生的费用。</w:t>
      </w:r>
    </w:p>
    <w:p>
      <w:pPr>
        <w:snapToGrid w:val="0"/>
        <w:spacing w:line="360" w:lineRule="auto"/>
        <w:ind w:firstLine="480" w:firstLineChars="200"/>
        <w:rPr>
          <w:sz w:val="24"/>
          <w:szCs w:val="24"/>
        </w:rPr>
      </w:pPr>
      <w:r>
        <w:rPr>
          <w:sz w:val="24"/>
          <w:szCs w:val="24"/>
        </w:rPr>
        <w:t>4.2 委托人的违约责任</w:t>
      </w:r>
    </w:p>
    <w:p>
      <w:pPr>
        <w:adjustRightInd w:val="0"/>
        <w:snapToGrid w:val="0"/>
        <w:spacing w:line="360" w:lineRule="auto"/>
        <w:ind w:firstLine="480" w:firstLineChars="200"/>
        <w:rPr>
          <w:sz w:val="24"/>
          <w:szCs w:val="24"/>
        </w:rPr>
      </w:pPr>
      <w:r>
        <w:rPr>
          <w:sz w:val="24"/>
          <w:szCs w:val="24"/>
        </w:rPr>
        <w:t>委托人未履行本合同义务的，应承担相应的责任。</w:t>
      </w:r>
    </w:p>
    <w:p>
      <w:pPr>
        <w:adjustRightInd w:val="0"/>
        <w:snapToGrid w:val="0"/>
        <w:spacing w:line="360" w:lineRule="auto"/>
        <w:ind w:firstLine="480" w:firstLineChars="200"/>
        <w:rPr>
          <w:sz w:val="24"/>
          <w:szCs w:val="24"/>
        </w:rPr>
      </w:pPr>
      <w:r>
        <w:rPr>
          <w:sz w:val="24"/>
          <w:szCs w:val="24"/>
        </w:rPr>
        <w:t>4.2.1 委托人违反本合同约定造成监理人损失的，委托人应予以赔偿。</w:t>
      </w:r>
    </w:p>
    <w:p>
      <w:pPr>
        <w:adjustRightInd w:val="0"/>
        <w:snapToGrid w:val="0"/>
        <w:spacing w:line="360" w:lineRule="auto"/>
        <w:ind w:firstLine="480" w:firstLineChars="200"/>
        <w:rPr>
          <w:sz w:val="24"/>
          <w:szCs w:val="24"/>
        </w:rPr>
      </w:pPr>
      <w:r>
        <w:rPr>
          <w:sz w:val="24"/>
          <w:szCs w:val="24"/>
        </w:rPr>
        <w:t>4.2.2 委托人向监理人的索赔不成立时，应赔偿监理人由此引起的费用。</w:t>
      </w:r>
    </w:p>
    <w:p>
      <w:pPr>
        <w:spacing w:line="360" w:lineRule="auto"/>
        <w:ind w:firstLine="480" w:firstLineChars="200"/>
        <w:rPr>
          <w:sz w:val="24"/>
          <w:szCs w:val="24"/>
        </w:rPr>
      </w:pPr>
      <w:r>
        <w:rPr>
          <w:sz w:val="24"/>
          <w:szCs w:val="24"/>
        </w:rPr>
        <w:t>4.2.3 委托人未能按期支付酬金超过28天，应按专用条件约定支付逾期付款利息。</w:t>
      </w:r>
    </w:p>
    <w:p>
      <w:pPr>
        <w:spacing w:line="360" w:lineRule="auto"/>
        <w:ind w:firstLine="480" w:firstLineChars="200"/>
        <w:rPr>
          <w:sz w:val="24"/>
          <w:szCs w:val="24"/>
        </w:rPr>
      </w:pPr>
      <w:r>
        <w:rPr>
          <w:sz w:val="24"/>
          <w:szCs w:val="24"/>
        </w:rPr>
        <w:t>4.3 除外责任</w:t>
      </w:r>
    </w:p>
    <w:p>
      <w:pPr>
        <w:adjustRightInd w:val="0"/>
        <w:snapToGrid w:val="0"/>
        <w:spacing w:line="360" w:lineRule="auto"/>
        <w:ind w:firstLine="480" w:firstLineChars="200"/>
        <w:rPr>
          <w:sz w:val="24"/>
          <w:szCs w:val="24"/>
        </w:rPr>
      </w:pPr>
      <w:r>
        <w:rPr>
          <w:sz w:val="24"/>
          <w:szCs w:val="24"/>
        </w:rPr>
        <w:t>因非监理人的原因，且监理人无过错，发生工程质量事故、安全事故、工期延误等造成的损失，监理人不承担赔偿责任。</w:t>
      </w:r>
    </w:p>
    <w:p>
      <w:pPr>
        <w:snapToGrid w:val="0"/>
        <w:spacing w:line="360" w:lineRule="auto"/>
        <w:ind w:firstLine="480" w:firstLineChars="200"/>
        <w:rPr>
          <w:sz w:val="24"/>
          <w:szCs w:val="24"/>
        </w:rPr>
      </w:pPr>
      <w:r>
        <w:rPr>
          <w:sz w:val="24"/>
          <w:szCs w:val="24"/>
        </w:rPr>
        <w:t>因不可抗力导致本合同全部或部分不能履行时，双方各自承担其因此而造成的损失、损害。</w:t>
      </w:r>
    </w:p>
    <w:p>
      <w:pPr>
        <w:snapToGrid w:val="0"/>
        <w:spacing w:line="360" w:lineRule="auto"/>
        <w:ind w:firstLine="480" w:firstLineChars="200"/>
        <w:rPr>
          <w:bCs/>
          <w:sz w:val="24"/>
          <w:szCs w:val="24"/>
        </w:rPr>
      </w:pPr>
      <w:r>
        <w:rPr>
          <w:bCs/>
          <w:sz w:val="24"/>
          <w:szCs w:val="24"/>
        </w:rPr>
        <w:t>5. 支付</w:t>
      </w:r>
    </w:p>
    <w:p>
      <w:pPr>
        <w:snapToGrid w:val="0"/>
        <w:spacing w:line="360" w:lineRule="auto"/>
        <w:ind w:firstLine="480" w:firstLineChars="200"/>
        <w:rPr>
          <w:bCs/>
          <w:sz w:val="24"/>
          <w:szCs w:val="24"/>
        </w:rPr>
      </w:pPr>
      <w:r>
        <w:rPr>
          <w:sz w:val="24"/>
          <w:szCs w:val="24"/>
        </w:rPr>
        <w:t xml:space="preserve">5.1 </w:t>
      </w:r>
      <w:r>
        <w:rPr>
          <w:bCs/>
          <w:sz w:val="24"/>
          <w:szCs w:val="24"/>
        </w:rPr>
        <w:t>支付货币</w:t>
      </w:r>
    </w:p>
    <w:p>
      <w:pPr>
        <w:snapToGrid w:val="0"/>
        <w:spacing w:line="360" w:lineRule="auto"/>
        <w:ind w:firstLine="480" w:firstLineChars="200"/>
        <w:rPr>
          <w:bCs/>
          <w:sz w:val="24"/>
          <w:szCs w:val="24"/>
        </w:rPr>
      </w:pPr>
      <w:r>
        <w:rPr>
          <w:sz w:val="24"/>
          <w:szCs w:val="24"/>
        </w:rPr>
        <w:t>除专用条件另有约定外，酬金均以人民币支付。涉及外币支付的，所采用的货币种类、比例和汇率在专用条件中约定。</w:t>
      </w:r>
    </w:p>
    <w:p>
      <w:pPr>
        <w:snapToGrid w:val="0"/>
        <w:spacing w:line="360" w:lineRule="auto"/>
        <w:ind w:firstLine="480" w:firstLineChars="200"/>
        <w:rPr>
          <w:bCs/>
          <w:sz w:val="24"/>
          <w:szCs w:val="24"/>
        </w:rPr>
      </w:pPr>
      <w:r>
        <w:rPr>
          <w:sz w:val="24"/>
          <w:szCs w:val="24"/>
        </w:rPr>
        <w:t>5.2 支付申请</w:t>
      </w:r>
    </w:p>
    <w:p>
      <w:pPr>
        <w:snapToGrid w:val="0"/>
        <w:spacing w:line="360" w:lineRule="auto"/>
        <w:ind w:firstLine="480" w:firstLineChars="200"/>
        <w:rPr>
          <w:sz w:val="24"/>
          <w:szCs w:val="24"/>
        </w:rPr>
      </w:pPr>
      <w:r>
        <w:rPr>
          <w:sz w:val="24"/>
          <w:szCs w:val="24"/>
        </w:rPr>
        <w:t>监理人应在本合同约定的每次应付款时间的7天前，向委托人提交支付申请书。支付申请书应当说明当期应付款总额，并列出当期应支付的款项及其金额。</w:t>
      </w:r>
    </w:p>
    <w:p>
      <w:pPr>
        <w:snapToGrid w:val="0"/>
        <w:spacing w:line="360" w:lineRule="auto"/>
        <w:ind w:firstLine="480" w:firstLineChars="200"/>
        <w:rPr>
          <w:sz w:val="24"/>
          <w:szCs w:val="24"/>
        </w:rPr>
      </w:pPr>
      <w:r>
        <w:rPr>
          <w:sz w:val="24"/>
          <w:szCs w:val="24"/>
        </w:rPr>
        <w:t xml:space="preserve"> 5.3 支付酬金</w:t>
      </w:r>
    </w:p>
    <w:p>
      <w:pPr>
        <w:snapToGrid w:val="0"/>
        <w:spacing w:line="360" w:lineRule="auto"/>
        <w:ind w:firstLine="480" w:firstLineChars="200"/>
        <w:rPr>
          <w:sz w:val="24"/>
          <w:szCs w:val="24"/>
        </w:rPr>
      </w:pPr>
      <w:r>
        <w:rPr>
          <w:sz w:val="24"/>
          <w:szCs w:val="24"/>
        </w:rPr>
        <w:t>支付的酬金包括正常工作酬金、附加工作酬金、合理化建议奖励金额及费用。</w:t>
      </w:r>
    </w:p>
    <w:p>
      <w:pPr>
        <w:snapToGrid w:val="0"/>
        <w:spacing w:line="360" w:lineRule="auto"/>
        <w:ind w:firstLine="480" w:firstLineChars="200"/>
        <w:rPr>
          <w:bCs/>
          <w:sz w:val="24"/>
          <w:szCs w:val="24"/>
        </w:rPr>
      </w:pPr>
      <w:r>
        <w:rPr>
          <w:sz w:val="24"/>
          <w:szCs w:val="24"/>
        </w:rPr>
        <w:t xml:space="preserve">  5.4 </w:t>
      </w:r>
      <w:r>
        <w:rPr>
          <w:bCs/>
          <w:sz w:val="24"/>
          <w:szCs w:val="24"/>
        </w:rPr>
        <w:t>有争议部分的付款</w:t>
      </w:r>
    </w:p>
    <w:p>
      <w:pPr>
        <w:snapToGrid w:val="0"/>
        <w:spacing w:line="360" w:lineRule="auto"/>
        <w:ind w:firstLine="480" w:firstLineChars="200"/>
        <w:rPr>
          <w:sz w:val="24"/>
          <w:szCs w:val="24"/>
        </w:rPr>
      </w:pPr>
      <w:r>
        <w:rPr>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ind w:firstLine="480" w:firstLineChars="200"/>
        <w:rPr>
          <w:bCs/>
          <w:sz w:val="24"/>
          <w:szCs w:val="24"/>
        </w:rPr>
      </w:pPr>
      <w:r>
        <w:rPr>
          <w:bCs/>
          <w:sz w:val="24"/>
          <w:szCs w:val="24"/>
        </w:rPr>
        <w:t>6. 合同生效、变更、暂停、解除与终止</w:t>
      </w:r>
    </w:p>
    <w:p>
      <w:pPr>
        <w:spacing w:line="360" w:lineRule="auto"/>
        <w:ind w:firstLine="480" w:firstLineChars="200"/>
        <w:rPr>
          <w:sz w:val="24"/>
          <w:szCs w:val="24"/>
        </w:rPr>
      </w:pPr>
      <w:r>
        <w:rPr>
          <w:sz w:val="24"/>
          <w:szCs w:val="24"/>
        </w:rPr>
        <w:t>6.1生效</w:t>
      </w:r>
    </w:p>
    <w:p>
      <w:pPr>
        <w:spacing w:line="360" w:lineRule="auto"/>
        <w:ind w:firstLine="480" w:firstLineChars="200"/>
        <w:rPr>
          <w:sz w:val="24"/>
          <w:szCs w:val="24"/>
        </w:rPr>
      </w:pPr>
      <w:r>
        <w:rPr>
          <w:sz w:val="24"/>
          <w:szCs w:val="24"/>
        </w:rPr>
        <w:t>除法律另有规定或者专用条件另有约定外，委托人和监理人的法定代表人或其授权代理人在协议书上签字并</w:t>
      </w:r>
      <w:r>
        <w:rPr>
          <w:rFonts w:hint="eastAsia"/>
          <w:sz w:val="24"/>
          <w:szCs w:val="24"/>
        </w:rPr>
        <w:t>盖单位公章</w:t>
      </w:r>
      <w:r>
        <w:rPr>
          <w:sz w:val="24"/>
          <w:szCs w:val="24"/>
        </w:rPr>
        <w:t>后本合同生效。</w:t>
      </w:r>
    </w:p>
    <w:p>
      <w:pPr>
        <w:snapToGrid w:val="0"/>
        <w:spacing w:line="360" w:lineRule="auto"/>
        <w:ind w:firstLine="480" w:firstLineChars="200"/>
        <w:rPr>
          <w:bCs/>
          <w:sz w:val="24"/>
          <w:szCs w:val="24"/>
        </w:rPr>
      </w:pPr>
      <w:r>
        <w:rPr>
          <w:sz w:val="24"/>
          <w:szCs w:val="24"/>
        </w:rPr>
        <w:t>6.2</w:t>
      </w:r>
      <w:r>
        <w:rPr>
          <w:bCs/>
          <w:sz w:val="24"/>
          <w:szCs w:val="24"/>
        </w:rPr>
        <w:t>变更</w:t>
      </w:r>
    </w:p>
    <w:p>
      <w:pPr>
        <w:snapToGrid w:val="0"/>
        <w:spacing w:line="360" w:lineRule="auto"/>
        <w:ind w:firstLine="480" w:firstLineChars="200"/>
        <w:rPr>
          <w:sz w:val="24"/>
          <w:szCs w:val="24"/>
        </w:rPr>
      </w:pPr>
      <w:r>
        <w:rPr>
          <w:sz w:val="24"/>
          <w:szCs w:val="24"/>
        </w:rPr>
        <w:t>6.2.1 任何一方提出变更请求时，双方经协商一致后可进行变更。</w:t>
      </w:r>
    </w:p>
    <w:p>
      <w:pPr>
        <w:adjustRightInd w:val="0"/>
        <w:snapToGrid w:val="0"/>
        <w:spacing w:line="360" w:lineRule="auto"/>
        <w:ind w:firstLine="480" w:firstLineChars="200"/>
        <w:rPr>
          <w:sz w:val="24"/>
          <w:szCs w:val="24"/>
        </w:rPr>
      </w:pPr>
      <w:r>
        <w:rPr>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480" w:firstLineChars="200"/>
        <w:rPr>
          <w:sz w:val="24"/>
          <w:szCs w:val="24"/>
        </w:rPr>
      </w:pPr>
      <w:r>
        <w:rPr>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firstLine="480" w:firstLineChars="200"/>
        <w:rPr>
          <w:sz w:val="24"/>
          <w:szCs w:val="24"/>
        </w:rPr>
      </w:pPr>
      <w:r>
        <w:rPr>
          <w:sz w:val="24"/>
          <w:szCs w:val="24"/>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80" w:firstLineChars="200"/>
        <w:rPr>
          <w:sz w:val="24"/>
          <w:szCs w:val="24"/>
        </w:rPr>
      </w:pPr>
      <w:r>
        <w:rPr>
          <w:sz w:val="24"/>
          <w:szCs w:val="24"/>
        </w:rPr>
        <w:t>6.2.5 因非监理人原因造成工程概算投资额或建筑安装工程费增加时，正常工作酬金应作相应调整。调整方法在专用条件中约定。</w:t>
      </w:r>
    </w:p>
    <w:p>
      <w:pPr>
        <w:snapToGrid w:val="0"/>
        <w:spacing w:line="360" w:lineRule="auto"/>
        <w:ind w:firstLine="480" w:firstLineChars="200"/>
        <w:rPr>
          <w:sz w:val="24"/>
          <w:szCs w:val="24"/>
        </w:rPr>
      </w:pPr>
      <w:r>
        <w:rPr>
          <w:sz w:val="24"/>
          <w:szCs w:val="24"/>
        </w:rPr>
        <w:t>6.2.6 因工程规模、监理范围的变化导致监理人的正常工作量减少时，正常工作酬金应作相应调整。调整方法在专用条件中约定。</w:t>
      </w:r>
    </w:p>
    <w:p>
      <w:pPr>
        <w:snapToGrid w:val="0"/>
        <w:spacing w:line="360" w:lineRule="auto"/>
        <w:ind w:firstLine="480" w:firstLineChars="200"/>
        <w:rPr>
          <w:bCs/>
          <w:sz w:val="24"/>
          <w:szCs w:val="24"/>
        </w:rPr>
      </w:pPr>
      <w:r>
        <w:rPr>
          <w:sz w:val="24"/>
          <w:szCs w:val="24"/>
        </w:rPr>
        <w:t xml:space="preserve">  6.3 暂停与</w:t>
      </w:r>
      <w:r>
        <w:rPr>
          <w:bCs/>
          <w:sz w:val="24"/>
          <w:szCs w:val="24"/>
        </w:rPr>
        <w:t>解除</w:t>
      </w:r>
    </w:p>
    <w:p>
      <w:pPr>
        <w:adjustRightInd w:val="0"/>
        <w:snapToGrid w:val="0"/>
        <w:spacing w:line="360" w:lineRule="auto"/>
        <w:ind w:firstLine="480" w:firstLineChars="200"/>
        <w:rPr>
          <w:sz w:val="24"/>
          <w:szCs w:val="24"/>
        </w:rPr>
      </w:pPr>
      <w:r>
        <w:rPr>
          <w:sz w:val="24"/>
          <w:szCs w:val="24"/>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80" w:firstLineChars="200"/>
        <w:rPr>
          <w:sz w:val="24"/>
          <w:szCs w:val="24"/>
        </w:rPr>
      </w:pPr>
      <w:r>
        <w:rPr>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80" w:firstLineChars="200"/>
        <w:rPr>
          <w:sz w:val="24"/>
          <w:szCs w:val="24"/>
        </w:rPr>
      </w:pPr>
      <w:r>
        <w:rPr>
          <w:sz w:val="24"/>
          <w:szCs w:val="24"/>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480" w:firstLineChars="200"/>
        <w:rPr>
          <w:sz w:val="24"/>
          <w:szCs w:val="24"/>
        </w:rPr>
      </w:pPr>
      <w:r>
        <w:rPr>
          <w:sz w:val="24"/>
          <w:szCs w:val="24"/>
        </w:rPr>
        <w:t>解除本合同的协议必须采取书面形式，协议未达成之前，本合同仍然有效。</w:t>
      </w:r>
    </w:p>
    <w:p>
      <w:pPr>
        <w:adjustRightInd w:val="0"/>
        <w:snapToGrid w:val="0"/>
        <w:spacing w:line="360" w:lineRule="auto"/>
        <w:ind w:firstLine="480" w:firstLineChars="200"/>
        <w:rPr>
          <w:sz w:val="24"/>
          <w:szCs w:val="24"/>
        </w:rPr>
      </w:pPr>
      <w:r>
        <w:rPr>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480" w:firstLineChars="200"/>
        <w:rPr>
          <w:sz w:val="24"/>
          <w:szCs w:val="24"/>
        </w:rPr>
      </w:pPr>
      <w:r>
        <w:rPr>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adjustRightInd w:val="0"/>
        <w:snapToGrid w:val="0"/>
        <w:spacing w:line="360" w:lineRule="auto"/>
        <w:ind w:firstLine="480" w:firstLineChars="200"/>
        <w:rPr>
          <w:sz w:val="24"/>
          <w:szCs w:val="24"/>
        </w:rPr>
      </w:pPr>
      <w:r>
        <w:rPr>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adjustRightInd w:val="0"/>
        <w:snapToGrid w:val="0"/>
        <w:spacing w:line="360" w:lineRule="auto"/>
        <w:ind w:firstLine="480" w:firstLineChars="200"/>
        <w:rPr>
          <w:sz w:val="24"/>
          <w:szCs w:val="24"/>
        </w:rPr>
      </w:pPr>
      <w:r>
        <w:rPr>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480" w:firstLineChars="200"/>
        <w:rPr>
          <w:kern w:val="0"/>
          <w:sz w:val="24"/>
          <w:szCs w:val="24"/>
        </w:rPr>
      </w:pPr>
      <w:r>
        <w:rPr>
          <w:sz w:val="24"/>
          <w:szCs w:val="24"/>
        </w:rPr>
        <w:t>6.3.5 因不可抗力致使本合同部分或全部不能履行时，一方应立即通知另一方，可暂停或解除本合同。</w:t>
      </w:r>
    </w:p>
    <w:p>
      <w:pPr>
        <w:snapToGrid w:val="0"/>
        <w:spacing w:line="360" w:lineRule="auto"/>
        <w:ind w:firstLine="480" w:firstLineChars="200"/>
        <w:rPr>
          <w:sz w:val="24"/>
          <w:szCs w:val="24"/>
        </w:rPr>
      </w:pPr>
      <w:r>
        <w:rPr>
          <w:sz w:val="24"/>
          <w:szCs w:val="24"/>
        </w:rPr>
        <w:t>6.3.6 本合同解除后，本合同约定的有关结算、清理、争议解决方式的条件仍然有效。</w:t>
      </w:r>
    </w:p>
    <w:p>
      <w:pPr>
        <w:snapToGrid w:val="0"/>
        <w:spacing w:line="360" w:lineRule="auto"/>
        <w:ind w:firstLine="480" w:firstLineChars="200"/>
        <w:rPr>
          <w:bCs/>
          <w:sz w:val="24"/>
          <w:szCs w:val="24"/>
        </w:rPr>
      </w:pPr>
      <w:r>
        <w:rPr>
          <w:sz w:val="24"/>
          <w:szCs w:val="24"/>
        </w:rPr>
        <w:t xml:space="preserve">6.4 </w:t>
      </w:r>
      <w:r>
        <w:rPr>
          <w:bCs/>
          <w:sz w:val="24"/>
          <w:szCs w:val="24"/>
        </w:rPr>
        <w:t>终止</w:t>
      </w:r>
    </w:p>
    <w:p>
      <w:pPr>
        <w:adjustRightInd w:val="0"/>
        <w:snapToGrid w:val="0"/>
        <w:spacing w:line="360" w:lineRule="auto"/>
        <w:ind w:firstLine="480" w:firstLineChars="200"/>
        <w:rPr>
          <w:sz w:val="24"/>
          <w:szCs w:val="24"/>
        </w:rPr>
      </w:pPr>
      <w:r>
        <w:rPr>
          <w:sz w:val="24"/>
          <w:szCs w:val="24"/>
        </w:rPr>
        <w:t>以下条件全部满足时，本合同即告终止：</w:t>
      </w:r>
    </w:p>
    <w:p>
      <w:pPr>
        <w:adjustRightInd w:val="0"/>
        <w:snapToGrid w:val="0"/>
        <w:spacing w:line="360" w:lineRule="auto"/>
        <w:ind w:firstLine="480" w:firstLineChars="200"/>
        <w:rPr>
          <w:sz w:val="24"/>
          <w:szCs w:val="24"/>
        </w:rPr>
      </w:pPr>
      <w:r>
        <w:rPr>
          <w:sz w:val="24"/>
          <w:szCs w:val="24"/>
        </w:rPr>
        <w:t>（1）监理人完成本合同约定的全部工作；</w:t>
      </w:r>
    </w:p>
    <w:p>
      <w:pPr>
        <w:snapToGrid w:val="0"/>
        <w:spacing w:line="360" w:lineRule="auto"/>
        <w:ind w:firstLine="480" w:firstLineChars="200"/>
        <w:rPr>
          <w:sz w:val="24"/>
          <w:szCs w:val="24"/>
        </w:rPr>
      </w:pPr>
      <w:r>
        <w:rPr>
          <w:sz w:val="24"/>
          <w:szCs w:val="24"/>
        </w:rPr>
        <w:t>（2）委托人与监理人结清并支付全部酬金。</w:t>
      </w:r>
    </w:p>
    <w:p>
      <w:pPr>
        <w:snapToGrid w:val="0"/>
        <w:spacing w:line="360" w:lineRule="auto"/>
        <w:ind w:firstLine="480" w:firstLineChars="200"/>
        <w:rPr>
          <w:bCs/>
          <w:sz w:val="24"/>
          <w:szCs w:val="24"/>
        </w:rPr>
      </w:pPr>
      <w:r>
        <w:rPr>
          <w:bCs/>
          <w:sz w:val="24"/>
          <w:szCs w:val="24"/>
        </w:rPr>
        <w:t>7. 争议解决</w:t>
      </w:r>
    </w:p>
    <w:p>
      <w:pPr>
        <w:snapToGrid w:val="0"/>
        <w:spacing w:line="360" w:lineRule="auto"/>
        <w:ind w:firstLine="480" w:firstLineChars="200"/>
        <w:rPr>
          <w:bCs/>
          <w:sz w:val="24"/>
          <w:szCs w:val="24"/>
        </w:rPr>
      </w:pPr>
      <w:r>
        <w:rPr>
          <w:sz w:val="24"/>
          <w:szCs w:val="24"/>
        </w:rPr>
        <w:t>7.1</w:t>
      </w:r>
      <w:r>
        <w:rPr>
          <w:bCs/>
          <w:sz w:val="24"/>
          <w:szCs w:val="24"/>
        </w:rPr>
        <w:t>协商</w:t>
      </w:r>
    </w:p>
    <w:p>
      <w:pPr>
        <w:snapToGrid w:val="0"/>
        <w:spacing w:line="360" w:lineRule="auto"/>
        <w:ind w:firstLine="480" w:firstLineChars="200"/>
        <w:rPr>
          <w:bCs/>
          <w:sz w:val="24"/>
          <w:szCs w:val="24"/>
        </w:rPr>
      </w:pPr>
      <w:r>
        <w:rPr>
          <w:sz w:val="24"/>
          <w:szCs w:val="24"/>
        </w:rPr>
        <w:t>双方应本着诚信原则协商解决彼此间的争议。</w:t>
      </w:r>
    </w:p>
    <w:p>
      <w:pPr>
        <w:snapToGrid w:val="0"/>
        <w:spacing w:line="360" w:lineRule="auto"/>
        <w:ind w:firstLine="480" w:firstLineChars="200"/>
        <w:rPr>
          <w:bCs/>
          <w:sz w:val="24"/>
          <w:szCs w:val="24"/>
        </w:rPr>
      </w:pPr>
      <w:r>
        <w:rPr>
          <w:sz w:val="24"/>
          <w:szCs w:val="24"/>
        </w:rPr>
        <w:t>7.2</w:t>
      </w:r>
      <w:r>
        <w:rPr>
          <w:bCs/>
          <w:sz w:val="24"/>
          <w:szCs w:val="24"/>
        </w:rPr>
        <w:t>调解</w:t>
      </w:r>
    </w:p>
    <w:p>
      <w:pPr>
        <w:snapToGrid w:val="0"/>
        <w:spacing w:line="360" w:lineRule="auto"/>
        <w:ind w:firstLine="480" w:firstLineChars="200"/>
        <w:rPr>
          <w:bCs/>
          <w:sz w:val="24"/>
          <w:szCs w:val="24"/>
        </w:rPr>
      </w:pPr>
      <w:r>
        <w:rPr>
          <w:sz w:val="24"/>
          <w:szCs w:val="24"/>
        </w:rPr>
        <w:t>如果双方不能在14天内或双方商定的其他时间内解决本合同争议，可以将其提交给专用条件约定的或事后达成协议的调解人进行调解。</w:t>
      </w:r>
    </w:p>
    <w:p>
      <w:pPr>
        <w:snapToGrid w:val="0"/>
        <w:spacing w:line="360" w:lineRule="auto"/>
        <w:ind w:firstLine="480" w:firstLineChars="200"/>
        <w:rPr>
          <w:bCs/>
          <w:sz w:val="24"/>
          <w:szCs w:val="24"/>
        </w:rPr>
      </w:pPr>
      <w:r>
        <w:rPr>
          <w:sz w:val="24"/>
          <w:szCs w:val="24"/>
        </w:rPr>
        <w:t>7.3</w:t>
      </w:r>
      <w:r>
        <w:rPr>
          <w:bCs/>
          <w:sz w:val="24"/>
          <w:szCs w:val="24"/>
        </w:rPr>
        <w:t>仲裁或诉讼</w:t>
      </w:r>
    </w:p>
    <w:p>
      <w:pPr>
        <w:snapToGrid w:val="0"/>
        <w:spacing w:line="360" w:lineRule="auto"/>
        <w:ind w:firstLine="480" w:firstLineChars="200"/>
        <w:rPr>
          <w:sz w:val="24"/>
          <w:szCs w:val="24"/>
        </w:rPr>
      </w:pPr>
      <w:r>
        <w:rPr>
          <w:sz w:val="24"/>
          <w:szCs w:val="24"/>
        </w:rPr>
        <w:t>双方均有权不经调解直接向专用条件约定的仲裁机构申请仲裁或向有管辖权的人民法院提起诉讼。</w:t>
      </w:r>
    </w:p>
    <w:p>
      <w:pPr>
        <w:snapToGrid w:val="0"/>
        <w:spacing w:line="360" w:lineRule="auto"/>
        <w:ind w:firstLine="480" w:firstLineChars="200"/>
        <w:rPr>
          <w:bCs/>
          <w:sz w:val="24"/>
          <w:szCs w:val="24"/>
        </w:rPr>
      </w:pPr>
      <w:r>
        <w:rPr>
          <w:bCs/>
          <w:sz w:val="24"/>
          <w:szCs w:val="24"/>
        </w:rPr>
        <w:t>8. 其他</w:t>
      </w:r>
    </w:p>
    <w:p>
      <w:pPr>
        <w:spacing w:line="360" w:lineRule="auto"/>
        <w:ind w:firstLine="480" w:firstLineChars="200"/>
        <w:rPr>
          <w:bCs/>
          <w:sz w:val="24"/>
          <w:szCs w:val="24"/>
        </w:rPr>
      </w:pPr>
      <w:r>
        <w:rPr>
          <w:sz w:val="24"/>
          <w:szCs w:val="24"/>
        </w:rPr>
        <w:t xml:space="preserve">8.1 </w:t>
      </w:r>
      <w:r>
        <w:rPr>
          <w:bCs/>
          <w:sz w:val="24"/>
          <w:szCs w:val="24"/>
        </w:rPr>
        <w:t>外出考察费用</w:t>
      </w:r>
    </w:p>
    <w:p>
      <w:pPr>
        <w:snapToGrid w:val="0"/>
        <w:spacing w:line="360" w:lineRule="auto"/>
        <w:ind w:firstLine="480" w:firstLineChars="200"/>
        <w:rPr>
          <w:sz w:val="24"/>
          <w:szCs w:val="24"/>
        </w:rPr>
      </w:pPr>
      <w:r>
        <w:rPr>
          <w:sz w:val="24"/>
          <w:szCs w:val="24"/>
        </w:rPr>
        <w:t>经委托人同意，监理人员外出考察发生的费用由委托人审核后支付。</w:t>
      </w:r>
    </w:p>
    <w:p>
      <w:pPr>
        <w:snapToGrid w:val="0"/>
        <w:spacing w:line="360" w:lineRule="auto"/>
        <w:ind w:firstLine="480" w:firstLineChars="200"/>
        <w:rPr>
          <w:bCs/>
          <w:sz w:val="24"/>
          <w:szCs w:val="24"/>
        </w:rPr>
      </w:pPr>
      <w:r>
        <w:rPr>
          <w:sz w:val="24"/>
          <w:szCs w:val="24"/>
        </w:rPr>
        <w:t xml:space="preserve">8.2 </w:t>
      </w:r>
      <w:r>
        <w:rPr>
          <w:bCs/>
          <w:sz w:val="24"/>
          <w:szCs w:val="24"/>
        </w:rPr>
        <w:t>检测费用</w:t>
      </w:r>
    </w:p>
    <w:p>
      <w:pPr>
        <w:snapToGrid w:val="0"/>
        <w:spacing w:line="360" w:lineRule="auto"/>
        <w:ind w:firstLine="480" w:firstLineChars="200"/>
        <w:rPr>
          <w:bCs/>
          <w:sz w:val="24"/>
          <w:szCs w:val="24"/>
        </w:rPr>
      </w:pPr>
      <w:r>
        <w:rPr>
          <w:sz w:val="24"/>
          <w:szCs w:val="24"/>
        </w:rPr>
        <w:t>委托人要求监理人进行的材料和设备检测所发生的费用，由委托人支付，支付时间在专用条件中约定。</w:t>
      </w:r>
    </w:p>
    <w:p>
      <w:pPr>
        <w:snapToGrid w:val="0"/>
        <w:spacing w:line="360" w:lineRule="auto"/>
        <w:ind w:firstLine="480" w:firstLineChars="200"/>
        <w:rPr>
          <w:bCs/>
          <w:sz w:val="24"/>
          <w:szCs w:val="24"/>
        </w:rPr>
      </w:pPr>
      <w:r>
        <w:rPr>
          <w:sz w:val="24"/>
          <w:szCs w:val="24"/>
        </w:rPr>
        <w:t xml:space="preserve">8.3 </w:t>
      </w:r>
      <w:r>
        <w:rPr>
          <w:bCs/>
          <w:sz w:val="24"/>
          <w:szCs w:val="24"/>
        </w:rPr>
        <w:t>咨询费用</w:t>
      </w:r>
    </w:p>
    <w:p>
      <w:pPr>
        <w:snapToGrid w:val="0"/>
        <w:spacing w:line="360" w:lineRule="auto"/>
        <w:ind w:firstLine="480" w:firstLineChars="200"/>
        <w:rPr>
          <w:sz w:val="24"/>
          <w:szCs w:val="24"/>
        </w:rPr>
      </w:pPr>
      <w:r>
        <w:rPr>
          <w:sz w:val="24"/>
          <w:szCs w:val="24"/>
        </w:rPr>
        <w:t>经委托人同意，根据工程需要由监理人组织的相关咨询论证会以及聘请相关专家等发生的费用由委托人支付，支付时间在专用条件中约定。</w:t>
      </w:r>
    </w:p>
    <w:p>
      <w:pPr>
        <w:snapToGrid w:val="0"/>
        <w:spacing w:line="360" w:lineRule="auto"/>
        <w:ind w:firstLine="480" w:firstLineChars="200"/>
        <w:rPr>
          <w:bCs/>
          <w:sz w:val="24"/>
          <w:szCs w:val="24"/>
        </w:rPr>
      </w:pPr>
      <w:r>
        <w:rPr>
          <w:sz w:val="24"/>
          <w:szCs w:val="24"/>
        </w:rPr>
        <w:t xml:space="preserve">8.4 </w:t>
      </w:r>
      <w:r>
        <w:rPr>
          <w:bCs/>
          <w:sz w:val="24"/>
          <w:szCs w:val="24"/>
        </w:rPr>
        <w:t>奖励</w:t>
      </w:r>
    </w:p>
    <w:p>
      <w:pPr>
        <w:snapToGrid w:val="0"/>
        <w:spacing w:line="360" w:lineRule="auto"/>
        <w:ind w:firstLine="480" w:firstLineChars="200"/>
        <w:rPr>
          <w:sz w:val="24"/>
          <w:szCs w:val="24"/>
        </w:rPr>
      </w:pPr>
      <w:r>
        <w:rPr>
          <w:sz w:val="24"/>
          <w:szCs w:val="24"/>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firstLine="480" w:firstLineChars="200"/>
        <w:rPr>
          <w:bCs/>
          <w:sz w:val="24"/>
          <w:szCs w:val="24"/>
        </w:rPr>
      </w:pPr>
      <w:r>
        <w:rPr>
          <w:sz w:val="24"/>
          <w:szCs w:val="24"/>
        </w:rPr>
        <w:t xml:space="preserve">8.5 </w:t>
      </w:r>
      <w:r>
        <w:rPr>
          <w:bCs/>
          <w:sz w:val="24"/>
          <w:szCs w:val="24"/>
        </w:rPr>
        <w:t>守法诚信</w:t>
      </w:r>
    </w:p>
    <w:p>
      <w:pPr>
        <w:snapToGrid w:val="0"/>
        <w:spacing w:line="360" w:lineRule="auto"/>
        <w:ind w:firstLine="480" w:firstLineChars="200"/>
        <w:rPr>
          <w:bCs/>
          <w:sz w:val="24"/>
          <w:szCs w:val="24"/>
        </w:rPr>
      </w:pPr>
      <w:r>
        <w:rPr>
          <w:sz w:val="24"/>
          <w:szCs w:val="24"/>
        </w:rPr>
        <w:t>监理人及其工作人员不得从与实施工程有关的第三方处获得任何经济利益。</w:t>
      </w:r>
    </w:p>
    <w:p>
      <w:pPr>
        <w:snapToGrid w:val="0"/>
        <w:spacing w:line="360" w:lineRule="auto"/>
        <w:ind w:firstLine="480" w:firstLineChars="200"/>
        <w:rPr>
          <w:bCs/>
          <w:sz w:val="24"/>
          <w:szCs w:val="24"/>
        </w:rPr>
      </w:pPr>
      <w:r>
        <w:rPr>
          <w:sz w:val="24"/>
          <w:szCs w:val="24"/>
        </w:rPr>
        <w:t xml:space="preserve">8.6 </w:t>
      </w:r>
      <w:r>
        <w:rPr>
          <w:bCs/>
          <w:sz w:val="24"/>
          <w:szCs w:val="24"/>
        </w:rPr>
        <w:t>保密</w:t>
      </w:r>
    </w:p>
    <w:p>
      <w:pPr>
        <w:snapToGrid w:val="0"/>
        <w:spacing w:line="360" w:lineRule="auto"/>
        <w:ind w:firstLine="480" w:firstLineChars="200"/>
        <w:rPr>
          <w:bCs/>
          <w:sz w:val="24"/>
          <w:szCs w:val="24"/>
        </w:rPr>
      </w:pPr>
      <w:r>
        <w:rPr>
          <w:sz w:val="24"/>
          <w:szCs w:val="24"/>
        </w:rPr>
        <w:t>双方不得泄露对方申明的保密资料，亦不得泄露与实施工程有关的第三方所提供的保密资料，保密事项在专用条件中约定。</w:t>
      </w:r>
    </w:p>
    <w:p>
      <w:pPr>
        <w:snapToGrid w:val="0"/>
        <w:spacing w:line="360" w:lineRule="auto"/>
        <w:ind w:firstLine="480" w:firstLineChars="200"/>
        <w:rPr>
          <w:bCs/>
          <w:sz w:val="24"/>
          <w:szCs w:val="24"/>
        </w:rPr>
      </w:pPr>
      <w:r>
        <w:rPr>
          <w:sz w:val="24"/>
          <w:szCs w:val="24"/>
        </w:rPr>
        <w:t xml:space="preserve">8.7 </w:t>
      </w:r>
      <w:r>
        <w:rPr>
          <w:bCs/>
          <w:sz w:val="24"/>
          <w:szCs w:val="24"/>
        </w:rPr>
        <w:t>通知</w:t>
      </w:r>
    </w:p>
    <w:p>
      <w:pPr>
        <w:snapToGrid w:val="0"/>
        <w:spacing w:line="360" w:lineRule="auto"/>
        <w:ind w:firstLine="480" w:firstLineChars="200"/>
        <w:rPr>
          <w:bCs/>
          <w:sz w:val="24"/>
          <w:szCs w:val="24"/>
        </w:rPr>
      </w:pPr>
      <w:r>
        <w:rPr>
          <w:sz w:val="24"/>
          <w:szCs w:val="24"/>
        </w:rPr>
        <w:t>本合同涉及的通知均应当采用书面形式，并在送达对方时生效，收件人应书面签收。</w:t>
      </w:r>
    </w:p>
    <w:p>
      <w:pPr>
        <w:snapToGrid w:val="0"/>
        <w:spacing w:line="360" w:lineRule="auto"/>
        <w:ind w:firstLine="480" w:firstLineChars="200"/>
        <w:rPr>
          <w:bCs/>
          <w:sz w:val="24"/>
          <w:szCs w:val="24"/>
        </w:rPr>
      </w:pPr>
      <w:r>
        <w:rPr>
          <w:sz w:val="24"/>
          <w:szCs w:val="24"/>
        </w:rPr>
        <w:t xml:space="preserve">8.8 </w:t>
      </w:r>
      <w:r>
        <w:rPr>
          <w:bCs/>
          <w:sz w:val="24"/>
          <w:szCs w:val="24"/>
        </w:rPr>
        <w:t>著作权</w:t>
      </w:r>
    </w:p>
    <w:p>
      <w:pPr>
        <w:adjustRightInd w:val="0"/>
        <w:snapToGrid w:val="0"/>
        <w:spacing w:line="360" w:lineRule="auto"/>
        <w:ind w:firstLine="480" w:firstLineChars="200"/>
        <w:rPr>
          <w:sz w:val="24"/>
          <w:szCs w:val="24"/>
        </w:rPr>
      </w:pPr>
      <w:r>
        <w:rPr>
          <w:sz w:val="24"/>
          <w:szCs w:val="24"/>
        </w:rPr>
        <w:t>监理人对其编制的文件拥有著作权。</w:t>
      </w:r>
    </w:p>
    <w:p>
      <w:pPr>
        <w:snapToGrid w:val="0"/>
        <w:spacing w:line="360" w:lineRule="auto"/>
        <w:ind w:firstLine="480" w:firstLineChars="200"/>
        <w:rPr>
          <w:sz w:val="24"/>
          <w:szCs w:val="24"/>
        </w:rPr>
      </w:pPr>
      <w:r>
        <w:rPr>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360" w:lineRule="auto"/>
        <w:ind w:firstLine="480" w:firstLineChars="200"/>
        <w:rPr>
          <w:sz w:val="24"/>
          <w:szCs w:val="24"/>
        </w:rPr>
      </w:pPr>
      <w:r>
        <w:rPr>
          <w:sz w:val="24"/>
          <w:szCs w:val="24"/>
        </w:rPr>
        <w:t>第三部分  专用条件</w:t>
      </w:r>
    </w:p>
    <w:p>
      <w:pPr>
        <w:spacing w:line="360" w:lineRule="auto"/>
        <w:ind w:firstLine="480" w:firstLineChars="200"/>
        <w:rPr>
          <w:sz w:val="24"/>
          <w:szCs w:val="24"/>
        </w:rPr>
      </w:pPr>
    </w:p>
    <w:p>
      <w:pPr>
        <w:adjustRightInd w:val="0"/>
        <w:snapToGrid w:val="0"/>
        <w:spacing w:line="360" w:lineRule="auto"/>
        <w:ind w:firstLine="480" w:firstLineChars="200"/>
        <w:rPr>
          <w:sz w:val="24"/>
          <w:szCs w:val="24"/>
        </w:rPr>
      </w:pPr>
      <w:r>
        <w:rPr>
          <w:sz w:val="24"/>
          <w:szCs w:val="24"/>
        </w:rPr>
        <w:t>1. 定义与解释</w:t>
      </w:r>
    </w:p>
    <w:p>
      <w:pPr>
        <w:adjustRightInd w:val="0"/>
        <w:snapToGrid w:val="0"/>
        <w:spacing w:line="360" w:lineRule="auto"/>
        <w:ind w:firstLine="480" w:firstLineChars="200"/>
        <w:rPr>
          <w:sz w:val="24"/>
          <w:szCs w:val="24"/>
        </w:rPr>
      </w:pPr>
      <w:r>
        <w:rPr>
          <w:sz w:val="24"/>
          <w:szCs w:val="24"/>
        </w:rPr>
        <w:t xml:space="preserve">  1.2  解释</w:t>
      </w:r>
    </w:p>
    <w:p>
      <w:pPr>
        <w:adjustRightInd w:val="0"/>
        <w:snapToGrid w:val="0"/>
        <w:spacing w:line="360" w:lineRule="auto"/>
        <w:ind w:firstLine="480" w:firstLineChars="200"/>
        <w:rPr>
          <w:sz w:val="24"/>
          <w:szCs w:val="24"/>
        </w:rPr>
      </w:pPr>
      <w:r>
        <w:rPr>
          <w:sz w:val="24"/>
          <w:szCs w:val="24"/>
        </w:rPr>
        <w:t>1.2.1 本合同文件除使用中文外，还可用</w:t>
      </w:r>
      <w:r>
        <w:rPr>
          <w:sz w:val="24"/>
          <w:szCs w:val="24"/>
          <w:u w:val="single"/>
        </w:rPr>
        <w:t xml:space="preserve">   /   </w:t>
      </w:r>
      <w:r>
        <w:rPr>
          <w:sz w:val="24"/>
          <w:szCs w:val="24"/>
        </w:rPr>
        <w:t>。</w:t>
      </w:r>
    </w:p>
    <w:p>
      <w:pPr>
        <w:adjustRightInd w:val="0"/>
        <w:snapToGrid w:val="0"/>
        <w:spacing w:line="360" w:lineRule="auto"/>
        <w:ind w:firstLine="480" w:firstLineChars="200"/>
        <w:rPr>
          <w:sz w:val="24"/>
          <w:szCs w:val="24"/>
        </w:rPr>
      </w:pPr>
      <w:r>
        <w:rPr>
          <w:sz w:val="24"/>
          <w:szCs w:val="24"/>
        </w:rPr>
        <w:t>1.2.2 约定本合同文件的解释顺序为：</w:t>
      </w:r>
      <w:r>
        <w:rPr>
          <w:sz w:val="24"/>
          <w:szCs w:val="24"/>
          <w:u w:val="single"/>
        </w:rPr>
        <w:t xml:space="preserve"> 本合同协议书、投标函及投标函附录、专用合同条款、通用合同条款、监理大纲、其他合同文件        </w:t>
      </w:r>
      <w:r>
        <w:rPr>
          <w:sz w:val="24"/>
          <w:szCs w:val="24"/>
        </w:rPr>
        <w:t>。</w:t>
      </w:r>
    </w:p>
    <w:p>
      <w:pPr>
        <w:adjustRightInd w:val="0"/>
        <w:snapToGrid w:val="0"/>
        <w:spacing w:line="360" w:lineRule="auto"/>
        <w:ind w:firstLine="480" w:firstLineChars="200"/>
        <w:rPr>
          <w:sz w:val="24"/>
          <w:szCs w:val="24"/>
        </w:rPr>
      </w:pPr>
      <w:r>
        <w:rPr>
          <w:sz w:val="24"/>
          <w:szCs w:val="24"/>
        </w:rPr>
        <w:t>2. 监理人义务</w:t>
      </w:r>
    </w:p>
    <w:p>
      <w:pPr>
        <w:adjustRightInd w:val="0"/>
        <w:snapToGrid w:val="0"/>
        <w:spacing w:line="360" w:lineRule="auto"/>
        <w:ind w:firstLine="480" w:firstLineChars="200"/>
        <w:rPr>
          <w:sz w:val="24"/>
          <w:szCs w:val="24"/>
        </w:rPr>
      </w:pPr>
      <w:r>
        <w:rPr>
          <w:sz w:val="24"/>
          <w:szCs w:val="24"/>
        </w:rPr>
        <w:t>2.1 监理的范围和</w:t>
      </w:r>
      <w:r>
        <w:rPr>
          <w:bCs/>
          <w:sz w:val="24"/>
          <w:szCs w:val="24"/>
        </w:rPr>
        <w:t>内容</w:t>
      </w:r>
    </w:p>
    <w:p>
      <w:pPr>
        <w:adjustRightInd w:val="0"/>
        <w:snapToGrid w:val="0"/>
        <w:spacing w:line="360" w:lineRule="auto"/>
        <w:ind w:firstLine="480" w:firstLineChars="200"/>
        <w:jc w:val="left"/>
        <w:rPr>
          <w:sz w:val="24"/>
          <w:szCs w:val="24"/>
        </w:rPr>
      </w:pPr>
      <w:r>
        <w:rPr>
          <w:sz w:val="24"/>
          <w:szCs w:val="24"/>
        </w:rPr>
        <w:t>2.1.1 监理范围包括</w:t>
      </w:r>
      <w:r>
        <w:rPr>
          <w:sz w:val="24"/>
          <w:szCs w:val="24"/>
          <w:u w:val="single"/>
        </w:rPr>
        <w:t>：</w:t>
      </w:r>
      <w:r>
        <w:rPr>
          <w:rFonts w:hint="eastAsia"/>
          <w:sz w:val="24"/>
          <w:szCs w:val="24"/>
          <w:u w:val="single"/>
        </w:rPr>
        <w:t xml:space="preserve">                    </w:t>
      </w:r>
      <w:r>
        <w:rPr>
          <w:sz w:val="24"/>
          <w:szCs w:val="24"/>
          <w:u w:val="single"/>
        </w:rPr>
        <w:t>，包括：</w:t>
      </w:r>
      <w:r>
        <w:rPr>
          <w:rFonts w:hint="eastAsia"/>
          <w:sz w:val="24"/>
          <w:szCs w:val="24"/>
          <w:u w:val="single"/>
        </w:rPr>
        <w:t>施工</w:t>
      </w:r>
      <w:r>
        <w:rPr>
          <w:sz w:val="24"/>
          <w:szCs w:val="24"/>
          <w:u w:val="single"/>
        </w:rPr>
        <w:t>准备阶段、</w:t>
      </w:r>
      <w:r>
        <w:rPr>
          <w:rFonts w:hint="eastAsia"/>
          <w:sz w:val="24"/>
          <w:szCs w:val="24"/>
          <w:u w:val="single"/>
        </w:rPr>
        <w:t>设备及主要材料监造、施工</w:t>
      </w:r>
      <w:r>
        <w:rPr>
          <w:sz w:val="24"/>
          <w:szCs w:val="24"/>
          <w:u w:val="single"/>
        </w:rPr>
        <w:t>阶段、竣工结算阶段、质量保修阶段等全过程监理</w:t>
      </w:r>
      <w:r>
        <w:rPr>
          <w:rFonts w:hint="eastAsia"/>
          <w:sz w:val="24"/>
          <w:szCs w:val="24"/>
          <w:u w:val="single"/>
        </w:rPr>
        <w:t>服务。</w:t>
      </w:r>
    </w:p>
    <w:p>
      <w:pPr>
        <w:adjustRightInd w:val="0"/>
        <w:snapToGrid w:val="0"/>
        <w:spacing w:line="360" w:lineRule="auto"/>
        <w:ind w:firstLine="480" w:firstLineChars="200"/>
        <w:rPr>
          <w:sz w:val="24"/>
          <w:szCs w:val="24"/>
          <w:u w:val="single"/>
        </w:rPr>
      </w:pPr>
      <w:r>
        <w:rPr>
          <w:sz w:val="24"/>
          <w:szCs w:val="24"/>
        </w:rPr>
        <w:t>2.1.2 监理工作内容还包括：</w:t>
      </w:r>
      <w:r>
        <w:rPr>
          <w:sz w:val="24"/>
          <w:u w:val="single"/>
        </w:rPr>
        <w:t>四控、两管、一协调，具体内容如下：</w:t>
      </w:r>
    </w:p>
    <w:p>
      <w:pPr>
        <w:pStyle w:val="27"/>
        <w:spacing w:line="360" w:lineRule="auto"/>
        <w:ind w:left="0" w:right="210" w:firstLine="960" w:firstLineChars="400"/>
        <w:rPr>
          <w:sz w:val="24"/>
          <w:u w:val="single"/>
        </w:rPr>
      </w:pPr>
      <w:r>
        <w:rPr>
          <w:sz w:val="24"/>
          <w:u w:val="single"/>
        </w:rPr>
        <w:t>质量控制：按设计文件、现行标准及规范进行质量控制；</w:t>
      </w:r>
    </w:p>
    <w:p>
      <w:pPr>
        <w:pStyle w:val="27"/>
        <w:spacing w:line="360" w:lineRule="auto"/>
        <w:ind w:left="0" w:right="210" w:firstLine="960" w:firstLineChars="400"/>
        <w:rPr>
          <w:sz w:val="24"/>
          <w:u w:val="single"/>
        </w:rPr>
      </w:pPr>
      <w:r>
        <w:rPr>
          <w:sz w:val="24"/>
          <w:u w:val="single"/>
        </w:rPr>
        <w:t>进度控制：以施工合同、批准的施工组织设计进行进度控制；</w:t>
      </w:r>
    </w:p>
    <w:p>
      <w:pPr>
        <w:pStyle w:val="27"/>
        <w:spacing w:line="360" w:lineRule="auto"/>
        <w:ind w:left="0" w:right="210" w:firstLine="960" w:firstLineChars="400"/>
        <w:rPr>
          <w:sz w:val="24"/>
          <w:u w:val="single"/>
        </w:rPr>
      </w:pPr>
      <w:r>
        <w:rPr>
          <w:sz w:val="24"/>
          <w:u w:val="single"/>
        </w:rPr>
        <w:t>投资控制：对施工过程中现场签证、设计变更、进度款拨付进行控制；</w:t>
      </w:r>
    </w:p>
    <w:p>
      <w:pPr>
        <w:pStyle w:val="27"/>
        <w:spacing w:line="360" w:lineRule="auto"/>
        <w:ind w:left="0" w:right="210" w:firstLine="960" w:firstLineChars="400"/>
        <w:rPr>
          <w:sz w:val="24"/>
          <w:u w:val="single"/>
        </w:rPr>
      </w:pPr>
      <w:r>
        <w:rPr>
          <w:sz w:val="24"/>
          <w:u w:val="single"/>
        </w:rPr>
        <w:t>安全及文明施工控制：对现场安全及文明施工进行控制；</w:t>
      </w:r>
    </w:p>
    <w:p>
      <w:pPr>
        <w:pStyle w:val="27"/>
        <w:spacing w:line="360" w:lineRule="auto"/>
        <w:ind w:left="0" w:right="210" w:firstLine="960" w:firstLineChars="400"/>
        <w:rPr>
          <w:sz w:val="24"/>
        </w:rPr>
      </w:pPr>
      <w:r>
        <w:rPr>
          <w:sz w:val="24"/>
          <w:u w:val="single"/>
        </w:rPr>
        <w:t>合同管理：对施工合同及相关合同进行管理；</w:t>
      </w:r>
    </w:p>
    <w:p>
      <w:pPr>
        <w:pStyle w:val="27"/>
        <w:spacing w:line="360" w:lineRule="auto"/>
        <w:ind w:left="0" w:right="210" w:firstLine="960" w:firstLineChars="400"/>
        <w:rPr>
          <w:sz w:val="24"/>
          <w:u w:val="single"/>
        </w:rPr>
      </w:pPr>
      <w:r>
        <w:rPr>
          <w:sz w:val="24"/>
          <w:u w:val="single"/>
        </w:rPr>
        <w:t>信息管理：对内业资料进行管理及收集；</w:t>
      </w:r>
    </w:p>
    <w:p>
      <w:pPr>
        <w:adjustRightInd w:val="0"/>
        <w:snapToGrid w:val="0"/>
        <w:spacing w:line="360" w:lineRule="auto"/>
        <w:ind w:firstLine="960" w:firstLineChars="400"/>
        <w:rPr>
          <w:sz w:val="24"/>
          <w:szCs w:val="24"/>
        </w:rPr>
      </w:pPr>
      <w:r>
        <w:rPr>
          <w:sz w:val="24"/>
          <w:u w:val="single"/>
        </w:rPr>
        <w:t>协    调：协调施工各方关系（如工序交接、工序交叉等）。</w:t>
      </w:r>
    </w:p>
    <w:p>
      <w:pPr>
        <w:spacing w:line="360" w:lineRule="auto"/>
        <w:ind w:firstLine="480" w:firstLineChars="200"/>
        <w:rPr>
          <w:sz w:val="24"/>
          <w:szCs w:val="24"/>
        </w:rPr>
      </w:pPr>
      <w:r>
        <w:rPr>
          <w:sz w:val="24"/>
          <w:szCs w:val="24"/>
        </w:rPr>
        <w:t>2.2 监理与相关服务依据</w:t>
      </w:r>
    </w:p>
    <w:p>
      <w:pPr>
        <w:spacing w:line="360" w:lineRule="auto"/>
        <w:ind w:firstLine="480" w:firstLineChars="200"/>
        <w:rPr>
          <w:sz w:val="24"/>
          <w:szCs w:val="24"/>
        </w:rPr>
      </w:pPr>
      <w:r>
        <w:rPr>
          <w:sz w:val="24"/>
          <w:szCs w:val="24"/>
        </w:rPr>
        <w:t>2.2.1 监理依据包括：</w:t>
      </w:r>
      <w:r>
        <w:rPr>
          <w:rFonts w:hint="eastAsia"/>
          <w:sz w:val="24"/>
          <w:szCs w:val="24"/>
          <w:u w:val="single"/>
        </w:rPr>
        <w:t xml:space="preserve">        </w:t>
      </w:r>
      <w:r>
        <w:rPr>
          <w:sz w:val="24"/>
          <w:szCs w:val="24"/>
          <w:u w:val="single"/>
        </w:rPr>
        <w:t>。</w:t>
      </w:r>
    </w:p>
    <w:p>
      <w:pPr>
        <w:adjustRightInd w:val="0"/>
        <w:snapToGrid w:val="0"/>
        <w:spacing w:line="360" w:lineRule="auto"/>
        <w:ind w:firstLine="480" w:firstLineChars="200"/>
        <w:rPr>
          <w:sz w:val="24"/>
          <w:szCs w:val="24"/>
        </w:rPr>
      </w:pPr>
      <w:r>
        <w:rPr>
          <w:sz w:val="24"/>
          <w:szCs w:val="24"/>
        </w:rPr>
        <w:t>2.2.2 相关服务依据包括：</w:t>
      </w:r>
      <w:r>
        <w:rPr>
          <w:sz w:val="24"/>
          <w:szCs w:val="24"/>
          <w:u w:val="single"/>
        </w:rPr>
        <w:t xml:space="preserve">                              </w:t>
      </w:r>
      <w:r>
        <w:rPr>
          <w:sz w:val="24"/>
          <w:szCs w:val="24"/>
        </w:rPr>
        <w:t>。</w:t>
      </w:r>
    </w:p>
    <w:p>
      <w:pPr>
        <w:adjustRightInd w:val="0"/>
        <w:snapToGrid w:val="0"/>
        <w:spacing w:line="360" w:lineRule="auto"/>
        <w:ind w:firstLine="480" w:firstLineChars="200"/>
        <w:rPr>
          <w:sz w:val="24"/>
          <w:szCs w:val="24"/>
        </w:rPr>
      </w:pPr>
      <w:r>
        <w:rPr>
          <w:sz w:val="24"/>
          <w:szCs w:val="24"/>
        </w:rPr>
        <w:t>2.3项目监理机构和人员</w:t>
      </w:r>
    </w:p>
    <w:p>
      <w:pPr>
        <w:adjustRightInd w:val="0"/>
        <w:snapToGrid w:val="0"/>
        <w:spacing w:line="360" w:lineRule="auto"/>
        <w:ind w:firstLine="480" w:firstLineChars="200"/>
        <w:rPr>
          <w:sz w:val="24"/>
          <w:szCs w:val="24"/>
        </w:rPr>
      </w:pPr>
      <w:r>
        <w:rPr>
          <w:sz w:val="24"/>
          <w:szCs w:val="24"/>
        </w:rPr>
        <w:t>2.3.</w:t>
      </w:r>
      <w:r>
        <w:rPr>
          <w:rFonts w:hint="eastAsia"/>
          <w:sz w:val="24"/>
          <w:szCs w:val="24"/>
        </w:rPr>
        <w:t>1</w:t>
      </w:r>
      <w:r>
        <w:rPr>
          <w:sz w:val="24"/>
          <w:szCs w:val="24"/>
        </w:rPr>
        <w:t xml:space="preserve"> 更换监理人员的其他情形：</w:t>
      </w:r>
      <w:r>
        <w:rPr>
          <w:sz w:val="24"/>
          <w:szCs w:val="24"/>
          <w:u w:val="single"/>
        </w:rPr>
        <w:t xml:space="preserve">                      </w:t>
      </w:r>
      <w:r>
        <w:rPr>
          <w:sz w:val="24"/>
          <w:szCs w:val="24"/>
        </w:rPr>
        <w:t>。</w:t>
      </w:r>
    </w:p>
    <w:p>
      <w:pPr>
        <w:spacing w:line="360" w:lineRule="auto"/>
        <w:ind w:firstLine="480" w:firstLineChars="200"/>
        <w:rPr>
          <w:sz w:val="24"/>
          <w:szCs w:val="24"/>
        </w:rPr>
      </w:pPr>
      <w:r>
        <w:rPr>
          <w:sz w:val="24"/>
          <w:szCs w:val="24"/>
        </w:rPr>
        <w:t>2.4 履行职责</w:t>
      </w:r>
    </w:p>
    <w:p>
      <w:pPr>
        <w:adjustRightInd w:val="0"/>
        <w:snapToGrid w:val="0"/>
        <w:spacing w:line="360" w:lineRule="auto"/>
        <w:ind w:firstLine="480" w:firstLineChars="200"/>
        <w:rPr>
          <w:sz w:val="24"/>
          <w:szCs w:val="24"/>
          <w:u w:val="single"/>
        </w:rPr>
      </w:pPr>
      <w:r>
        <w:rPr>
          <w:sz w:val="24"/>
          <w:szCs w:val="24"/>
        </w:rPr>
        <w:t>2.4.</w:t>
      </w:r>
      <w:r>
        <w:rPr>
          <w:rFonts w:hint="eastAsia"/>
          <w:sz w:val="24"/>
          <w:szCs w:val="24"/>
        </w:rPr>
        <w:t>1</w:t>
      </w:r>
      <w:r>
        <w:rPr>
          <w:sz w:val="24"/>
          <w:szCs w:val="24"/>
        </w:rPr>
        <w:t>对监理人的授权范围：</w:t>
      </w:r>
      <w:r>
        <w:rPr>
          <w:sz w:val="24"/>
          <w:szCs w:val="24"/>
          <w:u w:val="single"/>
        </w:rPr>
        <w:t xml:space="preserve">                     </w:t>
      </w:r>
    </w:p>
    <w:p>
      <w:pPr>
        <w:adjustRightInd w:val="0"/>
        <w:snapToGrid w:val="0"/>
        <w:spacing w:line="360" w:lineRule="auto"/>
        <w:ind w:firstLine="480" w:firstLineChars="200"/>
        <w:rPr>
          <w:sz w:val="24"/>
          <w:szCs w:val="24"/>
        </w:rPr>
      </w:pPr>
      <w:r>
        <w:rPr>
          <w:sz w:val="24"/>
          <w:szCs w:val="24"/>
          <w:u w:val="single"/>
        </w:rPr>
        <w:t xml:space="preserve">                                                  </w:t>
      </w:r>
      <w:r>
        <w:rPr>
          <w:sz w:val="24"/>
          <w:szCs w:val="24"/>
        </w:rPr>
        <w:t>。</w:t>
      </w:r>
    </w:p>
    <w:p>
      <w:pPr>
        <w:adjustRightInd w:val="0"/>
        <w:snapToGrid w:val="0"/>
        <w:spacing w:line="360" w:lineRule="auto"/>
        <w:ind w:firstLine="480" w:firstLineChars="200"/>
        <w:rPr>
          <w:sz w:val="24"/>
          <w:szCs w:val="24"/>
        </w:rPr>
      </w:pPr>
      <w:r>
        <w:rPr>
          <w:sz w:val="24"/>
          <w:szCs w:val="24"/>
        </w:rPr>
        <w:t>在涉及工程延期</w:t>
      </w:r>
      <w:r>
        <w:rPr>
          <w:sz w:val="24"/>
          <w:szCs w:val="24"/>
          <w:u w:val="single"/>
        </w:rPr>
        <w:t xml:space="preserve">      </w:t>
      </w:r>
      <w:r>
        <w:rPr>
          <w:sz w:val="24"/>
          <w:szCs w:val="24"/>
        </w:rPr>
        <w:t>天内和（或）金额</w:t>
      </w:r>
      <w:r>
        <w:rPr>
          <w:sz w:val="24"/>
          <w:szCs w:val="24"/>
          <w:u w:val="single"/>
        </w:rPr>
        <w:t xml:space="preserve">       </w:t>
      </w:r>
      <w:r>
        <w:rPr>
          <w:sz w:val="24"/>
          <w:szCs w:val="24"/>
        </w:rPr>
        <w:t>万元内的变更，监理人不需请示委托人即可向承包人发布变更通知。</w:t>
      </w:r>
    </w:p>
    <w:p>
      <w:pPr>
        <w:adjustRightInd w:val="0"/>
        <w:snapToGrid w:val="0"/>
        <w:spacing w:line="360" w:lineRule="auto"/>
        <w:ind w:firstLine="480" w:firstLineChars="200"/>
        <w:rPr>
          <w:sz w:val="24"/>
          <w:szCs w:val="24"/>
        </w:rPr>
      </w:pPr>
      <w:r>
        <w:rPr>
          <w:sz w:val="24"/>
          <w:szCs w:val="24"/>
        </w:rPr>
        <w:t>2.4.</w:t>
      </w:r>
      <w:r>
        <w:rPr>
          <w:rFonts w:hint="eastAsia"/>
          <w:sz w:val="24"/>
          <w:szCs w:val="24"/>
        </w:rPr>
        <w:t>2</w:t>
      </w:r>
      <w:r>
        <w:rPr>
          <w:sz w:val="24"/>
          <w:szCs w:val="24"/>
        </w:rPr>
        <w:t>监理人有权要求承包人调换其人员的限制条件：</w:t>
      </w:r>
      <w:r>
        <w:rPr>
          <w:sz w:val="24"/>
          <w:szCs w:val="24"/>
          <w:u w:val="single"/>
        </w:rPr>
        <w:t xml:space="preserve">          </w:t>
      </w:r>
    </w:p>
    <w:p>
      <w:pPr>
        <w:adjustRightInd w:val="0"/>
        <w:snapToGrid w:val="0"/>
        <w:spacing w:line="360" w:lineRule="auto"/>
        <w:ind w:firstLine="480" w:firstLineChars="200"/>
        <w:rPr>
          <w:sz w:val="24"/>
          <w:szCs w:val="24"/>
        </w:rPr>
      </w:pPr>
      <w:r>
        <w:rPr>
          <w:sz w:val="24"/>
          <w:szCs w:val="24"/>
          <w:u w:val="single"/>
        </w:rPr>
        <w:t xml:space="preserve">                                                                </w:t>
      </w:r>
      <w:r>
        <w:rPr>
          <w:sz w:val="24"/>
          <w:szCs w:val="24"/>
        </w:rPr>
        <w:t>。</w:t>
      </w:r>
    </w:p>
    <w:p>
      <w:pPr>
        <w:adjustRightInd w:val="0"/>
        <w:snapToGrid w:val="0"/>
        <w:spacing w:line="360" w:lineRule="auto"/>
        <w:ind w:firstLine="480" w:firstLineChars="200"/>
        <w:rPr>
          <w:sz w:val="24"/>
          <w:szCs w:val="24"/>
        </w:rPr>
      </w:pPr>
      <w:r>
        <w:rPr>
          <w:sz w:val="24"/>
          <w:szCs w:val="24"/>
        </w:rPr>
        <w:t>2.5 提交报告</w:t>
      </w:r>
    </w:p>
    <w:p>
      <w:pPr>
        <w:adjustRightInd w:val="0"/>
        <w:snapToGrid w:val="0"/>
        <w:spacing w:line="360" w:lineRule="auto"/>
        <w:ind w:firstLine="480" w:firstLineChars="200"/>
        <w:rPr>
          <w:sz w:val="24"/>
          <w:szCs w:val="24"/>
          <w:u w:val="single"/>
        </w:rPr>
      </w:pPr>
      <w:r>
        <w:rPr>
          <w:sz w:val="24"/>
          <w:szCs w:val="24"/>
        </w:rPr>
        <w:t>监理人应提交报告的种类(包括监理规划、监理月报及约定的专项报告)、时间和份数：</w:t>
      </w:r>
      <w:r>
        <w:rPr>
          <w:sz w:val="24"/>
          <w:szCs w:val="24"/>
          <w:u w:val="single"/>
        </w:rPr>
        <w:t xml:space="preserve">                                                                                                     </w:t>
      </w:r>
    </w:p>
    <w:p>
      <w:pPr>
        <w:adjustRightInd w:val="0"/>
        <w:snapToGrid w:val="0"/>
        <w:spacing w:line="360" w:lineRule="auto"/>
        <w:ind w:firstLine="480" w:firstLineChars="200"/>
        <w:rPr>
          <w:sz w:val="24"/>
          <w:szCs w:val="24"/>
          <w:u w:val="single"/>
        </w:rPr>
      </w:pPr>
      <w:r>
        <w:rPr>
          <w:sz w:val="24"/>
          <w:szCs w:val="24"/>
          <w:u w:val="single"/>
        </w:rPr>
        <w:t xml:space="preserve">                                                                  </w:t>
      </w:r>
    </w:p>
    <w:p>
      <w:pPr>
        <w:adjustRightInd w:val="0"/>
        <w:snapToGrid w:val="0"/>
        <w:spacing w:line="360" w:lineRule="auto"/>
        <w:ind w:firstLine="480" w:firstLineChars="200"/>
        <w:rPr>
          <w:sz w:val="24"/>
          <w:szCs w:val="24"/>
          <w:u w:val="single"/>
        </w:rPr>
      </w:pPr>
      <w:r>
        <w:rPr>
          <w:sz w:val="24"/>
          <w:szCs w:val="24"/>
          <w:u w:val="single"/>
        </w:rPr>
        <w:t xml:space="preserve">                                                  </w:t>
      </w:r>
      <w:r>
        <w:rPr>
          <w:sz w:val="24"/>
          <w:szCs w:val="24"/>
        </w:rPr>
        <w:t>。</w:t>
      </w:r>
    </w:p>
    <w:p>
      <w:pPr>
        <w:spacing w:line="360" w:lineRule="auto"/>
        <w:ind w:firstLine="480" w:firstLineChars="200"/>
        <w:rPr>
          <w:kern w:val="0"/>
          <w:sz w:val="24"/>
          <w:szCs w:val="24"/>
        </w:rPr>
      </w:pPr>
      <w:r>
        <w:rPr>
          <w:sz w:val="24"/>
          <w:szCs w:val="24"/>
        </w:rPr>
        <w:t xml:space="preserve"> 2.7 使用委托人的财产</w:t>
      </w:r>
    </w:p>
    <w:p>
      <w:pPr>
        <w:spacing w:line="360" w:lineRule="auto"/>
        <w:ind w:firstLine="480" w:firstLineChars="200"/>
        <w:rPr>
          <w:sz w:val="24"/>
          <w:szCs w:val="24"/>
        </w:rPr>
      </w:pPr>
      <w:r>
        <w:rPr>
          <w:sz w:val="24"/>
          <w:szCs w:val="24"/>
        </w:rPr>
        <w:t xml:space="preserve">     附录B中由委托人无偿提供的房屋、设备的所有权属于：</w:t>
      </w:r>
      <w:r>
        <w:rPr>
          <w:sz w:val="24"/>
          <w:szCs w:val="24"/>
          <w:u w:val="single"/>
        </w:rPr>
        <w:t xml:space="preserve">                                        </w:t>
      </w:r>
      <w:r>
        <w:rPr>
          <w:sz w:val="24"/>
          <w:szCs w:val="24"/>
        </w:rPr>
        <w:t>。</w:t>
      </w:r>
    </w:p>
    <w:p>
      <w:pPr>
        <w:spacing w:line="360" w:lineRule="auto"/>
        <w:ind w:firstLine="480" w:firstLineChars="200"/>
        <w:rPr>
          <w:sz w:val="24"/>
          <w:szCs w:val="24"/>
        </w:rPr>
      </w:pPr>
      <w:r>
        <w:rPr>
          <w:sz w:val="24"/>
          <w:szCs w:val="24"/>
        </w:rPr>
        <w:t>监理人应在本合同终止后</w:t>
      </w:r>
      <w:r>
        <w:rPr>
          <w:sz w:val="24"/>
          <w:szCs w:val="24"/>
          <w:u w:val="single"/>
        </w:rPr>
        <w:t xml:space="preserve">       </w:t>
      </w:r>
      <w:r>
        <w:rPr>
          <w:sz w:val="24"/>
          <w:szCs w:val="24"/>
        </w:rPr>
        <w:t>天内移交委托人无偿提供的房屋、设备，移交的时间和方式为：</w:t>
      </w:r>
      <w:r>
        <w:rPr>
          <w:sz w:val="24"/>
          <w:szCs w:val="24"/>
          <w:u w:val="single"/>
        </w:rPr>
        <w:t xml:space="preserve">               </w:t>
      </w:r>
      <w:r>
        <w:rPr>
          <w:sz w:val="24"/>
          <w:szCs w:val="24"/>
        </w:rPr>
        <w:t>。</w:t>
      </w:r>
    </w:p>
    <w:p>
      <w:pPr>
        <w:adjustRightInd w:val="0"/>
        <w:snapToGrid w:val="0"/>
        <w:spacing w:line="360" w:lineRule="auto"/>
        <w:ind w:firstLine="480" w:firstLineChars="200"/>
        <w:rPr>
          <w:sz w:val="24"/>
          <w:szCs w:val="24"/>
        </w:rPr>
      </w:pPr>
      <w:r>
        <w:rPr>
          <w:sz w:val="24"/>
          <w:szCs w:val="24"/>
        </w:rPr>
        <w:t xml:space="preserve">3. 委托人义务  </w:t>
      </w:r>
    </w:p>
    <w:p>
      <w:pPr>
        <w:snapToGrid w:val="0"/>
        <w:spacing w:line="360" w:lineRule="auto"/>
        <w:ind w:firstLine="480" w:firstLineChars="200"/>
        <w:rPr>
          <w:sz w:val="24"/>
          <w:szCs w:val="24"/>
        </w:rPr>
      </w:pPr>
      <w:r>
        <w:rPr>
          <w:sz w:val="24"/>
          <w:szCs w:val="24"/>
        </w:rPr>
        <w:t xml:space="preserve">  3.4 委托人代表</w:t>
      </w:r>
    </w:p>
    <w:p>
      <w:pPr>
        <w:adjustRightInd w:val="0"/>
        <w:snapToGrid w:val="0"/>
        <w:spacing w:line="360" w:lineRule="auto"/>
        <w:ind w:firstLine="480" w:firstLineChars="200"/>
        <w:rPr>
          <w:sz w:val="24"/>
          <w:szCs w:val="24"/>
          <w:u w:val="single"/>
        </w:rPr>
      </w:pPr>
      <w:r>
        <w:rPr>
          <w:sz w:val="24"/>
          <w:szCs w:val="24"/>
        </w:rPr>
        <w:t>委托人代表为：</w:t>
      </w:r>
      <w:r>
        <w:rPr>
          <w:sz w:val="24"/>
          <w:szCs w:val="24"/>
          <w:u w:val="single"/>
        </w:rPr>
        <w:t xml:space="preserve">                                        </w:t>
      </w:r>
      <w:r>
        <w:rPr>
          <w:sz w:val="24"/>
          <w:szCs w:val="24"/>
        </w:rPr>
        <w:t>。</w:t>
      </w:r>
    </w:p>
    <w:p>
      <w:pPr>
        <w:adjustRightInd w:val="0"/>
        <w:snapToGrid w:val="0"/>
        <w:spacing w:line="360" w:lineRule="auto"/>
        <w:ind w:firstLine="480" w:firstLineChars="200"/>
        <w:rPr>
          <w:kern w:val="0"/>
          <w:sz w:val="24"/>
          <w:szCs w:val="24"/>
        </w:rPr>
      </w:pPr>
      <w:r>
        <w:rPr>
          <w:sz w:val="24"/>
          <w:szCs w:val="24"/>
        </w:rPr>
        <w:t>3.6 答复</w:t>
      </w:r>
    </w:p>
    <w:p>
      <w:pPr>
        <w:adjustRightInd w:val="0"/>
        <w:snapToGrid w:val="0"/>
        <w:spacing w:line="360" w:lineRule="auto"/>
        <w:ind w:firstLine="480" w:firstLineChars="200"/>
        <w:rPr>
          <w:sz w:val="24"/>
          <w:szCs w:val="24"/>
        </w:rPr>
      </w:pPr>
      <w:r>
        <w:rPr>
          <w:sz w:val="24"/>
          <w:szCs w:val="24"/>
        </w:rPr>
        <w:t>委托人同意在</w:t>
      </w:r>
      <w:r>
        <w:rPr>
          <w:sz w:val="24"/>
          <w:szCs w:val="24"/>
          <w:u w:val="single"/>
        </w:rPr>
        <w:t xml:space="preserve">        </w:t>
      </w:r>
      <w:r>
        <w:rPr>
          <w:sz w:val="24"/>
          <w:szCs w:val="24"/>
        </w:rPr>
        <w:t>天内，对监理人书面提交并要求做出决定的事宜给予书面答复。</w:t>
      </w:r>
    </w:p>
    <w:p>
      <w:pPr>
        <w:snapToGrid w:val="0"/>
        <w:spacing w:line="360" w:lineRule="auto"/>
        <w:ind w:firstLine="480" w:firstLineChars="200"/>
        <w:rPr>
          <w:bCs/>
          <w:sz w:val="24"/>
          <w:szCs w:val="24"/>
        </w:rPr>
      </w:pPr>
      <w:r>
        <w:rPr>
          <w:bCs/>
          <w:sz w:val="24"/>
          <w:szCs w:val="24"/>
        </w:rPr>
        <w:t>4. 违约责任</w:t>
      </w:r>
    </w:p>
    <w:p>
      <w:pPr>
        <w:spacing w:line="360" w:lineRule="auto"/>
        <w:ind w:firstLine="480" w:firstLineChars="200"/>
        <w:rPr>
          <w:kern w:val="0"/>
          <w:sz w:val="24"/>
          <w:szCs w:val="24"/>
        </w:rPr>
      </w:pPr>
      <w:r>
        <w:rPr>
          <w:sz w:val="24"/>
          <w:szCs w:val="24"/>
        </w:rPr>
        <w:t>4.1 监理人的违约责任</w:t>
      </w:r>
    </w:p>
    <w:p>
      <w:pPr>
        <w:adjustRightInd w:val="0"/>
        <w:snapToGrid w:val="0"/>
        <w:spacing w:line="360" w:lineRule="auto"/>
        <w:ind w:firstLine="480" w:firstLineChars="200"/>
        <w:rPr>
          <w:sz w:val="24"/>
          <w:szCs w:val="24"/>
        </w:rPr>
      </w:pPr>
      <w:r>
        <w:rPr>
          <w:sz w:val="24"/>
          <w:szCs w:val="24"/>
        </w:rPr>
        <w:t>4.1.1监理人赔偿金额按下列方法确定：</w:t>
      </w:r>
    </w:p>
    <w:p>
      <w:pPr>
        <w:adjustRightInd w:val="0"/>
        <w:snapToGrid w:val="0"/>
        <w:spacing w:line="360" w:lineRule="auto"/>
        <w:ind w:firstLine="480" w:firstLineChars="200"/>
        <w:rPr>
          <w:sz w:val="24"/>
          <w:szCs w:val="24"/>
        </w:rPr>
      </w:pPr>
      <w:r>
        <w:rPr>
          <w:sz w:val="24"/>
          <w:szCs w:val="24"/>
        </w:rPr>
        <w:t>赔偿金＝直接经济损失×正常工作酬金÷工程概算投资额（或建筑安装工程费）</w:t>
      </w:r>
    </w:p>
    <w:p>
      <w:pPr>
        <w:snapToGrid w:val="0"/>
        <w:spacing w:line="360" w:lineRule="auto"/>
        <w:ind w:firstLine="480" w:firstLineChars="200"/>
        <w:rPr>
          <w:sz w:val="24"/>
          <w:szCs w:val="24"/>
        </w:rPr>
      </w:pPr>
      <w:r>
        <w:rPr>
          <w:sz w:val="24"/>
          <w:szCs w:val="24"/>
        </w:rPr>
        <w:t>4.2 委托人的违约责任</w:t>
      </w:r>
    </w:p>
    <w:p>
      <w:pPr>
        <w:spacing w:line="360" w:lineRule="auto"/>
        <w:ind w:firstLine="480" w:firstLineChars="200"/>
        <w:rPr>
          <w:sz w:val="24"/>
          <w:szCs w:val="24"/>
        </w:rPr>
      </w:pPr>
      <w:r>
        <w:rPr>
          <w:sz w:val="24"/>
          <w:szCs w:val="24"/>
        </w:rPr>
        <w:t>4.2.3 委托人逾期付款利息按下列方法确定：</w:t>
      </w:r>
    </w:p>
    <w:p>
      <w:pPr>
        <w:spacing w:line="360" w:lineRule="auto"/>
        <w:ind w:firstLine="480" w:firstLineChars="200"/>
        <w:rPr>
          <w:sz w:val="24"/>
          <w:szCs w:val="24"/>
        </w:rPr>
      </w:pPr>
      <w:r>
        <w:rPr>
          <w:sz w:val="24"/>
          <w:szCs w:val="24"/>
        </w:rPr>
        <w:t>逾期付款利息＝当期应付款总额×银行同期贷款利率×拖延支付天数</w:t>
      </w:r>
    </w:p>
    <w:p>
      <w:pPr>
        <w:snapToGrid w:val="0"/>
        <w:spacing w:line="360" w:lineRule="auto"/>
        <w:ind w:firstLine="480" w:firstLineChars="200"/>
        <w:rPr>
          <w:sz w:val="24"/>
          <w:szCs w:val="24"/>
        </w:rPr>
      </w:pPr>
      <w:r>
        <w:rPr>
          <w:bCs/>
          <w:sz w:val="24"/>
          <w:szCs w:val="24"/>
        </w:rPr>
        <w:t>5. 支付</w:t>
      </w:r>
    </w:p>
    <w:p>
      <w:pPr>
        <w:snapToGrid w:val="0"/>
        <w:spacing w:line="360" w:lineRule="auto"/>
        <w:ind w:firstLine="480" w:firstLineChars="200"/>
        <w:rPr>
          <w:bCs/>
          <w:sz w:val="24"/>
          <w:szCs w:val="24"/>
        </w:rPr>
      </w:pPr>
      <w:r>
        <w:rPr>
          <w:sz w:val="24"/>
          <w:szCs w:val="24"/>
        </w:rPr>
        <w:t xml:space="preserve">5.1 </w:t>
      </w:r>
      <w:r>
        <w:rPr>
          <w:bCs/>
          <w:sz w:val="24"/>
          <w:szCs w:val="24"/>
        </w:rPr>
        <w:t>支付货币</w:t>
      </w:r>
    </w:p>
    <w:p>
      <w:pPr>
        <w:snapToGrid w:val="0"/>
        <w:spacing w:line="360" w:lineRule="auto"/>
        <w:ind w:firstLine="480" w:firstLineChars="200"/>
        <w:rPr>
          <w:sz w:val="24"/>
          <w:szCs w:val="24"/>
        </w:rPr>
      </w:pPr>
      <w:r>
        <w:rPr>
          <w:sz w:val="24"/>
          <w:szCs w:val="24"/>
        </w:rPr>
        <w:t>币种为：</w:t>
      </w:r>
      <w:r>
        <w:rPr>
          <w:sz w:val="24"/>
          <w:szCs w:val="24"/>
          <w:u w:val="single"/>
        </w:rPr>
        <w:t xml:space="preserve"> 人民币   </w:t>
      </w:r>
      <w:r>
        <w:rPr>
          <w:sz w:val="24"/>
          <w:szCs w:val="24"/>
        </w:rPr>
        <w:t>，比例为：</w:t>
      </w:r>
      <w:r>
        <w:rPr>
          <w:sz w:val="24"/>
          <w:szCs w:val="24"/>
          <w:u w:val="single"/>
        </w:rPr>
        <w:t xml:space="preserve">      </w:t>
      </w:r>
      <w:r>
        <w:rPr>
          <w:sz w:val="24"/>
          <w:szCs w:val="24"/>
        </w:rPr>
        <w:t>，汇率为：</w:t>
      </w:r>
      <w:r>
        <w:rPr>
          <w:sz w:val="24"/>
          <w:szCs w:val="24"/>
          <w:u w:val="single"/>
        </w:rPr>
        <w:t xml:space="preserve">      </w:t>
      </w:r>
      <w:r>
        <w:rPr>
          <w:sz w:val="24"/>
          <w:szCs w:val="24"/>
        </w:rPr>
        <w:t xml:space="preserve">。 </w:t>
      </w:r>
    </w:p>
    <w:p>
      <w:pPr>
        <w:snapToGrid w:val="0"/>
        <w:spacing w:line="360" w:lineRule="auto"/>
        <w:ind w:firstLine="480" w:firstLineChars="200"/>
      </w:pPr>
      <w:r>
        <w:rPr>
          <w:sz w:val="24"/>
          <w:szCs w:val="24"/>
        </w:rPr>
        <w:t>5.3 支付酬金</w:t>
      </w:r>
      <w:r>
        <w:rPr>
          <w:rFonts w:hint="eastAsia"/>
          <w:sz w:val="24"/>
          <w:szCs w:val="24"/>
        </w:rPr>
        <w:t>:  /</w:t>
      </w:r>
    </w:p>
    <w:p>
      <w:pPr>
        <w:snapToGrid w:val="0"/>
        <w:spacing w:line="360" w:lineRule="auto"/>
        <w:ind w:firstLine="480" w:firstLineChars="200"/>
        <w:rPr>
          <w:bCs/>
          <w:sz w:val="24"/>
          <w:szCs w:val="24"/>
        </w:rPr>
      </w:pPr>
      <w:r>
        <w:rPr>
          <w:bCs/>
          <w:sz w:val="24"/>
          <w:szCs w:val="24"/>
        </w:rPr>
        <w:t>6. 合同生效、变更、暂停、解除与终止</w:t>
      </w:r>
    </w:p>
    <w:p>
      <w:pPr>
        <w:adjustRightInd w:val="0"/>
        <w:snapToGrid w:val="0"/>
        <w:spacing w:line="360" w:lineRule="auto"/>
        <w:ind w:firstLine="480" w:firstLineChars="200"/>
        <w:rPr>
          <w:sz w:val="24"/>
          <w:szCs w:val="24"/>
        </w:rPr>
      </w:pPr>
      <w:r>
        <w:rPr>
          <w:sz w:val="24"/>
          <w:szCs w:val="24"/>
        </w:rPr>
        <w:t>6.1 生效</w:t>
      </w:r>
    </w:p>
    <w:p>
      <w:pPr>
        <w:adjustRightInd w:val="0"/>
        <w:snapToGrid w:val="0"/>
        <w:spacing w:line="360" w:lineRule="auto"/>
        <w:ind w:firstLine="480" w:firstLineChars="200"/>
        <w:rPr>
          <w:sz w:val="24"/>
          <w:szCs w:val="24"/>
        </w:rPr>
      </w:pPr>
      <w:r>
        <w:rPr>
          <w:sz w:val="24"/>
          <w:szCs w:val="24"/>
        </w:rPr>
        <w:t>本合同生效条件：</w:t>
      </w:r>
      <w:r>
        <w:rPr>
          <w:sz w:val="24"/>
          <w:szCs w:val="24"/>
          <w:u w:val="single"/>
        </w:rPr>
        <w:t xml:space="preserve">  双方签字盖章     </w:t>
      </w:r>
      <w:r>
        <w:rPr>
          <w:sz w:val="24"/>
          <w:szCs w:val="24"/>
        </w:rPr>
        <w:t>。</w:t>
      </w:r>
    </w:p>
    <w:p>
      <w:pPr>
        <w:adjustRightInd w:val="0"/>
        <w:snapToGrid w:val="0"/>
        <w:spacing w:line="360" w:lineRule="auto"/>
        <w:ind w:firstLine="480" w:firstLineChars="200"/>
        <w:rPr>
          <w:sz w:val="24"/>
          <w:szCs w:val="24"/>
        </w:rPr>
      </w:pPr>
      <w:r>
        <w:rPr>
          <w:sz w:val="24"/>
          <w:szCs w:val="24"/>
        </w:rPr>
        <w:t>6.2 变更</w:t>
      </w:r>
    </w:p>
    <w:p>
      <w:pPr>
        <w:snapToGrid w:val="0"/>
        <w:spacing w:line="360" w:lineRule="auto"/>
        <w:ind w:firstLine="480" w:firstLineChars="200"/>
        <w:rPr>
          <w:sz w:val="24"/>
          <w:szCs w:val="24"/>
        </w:rPr>
      </w:pPr>
      <w:r>
        <w:rPr>
          <w:rFonts w:hint="eastAsia"/>
          <w:sz w:val="24"/>
          <w:szCs w:val="24"/>
        </w:rPr>
        <w:t>工程实施过程中，工期/工程量发生变化的，不再调节合同总价。</w:t>
      </w:r>
    </w:p>
    <w:p>
      <w:pPr>
        <w:snapToGrid w:val="0"/>
        <w:spacing w:line="360" w:lineRule="auto"/>
        <w:ind w:firstLine="480" w:firstLineChars="200"/>
        <w:rPr>
          <w:sz w:val="24"/>
          <w:szCs w:val="24"/>
        </w:rPr>
      </w:pPr>
      <w:r>
        <w:rPr>
          <w:bCs/>
          <w:sz w:val="24"/>
          <w:szCs w:val="24"/>
        </w:rPr>
        <w:t>7. 争议解决</w:t>
      </w:r>
    </w:p>
    <w:p>
      <w:pPr>
        <w:snapToGrid w:val="0"/>
        <w:spacing w:line="360" w:lineRule="auto"/>
        <w:ind w:firstLine="480" w:firstLineChars="200"/>
        <w:rPr>
          <w:sz w:val="24"/>
          <w:szCs w:val="24"/>
        </w:rPr>
      </w:pPr>
      <w:r>
        <w:rPr>
          <w:sz w:val="24"/>
          <w:szCs w:val="24"/>
        </w:rPr>
        <w:t xml:space="preserve">7.2 </w:t>
      </w:r>
      <w:r>
        <w:rPr>
          <w:bCs/>
          <w:sz w:val="24"/>
          <w:szCs w:val="24"/>
        </w:rPr>
        <w:t>调解</w:t>
      </w:r>
    </w:p>
    <w:p>
      <w:pPr>
        <w:snapToGrid w:val="0"/>
        <w:spacing w:line="360" w:lineRule="auto"/>
        <w:ind w:firstLine="480" w:firstLineChars="200"/>
        <w:rPr>
          <w:sz w:val="24"/>
          <w:szCs w:val="24"/>
        </w:rPr>
      </w:pPr>
      <w:r>
        <w:rPr>
          <w:sz w:val="24"/>
          <w:szCs w:val="24"/>
        </w:rPr>
        <w:t>本合同争议进行调解时，可提交</w:t>
      </w:r>
      <w:r>
        <w:rPr>
          <w:sz w:val="24"/>
          <w:szCs w:val="24"/>
          <w:u w:val="single"/>
        </w:rPr>
        <w:t xml:space="preserve">        </w:t>
      </w:r>
      <w:r>
        <w:rPr>
          <w:sz w:val="24"/>
          <w:szCs w:val="24"/>
        </w:rPr>
        <w:t>进行调解。</w:t>
      </w:r>
    </w:p>
    <w:p>
      <w:pPr>
        <w:snapToGrid w:val="0"/>
        <w:spacing w:line="360" w:lineRule="auto"/>
        <w:ind w:firstLine="480" w:firstLineChars="200"/>
        <w:rPr>
          <w:sz w:val="24"/>
          <w:szCs w:val="24"/>
        </w:rPr>
      </w:pPr>
      <w:r>
        <w:rPr>
          <w:sz w:val="24"/>
          <w:szCs w:val="24"/>
        </w:rPr>
        <w:t xml:space="preserve">7.3 </w:t>
      </w:r>
      <w:r>
        <w:rPr>
          <w:bCs/>
          <w:sz w:val="24"/>
          <w:szCs w:val="24"/>
        </w:rPr>
        <w:t>仲裁或诉讼</w:t>
      </w:r>
    </w:p>
    <w:p>
      <w:pPr>
        <w:adjustRightInd w:val="0"/>
        <w:snapToGrid w:val="0"/>
        <w:spacing w:line="360" w:lineRule="auto"/>
        <w:ind w:firstLine="480" w:firstLineChars="200"/>
        <w:rPr>
          <w:sz w:val="24"/>
          <w:szCs w:val="24"/>
        </w:rPr>
      </w:pPr>
      <w:r>
        <w:rPr>
          <w:sz w:val="24"/>
          <w:szCs w:val="24"/>
        </w:rPr>
        <w:t>合同争议的最终解决方式为下列第</w:t>
      </w:r>
      <w:r>
        <w:rPr>
          <w:sz w:val="24"/>
          <w:szCs w:val="24"/>
          <w:u w:val="single"/>
        </w:rPr>
        <w:t xml:space="preserve">   （1）  </w:t>
      </w:r>
      <w:r>
        <w:rPr>
          <w:sz w:val="24"/>
          <w:szCs w:val="24"/>
        </w:rPr>
        <w:t>种方式：</w:t>
      </w:r>
    </w:p>
    <w:p>
      <w:pPr>
        <w:adjustRightInd w:val="0"/>
        <w:snapToGrid w:val="0"/>
        <w:spacing w:line="360" w:lineRule="auto"/>
        <w:ind w:firstLine="480" w:firstLineChars="200"/>
        <w:rPr>
          <w:sz w:val="24"/>
          <w:szCs w:val="24"/>
        </w:rPr>
      </w:pPr>
      <w:r>
        <w:rPr>
          <w:sz w:val="24"/>
          <w:szCs w:val="24"/>
        </w:rPr>
        <w:t>（1）提请</w:t>
      </w:r>
      <w:r>
        <w:rPr>
          <w:sz w:val="24"/>
          <w:szCs w:val="24"/>
          <w:u w:val="single"/>
        </w:rPr>
        <w:t xml:space="preserve">   </w:t>
      </w:r>
      <w:r>
        <w:rPr>
          <w:rFonts w:hint="eastAsia"/>
          <w:sz w:val="24"/>
          <w:szCs w:val="24"/>
          <w:u w:val="single"/>
        </w:rPr>
        <w:t>郑州市</w:t>
      </w:r>
      <w:r>
        <w:rPr>
          <w:sz w:val="24"/>
          <w:szCs w:val="24"/>
          <w:u w:val="single"/>
        </w:rPr>
        <w:t xml:space="preserve"> </w:t>
      </w:r>
      <w:r>
        <w:rPr>
          <w:sz w:val="24"/>
          <w:szCs w:val="24"/>
        </w:rPr>
        <w:t>仲裁委员会进行仲裁。</w:t>
      </w:r>
    </w:p>
    <w:p>
      <w:pPr>
        <w:adjustRightInd w:val="0"/>
        <w:snapToGrid w:val="0"/>
        <w:spacing w:line="360" w:lineRule="auto"/>
        <w:ind w:firstLine="480" w:firstLineChars="200"/>
        <w:rPr>
          <w:sz w:val="24"/>
          <w:szCs w:val="24"/>
        </w:rPr>
      </w:pPr>
      <w:r>
        <w:rPr>
          <w:sz w:val="24"/>
          <w:szCs w:val="24"/>
        </w:rPr>
        <w:t>（2）向</w:t>
      </w:r>
      <w:r>
        <w:rPr>
          <w:sz w:val="24"/>
          <w:szCs w:val="24"/>
          <w:u w:val="single"/>
        </w:rPr>
        <w:t xml:space="preserve">        </w:t>
      </w:r>
      <w:r>
        <w:rPr>
          <w:sz w:val="24"/>
          <w:szCs w:val="24"/>
        </w:rPr>
        <w:t>人民法院提起诉讼。</w:t>
      </w:r>
    </w:p>
    <w:p>
      <w:pPr>
        <w:adjustRightInd w:val="0"/>
        <w:snapToGrid w:val="0"/>
        <w:spacing w:line="360" w:lineRule="auto"/>
        <w:ind w:firstLine="480" w:firstLineChars="200"/>
        <w:rPr>
          <w:bCs/>
          <w:sz w:val="24"/>
          <w:szCs w:val="24"/>
        </w:rPr>
      </w:pPr>
      <w:r>
        <w:rPr>
          <w:bCs/>
          <w:sz w:val="24"/>
          <w:szCs w:val="24"/>
        </w:rPr>
        <w:t>8. 其他</w:t>
      </w:r>
    </w:p>
    <w:p>
      <w:pPr>
        <w:adjustRightInd w:val="0"/>
        <w:snapToGrid w:val="0"/>
        <w:spacing w:line="360" w:lineRule="auto"/>
        <w:ind w:firstLine="480" w:firstLineChars="200"/>
        <w:rPr>
          <w:bCs/>
          <w:sz w:val="24"/>
          <w:szCs w:val="24"/>
        </w:rPr>
      </w:pPr>
      <w:r>
        <w:rPr>
          <w:bCs/>
          <w:sz w:val="24"/>
          <w:szCs w:val="24"/>
        </w:rPr>
        <w:t xml:space="preserve">  8.2 检测费用</w:t>
      </w:r>
    </w:p>
    <w:p>
      <w:pPr>
        <w:adjustRightInd w:val="0"/>
        <w:snapToGrid w:val="0"/>
        <w:spacing w:line="360" w:lineRule="auto"/>
        <w:ind w:firstLine="480" w:firstLineChars="200"/>
        <w:rPr>
          <w:bCs/>
          <w:sz w:val="24"/>
          <w:szCs w:val="24"/>
        </w:rPr>
      </w:pPr>
      <w:r>
        <w:rPr>
          <w:bCs/>
          <w:sz w:val="24"/>
          <w:szCs w:val="24"/>
        </w:rPr>
        <w:t xml:space="preserve">    委托人应在检测工作完成后</w:t>
      </w:r>
      <w:r>
        <w:rPr>
          <w:sz w:val="24"/>
          <w:szCs w:val="24"/>
          <w:u w:val="single"/>
        </w:rPr>
        <w:t xml:space="preserve">     </w:t>
      </w:r>
      <w:r>
        <w:rPr>
          <w:bCs/>
          <w:sz w:val="24"/>
          <w:szCs w:val="24"/>
        </w:rPr>
        <w:t>天内支付检测费用。</w:t>
      </w:r>
    </w:p>
    <w:p>
      <w:pPr>
        <w:adjustRightInd w:val="0"/>
        <w:snapToGrid w:val="0"/>
        <w:spacing w:line="360" w:lineRule="auto"/>
        <w:ind w:firstLine="480" w:firstLineChars="200"/>
        <w:rPr>
          <w:bCs/>
          <w:sz w:val="24"/>
          <w:szCs w:val="24"/>
        </w:rPr>
      </w:pPr>
      <w:r>
        <w:rPr>
          <w:bCs/>
          <w:sz w:val="24"/>
          <w:szCs w:val="24"/>
        </w:rPr>
        <w:t xml:space="preserve">  8.3 咨询费用</w:t>
      </w:r>
    </w:p>
    <w:p>
      <w:pPr>
        <w:adjustRightInd w:val="0"/>
        <w:snapToGrid w:val="0"/>
        <w:spacing w:line="360" w:lineRule="auto"/>
        <w:ind w:firstLine="480" w:firstLineChars="200"/>
        <w:rPr>
          <w:bCs/>
          <w:sz w:val="24"/>
          <w:szCs w:val="24"/>
        </w:rPr>
      </w:pPr>
      <w:r>
        <w:rPr>
          <w:bCs/>
          <w:sz w:val="24"/>
          <w:szCs w:val="24"/>
        </w:rPr>
        <w:t xml:space="preserve">    委托人应在咨询工作完成后</w:t>
      </w:r>
      <w:r>
        <w:rPr>
          <w:sz w:val="24"/>
          <w:szCs w:val="24"/>
          <w:u w:val="single"/>
        </w:rPr>
        <w:t xml:space="preserve">     </w:t>
      </w:r>
      <w:r>
        <w:rPr>
          <w:bCs/>
          <w:sz w:val="24"/>
          <w:szCs w:val="24"/>
        </w:rPr>
        <w:t>天内支付咨询费用。</w:t>
      </w:r>
    </w:p>
    <w:p>
      <w:pPr>
        <w:snapToGrid w:val="0"/>
        <w:spacing w:line="360" w:lineRule="auto"/>
        <w:ind w:firstLine="480" w:firstLineChars="200"/>
        <w:rPr>
          <w:sz w:val="24"/>
          <w:szCs w:val="24"/>
        </w:rPr>
      </w:pPr>
      <w:r>
        <w:rPr>
          <w:sz w:val="24"/>
          <w:szCs w:val="24"/>
        </w:rPr>
        <w:t>8.4 奖励</w:t>
      </w:r>
    </w:p>
    <w:p>
      <w:pPr>
        <w:snapToGrid w:val="0"/>
        <w:spacing w:line="360" w:lineRule="auto"/>
        <w:ind w:firstLine="480" w:firstLineChars="200"/>
        <w:rPr>
          <w:sz w:val="24"/>
          <w:szCs w:val="24"/>
        </w:rPr>
      </w:pPr>
      <w:r>
        <w:rPr>
          <w:sz w:val="24"/>
          <w:szCs w:val="24"/>
        </w:rPr>
        <w:t>合理化建议的奖励金额按下列方法确定为：</w:t>
      </w:r>
    </w:p>
    <w:p>
      <w:pPr>
        <w:snapToGrid w:val="0"/>
        <w:spacing w:line="360" w:lineRule="auto"/>
        <w:ind w:firstLine="480" w:firstLineChars="200"/>
        <w:rPr>
          <w:sz w:val="24"/>
          <w:szCs w:val="24"/>
        </w:rPr>
      </w:pPr>
      <w:r>
        <w:rPr>
          <w:sz w:val="24"/>
          <w:szCs w:val="24"/>
        </w:rPr>
        <w:t>奖励金额＝工程投资节省额×奖励金额的比率；</w:t>
      </w:r>
    </w:p>
    <w:p>
      <w:pPr>
        <w:snapToGrid w:val="0"/>
        <w:spacing w:line="360" w:lineRule="auto"/>
        <w:ind w:firstLine="480" w:firstLineChars="200"/>
        <w:rPr>
          <w:sz w:val="24"/>
          <w:szCs w:val="24"/>
        </w:rPr>
      </w:pPr>
      <w:r>
        <w:rPr>
          <w:sz w:val="24"/>
          <w:szCs w:val="24"/>
        </w:rPr>
        <w:t>奖励金额的比率为</w:t>
      </w:r>
      <w:r>
        <w:rPr>
          <w:sz w:val="24"/>
          <w:szCs w:val="24"/>
          <w:u w:val="single"/>
        </w:rPr>
        <w:t xml:space="preserve">       </w:t>
      </w:r>
      <w:r>
        <w:rPr>
          <w:sz w:val="24"/>
          <w:szCs w:val="24"/>
        </w:rPr>
        <w:t>%。</w:t>
      </w:r>
    </w:p>
    <w:p>
      <w:pPr>
        <w:adjustRightInd w:val="0"/>
        <w:snapToGrid w:val="0"/>
        <w:spacing w:line="360" w:lineRule="auto"/>
        <w:ind w:firstLine="480" w:firstLineChars="200"/>
        <w:rPr>
          <w:sz w:val="24"/>
          <w:szCs w:val="24"/>
        </w:rPr>
      </w:pPr>
      <w:r>
        <w:rPr>
          <w:sz w:val="24"/>
          <w:szCs w:val="24"/>
        </w:rPr>
        <w:t>8.6 保密</w:t>
      </w:r>
    </w:p>
    <w:p>
      <w:pPr>
        <w:adjustRightInd w:val="0"/>
        <w:snapToGrid w:val="0"/>
        <w:spacing w:line="360" w:lineRule="auto"/>
        <w:ind w:firstLine="480" w:firstLineChars="200"/>
        <w:rPr>
          <w:sz w:val="24"/>
          <w:szCs w:val="24"/>
          <w:u w:val="single"/>
        </w:rPr>
      </w:pPr>
      <w:r>
        <w:rPr>
          <w:sz w:val="24"/>
          <w:szCs w:val="24"/>
        </w:rPr>
        <w:t>委托人申明的保密事项和期限：</w:t>
      </w:r>
      <w:r>
        <w:rPr>
          <w:sz w:val="24"/>
          <w:szCs w:val="24"/>
          <w:u w:val="single"/>
        </w:rPr>
        <w:t xml:space="preserve">                         </w:t>
      </w:r>
      <w:r>
        <w:rPr>
          <w:sz w:val="24"/>
          <w:szCs w:val="24"/>
        </w:rPr>
        <w:t>。</w:t>
      </w:r>
    </w:p>
    <w:p>
      <w:pPr>
        <w:adjustRightInd w:val="0"/>
        <w:snapToGrid w:val="0"/>
        <w:spacing w:line="360" w:lineRule="auto"/>
        <w:ind w:firstLine="480" w:firstLineChars="200"/>
        <w:rPr>
          <w:sz w:val="24"/>
          <w:szCs w:val="24"/>
          <w:u w:val="single"/>
        </w:rPr>
      </w:pPr>
      <w:r>
        <w:rPr>
          <w:sz w:val="24"/>
          <w:szCs w:val="24"/>
        </w:rPr>
        <w:t>监理人申明的保密事项和期限：</w:t>
      </w:r>
      <w:r>
        <w:rPr>
          <w:sz w:val="24"/>
          <w:szCs w:val="24"/>
          <w:u w:val="single"/>
        </w:rPr>
        <w:t xml:space="preserve">                         </w:t>
      </w:r>
      <w:r>
        <w:rPr>
          <w:sz w:val="24"/>
          <w:szCs w:val="24"/>
        </w:rPr>
        <w:t>。</w:t>
      </w:r>
    </w:p>
    <w:p>
      <w:pPr>
        <w:adjustRightInd w:val="0"/>
        <w:snapToGrid w:val="0"/>
        <w:spacing w:line="360" w:lineRule="auto"/>
        <w:ind w:firstLine="480" w:firstLineChars="200"/>
        <w:rPr>
          <w:sz w:val="24"/>
          <w:szCs w:val="24"/>
          <w:u w:val="single"/>
        </w:rPr>
      </w:pPr>
      <w:r>
        <w:rPr>
          <w:sz w:val="24"/>
          <w:szCs w:val="24"/>
        </w:rPr>
        <w:t>第三方申明的保密事项和期限：</w:t>
      </w:r>
      <w:r>
        <w:rPr>
          <w:sz w:val="24"/>
          <w:szCs w:val="24"/>
          <w:u w:val="single"/>
        </w:rPr>
        <w:t xml:space="preserve">                         </w:t>
      </w:r>
      <w:r>
        <w:rPr>
          <w:sz w:val="24"/>
          <w:szCs w:val="24"/>
        </w:rPr>
        <w:t>。</w:t>
      </w:r>
    </w:p>
    <w:p>
      <w:pPr>
        <w:snapToGrid w:val="0"/>
        <w:spacing w:line="360" w:lineRule="auto"/>
        <w:ind w:firstLine="480" w:firstLineChars="200"/>
        <w:rPr>
          <w:bCs/>
          <w:sz w:val="24"/>
          <w:szCs w:val="24"/>
        </w:rPr>
      </w:pPr>
      <w:r>
        <w:rPr>
          <w:sz w:val="24"/>
          <w:szCs w:val="24"/>
        </w:rPr>
        <w:t>8.8</w:t>
      </w:r>
      <w:r>
        <w:rPr>
          <w:bCs/>
          <w:sz w:val="24"/>
          <w:szCs w:val="24"/>
        </w:rPr>
        <w:t>著作权</w:t>
      </w:r>
    </w:p>
    <w:p>
      <w:pPr>
        <w:snapToGrid w:val="0"/>
        <w:spacing w:line="360" w:lineRule="auto"/>
        <w:ind w:firstLine="480" w:firstLineChars="200"/>
        <w:rPr>
          <w:sz w:val="24"/>
          <w:szCs w:val="24"/>
        </w:rPr>
      </w:pPr>
      <w:r>
        <w:rPr>
          <w:sz w:val="24"/>
          <w:szCs w:val="24"/>
        </w:rPr>
        <w:t>监理人在本合同履行期间及本合同终止后两年内出版涉及本工程的有关监理与相关服务的资料的限制条件：</w:t>
      </w:r>
    </w:p>
    <w:p>
      <w:pPr>
        <w:adjustRightInd w:val="0"/>
        <w:snapToGrid w:val="0"/>
        <w:spacing w:line="360" w:lineRule="auto"/>
        <w:ind w:firstLine="480" w:firstLineChars="200"/>
        <w:rPr>
          <w:sz w:val="24"/>
          <w:szCs w:val="24"/>
          <w:u w:val="single"/>
        </w:rPr>
      </w:pPr>
      <w:r>
        <w:rPr>
          <w:sz w:val="24"/>
          <w:szCs w:val="24"/>
          <w:u w:val="single"/>
        </w:rPr>
        <w:t xml:space="preserve">                                                     </w:t>
      </w:r>
    </w:p>
    <w:p>
      <w:pPr>
        <w:adjustRightInd w:val="0"/>
        <w:snapToGrid w:val="0"/>
        <w:spacing w:line="360" w:lineRule="auto"/>
        <w:ind w:firstLine="480" w:firstLineChars="200"/>
        <w:rPr>
          <w:sz w:val="24"/>
          <w:szCs w:val="24"/>
        </w:rPr>
      </w:pPr>
      <w:r>
        <w:rPr>
          <w:sz w:val="24"/>
          <w:szCs w:val="24"/>
          <w:u w:val="single"/>
        </w:rPr>
        <w:t xml:space="preserve">                                                   </w:t>
      </w:r>
      <w:r>
        <w:rPr>
          <w:sz w:val="24"/>
          <w:szCs w:val="24"/>
        </w:rPr>
        <w:t>。</w:t>
      </w:r>
    </w:p>
    <w:p>
      <w:pPr>
        <w:adjustRightInd w:val="0"/>
        <w:snapToGrid w:val="0"/>
        <w:spacing w:line="360" w:lineRule="auto"/>
        <w:ind w:firstLine="480" w:firstLineChars="200"/>
        <w:rPr>
          <w:sz w:val="24"/>
          <w:szCs w:val="24"/>
        </w:rPr>
      </w:pPr>
      <w:r>
        <w:rPr>
          <w:sz w:val="24"/>
          <w:szCs w:val="24"/>
        </w:rPr>
        <w:t>9. 补充条款</w:t>
      </w:r>
    </w:p>
    <w:p>
      <w:pPr>
        <w:adjustRightInd w:val="0"/>
        <w:snapToGrid w:val="0"/>
        <w:spacing w:line="360" w:lineRule="auto"/>
        <w:ind w:firstLine="480" w:firstLineChars="200"/>
        <w:rPr>
          <w:sz w:val="24"/>
          <w:szCs w:val="24"/>
          <w:u w:val="single"/>
        </w:rPr>
      </w:pPr>
      <w:r>
        <w:rPr>
          <w:sz w:val="24"/>
          <w:szCs w:val="24"/>
        </w:rPr>
        <w:t xml:space="preserve">  </w:t>
      </w:r>
      <w:r>
        <w:rPr>
          <w:b/>
          <w:sz w:val="24"/>
          <w:szCs w:val="24"/>
        </w:rPr>
        <w:t xml:space="preserve">  </w:t>
      </w:r>
      <w:r>
        <w:rPr>
          <w:sz w:val="24"/>
          <w:szCs w:val="24"/>
          <w:u w:val="single"/>
        </w:rPr>
        <w:t>9.1、项目总监、注册监理师、监理员及其他主要管理人员应常驻施工现场，每月在工地不得少于22个日历天（发包人实行工地考勤制度），重点部位施工，项目总监必须在场，否则发包人将对承包人处于以下处罚：项目总监</w:t>
      </w:r>
      <w:r>
        <w:rPr>
          <w:rFonts w:hint="eastAsia"/>
          <w:sz w:val="24"/>
          <w:szCs w:val="24"/>
          <w:u w:val="single"/>
        </w:rPr>
        <w:t>支付违约金</w:t>
      </w:r>
      <w:r>
        <w:rPr>
          <w:sz w:val="24"/>
          <w:szCs w:val="24"/>
          <w:u w:val="single"/>
        </w:rPr>
        <w:t>5000元/天、注册监理师</w:t>
      </w:r>
      <w:r>
        <w:rPr>
          <w:rFonts w:hint="eastAsia"/>
          <w:sz w:val="24"/>
          <w:szCs w:val="24"/>
          <w:u w:val="single"/>
        </w:rPr>
        <w:t>支付违约金</w:t>
      </w:r>
      <w:r>
        <w:rPr>
          <w:sz w:val="24"/>
          <w:szCs w:val="24"/>
          <w:u w:val="single"/>
        </w:rPr>
        <w:t>2000元/天、监理员及其他主要管理人员</w:t>
      </w:r>
      <w:r>
        <w:rPr>
          <w:rFonts w:hint="eastAsia"/>
          <w:sz w:val="24"/>
          <w:szCs w:val="24"/>
          <w:u w:val="single"/>
        </w:rPr>
        <w:t>支付违约金</w:t>
      </w:r>
      <w:r>
        <w:rPr>
          <w:sz w:val="24"/>
          <w:szCs w:val="24"/>
          <w:u w:val="single"/>
        </w:rPr>
        <w:t>1000元/天。以上</w:t>
      </w:r>
      <w:r>
        <w:rPr>
          <w:rFonts w:hint="eastAsia"/>
          <w:sz w:val="24"/>
          <w:szCs w:val="24"/>
          <w:u w:val="single"/>
        </w:rPr>
        <w:t>违约</w:t>
      </w:r>
      <w:r>
        <w:rPr>
          <w:sz w:val="24"/>
          <w:szCs w:val="24"/>
          <w:u w:val="single"/>
        </w:rPr>
        <w:t>金将从承包人的履约保证金中扣除。</w:t>
      </w:r>
    </w:p>
    <w:p>
      <w:pPr>
        <w:adjustRightInd w:val="0"/>
        <w:snapToGrid w:val="0"/>
        <w:spacing w:line="360" w:lineRule="auto"/>
        <w:ind w:firstLine="480" w:firstLineChars="200"/>
        <w:rPr>
          <w:sz w:val="24"/>
          <w:szCs w:val="24"/>
          <w:u w:val="single"/>
        </w:rPr>
      </w:pPr>
      <w:r>
        <w:rPr>
          <w:sz w:val="24"/>
          <w:szCs w:val="24"/>
          <w:u w:val="single"/>
        </w:rPr>
        <w:t>9.2、施工期间质量保证体系必须按投标时的人员配备。如需更换，报建设单位批准后方可更换。更换后的人员的资质及业绩不得低于更换前的人员的资质及业绩。如更换项目总监，每人次</w:t>
      </w:r>
      <w:r>
        <w:rPr>
          <w:rFonts w:hint="eastAsia"/>
          <w:sz w:val="24"/>
          <w:szCs w:val="24"/>
          <w:u w:val="single"/>
        </w:rPr>
        <w:t>支付5</w:t>
      </w:r>
      <w:r>
        <w:rPr>
          <w:sz w:val="24"/>
          <w:szCs w:val="24"/>
          <w:u w:val="single"/>
        </w:rPr>
        <w:t>万元</w:t>
      </w:r>
      <w:r>
        <w:rPr>
          <w:rFonts w:hint="eastAsia"/>
          <w:sz w:val="24"/>
          <w:szCs w:val="24"/>
          <w:u w:val="single"/>
        </w:rPr>
        <w:t>违约金</w:t>
      </w:r>
      <w:r>
        <w:rPr>
          <w:sz w:val="24"/>
          <w:szCs w:val="24"/>
          <w:u w:val="single"/>
        </w:rPr>
        <w:t>；如更换注册监理师，每人次</w:t>
      </w:r>
      <w:r>
        <w:rPr>
          <w:rFonts w:hint="eastAsia"/>
          <w:sz w:val="24"/>
          <w:szCs w:val="24"/>
          <w:u w:val="single"/>
        </w:rPr>
        <w:t>支付3</w:t>
      </w:r>
      <w:r>
        <w:rPr>
          <w:sz w:val="24"/>
          <w:szCs w:val="24"/>
          <w:u w:val="single"/>
        </w:rPr>
        <w:t>万元</w:t>
      </w:r>
      <w:r>
        <w:rPr>
          <w:rFonts w:hint="eastAsia"/>
          <w:sz w:val="24"/>
          <w:szCs w:val="24"/>
          <w:u w:val="single"/>
        </w:rPr>
        <w:t>违约金</w:t>
      </w:r>
      <w:r>
        <w:rPr>
          <w:sz w:val="24"/>
          <w:szCs w:val="24"/>
          <w:u w:val="single"/>
        </w:rPr>
        <w:t>；如更换项目监理员及其他管理人员，每人次</w:t>
      </w:r>
      <w:r>
        <w:rPr>
          <w:rFonts w:hint="eastAsia"/>
          <w:sz w:val="24"/>
          <w:szCs w:val="24"/>
          <w:u w:val="single"/>
        </w:rPr>
        <w:t>支付1</w:t>
      </w:r>
      <w:r>
        <w:rPr>
          <w:sz w:val="24"/>
          <w:szCs w:val="24"/>
          <w:u w:val="single"/>
        </w:rPr>
        <w:t>万元</w:t>
      </w:r>
      <w:r>
        <w:rPr>
          <w:rFonts w:hint="eastAsia"/>
          <w:sz w:val="24"/>
          <w:szCs w:val="24"/>
          <w:u w:val="single"/>
        </w:rPr>
        <w:t>违约金</w:t>
      </w:r>
      <w:r>
        <w:rPr>
          <w:sz w:val="24"/>
          <w:szCs w:val="24"/>
          <w:u w:val="single"/>
        </w:rPr>
        <w:t>。以上</w:t>
      </w:r>
      <w:r>
        <w:rPr>
          <w:rFonts w:hint="eastAsia"/>
          <w:sz w:val="24"/>
          <w:szCs w:val="24"/>
          <w:u w:val="single"/>
        </w:rPr>
        <w:t>违约金</w:t>
      </w:r>
      <w:r>
        <w:rPr>
          <w:sz w:val="24"/>
          <w:szCs w:val="24"/>
          <w:u w:val="single"/>
        </w:rPr>
        <w:t>将从承包人的履约保证金中扣除。</w:t>
      </w:r>
    </w:p>
    <w:p>
      <w:pPr>
        <w:adjustRightInd w:val="0"/>
        <w:snapToGrid w:val="0"/>
        <w:spacing w:line="360" w:lineRule="auto"/>
        <w:ind w:firstLine="480" w:firstLineChars="200"/>
        <w:rPr>
          <w:sz w:val="24"/>
          <w:szCs w:val="24"/>
          <w:u w:val="single"/>
        </w:rPr>
      </w:pPr>
      <w:r>
        <w:rPr>
          <w:sz w:val="24"/>
          <w:szCs w:val="24"/>
          <w:u w:val="single"/>
        </w:rPr>
        <w:t>9.3、监理单位所有监理人员（总监、注册监理工程师、监理员）的资质证书在签订合同之前由建设单位暂为保管，保存至工程结束后返还。</w:t>
      </w:r>
    </w:p>
    <w:p>
      <w:pPr>
        <w:adjustRightInd w:val="0"/>
        <w:snapToGrid w:val="0"/>
        <w:spacing w:line="360" w:lineRule="auto"/>
        <w:ind w:firstLine="480" w:firstLineChars="200"/>
        <w:rPr>
          <w:sz w:val="24"/>
          <w:szCs w:val="24"/>
          <w:u w:val="single"/>
        </w:rPr>
      </w:pPr>
      <w:r>
        <w:rPr>
          <w:sz w:val="24"/>
          <w:szCs w:val="24"/>
          <w:u w:val="single"/>
        </w:rPr>
        <w:t>9.4、建立并执行全厂隐蔽工程和工程形象进度影像资料采集、整理及上报制度。</w:t>
      </w:r>
    </w:p>
    <w:p>
      <w:pPr>
        <w:adjustRightInd w:val="0"/>
        <w:snapToGrid w:val="0"/>
        <w:spacing w:line="360" w:lineRule="auto"/>
        <w:ind w:firstLine="480" w:firstLineChars="200"/>
        <w:rPr>
          <w:sz w:val="24"/>
          <w:szCs w:val="24"/>
          <w:u w:val="single"/>
        </w:rPr>
      </w:pPr>
      <w:r>
        <w:rPr>
          <w:sz w:val="24"/>
          <w:szCs w:val="24"/>
          <w:u w:val="single"/>
        </w:rPr>
        <w:t>9.5、配备的监理人员具备适应监理工作的身体素质及专业技术能力、配备专职安全监理工程师、配备专职测量员（自始至终），以上不能身兼数职。</w:t>
      </w:r>
    </w:p>
    <w:p>
      <w:pPr>
        <w:adjustRightInd w:val="0"/>
        <w:snapToGrid w:val="0"/>
        <w:spacing w:line="360" w:lineRule="auto"/>
        <w:ind w:firstLine="480" w:firstLineChars="200"/>
        <w:rPr>
          <w:sz w:val="24"/>
          <w:szCs w:val="24"/>
          <w:u w:val="single"/>
        </w:rPr>
      </w:pPr>
      <w:r>
        <w:rPr>
          <w:sz w:val="24"/>
          <w:szCs w:val="24"/>
          <w:u w:val="single"/>
        </w:rPr>
        <w:t>9.6、监理企业应建立高程控制管理体系，定期对厂内高程基准点、主要工艺高程点观测、校验。</w:t>
      </w:r>
    </w:p>
    <w:p>
      <w:pPr>
        <w:adjustRightInd w:val="0"/>
        <w:snapToGrid w:val="0"/>
        <w:spacing w:line="360" w:lineRule="auto"/>
        <w:ind w:firstLine="480" w:firstLineChars="200"/>
        <w:rPr>
          <w:sz w:val="24"/>
          <w:szCs w:val="24"/>
          <w:u w:val="single"/>
        </w:rPr>
      </w:pPr>
      <w:r>
        <w:rPr>
          <w:sz w:val="24"/>
          <w:szCs w:val="24"/>
          <w:u w:val="single"/>
        </w:rPr>
        <w:t>9.7、</w:t>
      </w:r>
      <w:r>
        <w:rPr>
          <w:bCs/>
          <w:sz w:val="24"/>
          <w:szCs w:val="24"/>
          <w:u w:val="single"/>
        </w:rPr>
        <w:t>监理单位应委托有资质的测量单位对厂内主要建筑物、构筑物在施工和通水运行两年之内进行沉降观测。</w:t>
      </w:r>
    </w:p>
    <w:p>
      <w:pPr>
        <w:adjustRightInd w:val="0"/>
        <w:snapToGrid w:val="0"/>
        <w:spacing w:line="360" w:lineRule="auto"/>
        <w:ind w:firstLine="480" w:firstLineChars="200"/>
        <w:rPr>
          <w:sz w:val="24"/>
          <w:szCs w:val="24"/>
          <w:u w:val="single"/>
        </w:rPr>
      </w:pPr>
      <w:r>
        <w:rPr>
          <w:sz w:val="24"/>
          <w:szCs w:val="24"/>
          <w:u w:val="single"/>
        </w:rPr>
        <w:t>9.8、监理企业应在施工现场建立标准施工样板间，土建、安装实物样板工程以实物、照片、验收规范电子文档形式展示标准化施工工序，且展示施工工序占工序总数的70%以上。</w:t>
      </w:r>
    </w:p>
    <w:p>
      <w:pPr>
        <w:adjustRightInd w:val="0"/>
        <w:snapToGrid w:val="0"/>
        <w:spacing w:line="360" w:lineRule="auto"/>
        <w:ind w:firstLine="480" w:firstLineChars="200"/>
        <w:rPr>
          <w:sz w:val="24"/>
          <w:szCs w:val="24"/>
          <w:u w:val="single"/>
        </w:rPr>
      </w:pPr>
      <w:r>
        <w:rPr>
          <w:sz w:val="24"/>
          <w:szCs w:val="24"/>
          <w:u w:val="single"/>
        </w:rPr>
        <w:t>9.9、监理企业应负责材料附件的选择、把关，应向业主推荐三家以上优良品牌，以便业主选择参考。对所有的设备、原材料的检测检验提出检测检验办法或标准，标准是最新最严格的、最有可操作性。</w:t>
      </w:r>
    </w:p>
    <w:p>
      <w:pPr>
        <w:adjustRightInd w:val="0"/>
        <w:snapToGrid w:val="0"/>
        <w:spacing w:line="360" w:lineRule="auto"/>
        <w:ind w:firstLine="480" w:firstLineChars="200"/>
        <w:rPr>
          <w:sz w:val="24"/>
          <w:szCs w:val="24"/>
          <w:u w:val="single"/>
        </w:rPr>
      </w:pPr>
      <w:r>
        <w:rPr>
          <w:sz w:val="24"/>
          <w:szCs w:val="24"/>
          <w:u w:val="single"/>
        </w:rPr>
        <w:t>9.1</w:t>
      </w:r>
      <w:r>
        <w:rPr>
          <w:rFonts w:hint="eastAsia"/>
          <w:sz w:val="24"/>
          <w:szCs w:val="24"/>
          <w:u w:val="single"/>
        </w:rPr>
        <w:t>0</w:t>
      </w:r>
      <w:r>
        <w:rPr>
          <w:sz w:val="24"/>
          <w:szCs w:val="24"/>
          <w:u w:val="single"/>
        </w:rPr>
        <w:t>、监理企业应建立全厂统一的安全文明施工和消防的要求。</w:t>
      </w:r>
    </w:p>
    <w:p>
      <w:pPr>
        <w:adjustRightInd w:val="0"/>
        <w:snapToGrid w:val="0"/>
        <w:spacing w:line="360" w:lineRule="auto"/>
        <w:ind w:firstLine="480" w:firstLineChars="200"/>
        <w:rPr>
          <w:sz w:val="24"/>
          <w:szCs w:val="24"/>
          <w:u w:val="single"/>
        </w:rPr>
      </w:pPr>
      <w:r>
        <w:rPr>
          <w:sz w:val="24"/>
          <w:szCs w:val="24"/>
          <w:u w:val="single"/>
        </w:rPr>
        <w:t>9.1</w:t>
      </w:r>
      <w:r>
        <w:rPr>
          <w:rFonts w:hint="eastAsia"/>
          <w:sz w:val="24"/>
          <w:szCs w:val="24"/>
          <w:u w:val="single"/>
        </w:rPr>
        <w:t>1</w:t>
      </w:r>
      <w:r>
        <w:rPr>
          <w:sz w:val="24"/>
          <w:szCs w:val="24"/>
          <w:u w:val="single"/>
        </w:rPr>
        <w:t>、</w:t>
      </w:r>
      <w:r>
        <w:rPr>
          <w:rFonts w:hint="eastAsia"/>
          <w:sz w:val="24"/>
          <w:szCs w:val="24"/>
          <w:u w:val="single"/>
        </w:rPr>
        <w:t>监理企业应保证施工单位在合同约定的工期内完成施工任务。</w:t>
      </w:r>
      <w:r>
        <w:rPr>
          <w:sz w:val="24"/>
          <w:szCs w:val="24"/>
          <w:u w:val="single"/>
        </w:rPr>
        <w:t>凡因在监理过程中，由于监管不到位造成工程返工、缺陷、延误工期等，扣除监理费。在满足验收规范的前提下，监理公司需提出现场改进办法，以缩短工期，减少投入，方便施工。</w:t>
      </w:r>
    </w:p>
    <w:p>
      <w:pPr>
        <w:adjustRightInd w:val="0"/>
        <w:snapToGrid w:val="0"/>
        <w:spacing w:line="360" w:lineRule="auto"/>
        <w:ind w:firstLine="480" w:firstLineChars="200"/>
        <w:rPr>
          <w:sz w:val="24"/>
          <w:szCs w:val="24"/>
          <w:u w:val="single"/>
        </w:rPr>
      </w:pPr>
      <w:r>
        <w:rPr>
          <w:sz w:val="24"/>
          <w:szCs w:val="24"/>
          <w:u w:val="single"/>
        </w:rPr>
        <w:t>9.1</w:t>
      </w:r>
      <w:r>
        <w:rPr>
          <w:rFonts w:hint="eastAsia"/>
          <w:sz w:val="24"/>
          <w:szCs w:val="24"/>
          <w:u w:val="single"/>
        </w:rPr>
        <w:t>2</w:t>
      </w:r>
      <w:r>
        <w:rPr>
          <w:sz w:val="24"/>
          <w:szCs w:val="24"/>
          <w:u w:val="single"/>
        </w:rPr>
        <w:t>、监理企业应认真校核竣工资料，并与现场保持一致，审核签字后上报业主。如果发现不一致，发现一处</w:t>
      </w:r>
      <w:r>
        <w:rPr>
          <w:rFonts w:hint="eastAsia"/>
          <w:sz w:val="24"/>
          <w:szCs w:val="24"/>
          <w:u w:val="single"/>
        </w:rPr>
        <w:t>支付</w:t>
      </w:r>
      <w:r>
        <w:rPr>
          <w:sz w:val="24"/>
          <w:szCs w:val="24"/>
          <w:u w:val="single"/>
        </w:rPr>
        <w:t>2000元</w:t>
      </w:r>
      <w:r>
        <w:rPr>
          <w:rFonts w:hint="eastAsia"/>
          <w:sz w:val="24"/>
          <w:szCs w:val="24"/>
          <w:u w:val="single"/>
        </w:rPr>
        <w:t>违约金</w:t>
      </w:r>
      <w:r>
        <w:rPr>
          <w:sz w:val="24"/>
          <w:szCs w:val="24"/>
          <w:u w:val="single"/>
        </w:rPr>
        <w:t>，该费用从履约保证金中扣除。</w:t>
      </w:r>
    </w:p>
    <w:p>
      <w:pPr>
        <w:adjustRightInd w:val="0"/>
        <w:snapToGrid w:val="0"/>
        <w:spacing w:line="360" w:lineRule="auto"/>
        <w:ind w:firstLine="480" w:firstLineChars="200"/>
        <w:rPr>
          <w:sz w:val="24"/>
          <w:szCs w:val="24"/>
          <w:u w:val="single"/>
        </w:rPr>
      </w:pPr>
      <w:r>
        <w:rPr>
          <w:sz w:val="24"/>
          <w:szCs w:val="24"/>
          <w:u w:val="single"/>
        </w:rPr>
        <w:t>9.1</w:t>
      </w:r>
      <w:r>
        <w:rPr>
          <w:rFonts w:hint="eastAsia"/>
          <w:sz w:val="24"/>
          <w:szCs w:val="24"/>
          <w:u w:val="single"/>
        </w:rPr>
        <w:t>3</w:t>
      </w:r>
      <w:r>
        <w:rPr>
          <w:sz w:val="24"/>
          <w:szCs w:val="24"/>
          <w:u w:val="single"/>
        </w:rPr>
        <w:t>、如在质保期内施工出现问题，相应扣除监理费用，如果因为材料或施工缺陷，在设施的使用寿命期间发现的问题，监理企业应派专职有资格的监理人员免费重新履行监理过程。</w:t>
      </w:r>
    </w:p>
    <w:p>
      <w:pPr>
        <w:adjustRightInd w:val="0"/>
        <w:snapToGrid w:val="0"/>
        <w:spacing w:line="360" w:lineRule="auto"/>
        <w:ind w:firstLine="480" w:firstLineChars="200"/>
        <w:rPr>
          <w:sz w:val="24"/>
          <w:szCs w:val="24"/>
          <w:u w:val="single"/>
        </w:rPr>
      </w:pPr>
      <w:r>
        <w:rPr>
          <w:sz w:val="24"/>
          <w:szCs w:val="24"/>
          <w:u w:val="single"/>
        </w:rPr>
        <w:t>9.1</w:t>
      </w:r>
      <w:r>
        <w:rPr>
          <w:rFonts w:hint="eastAsia"/>
          <w:sz w:val="24"/>
          <w:szCs w:val="24"/>
          <w:u w:val="single"/>
        </w:rPr>
        <w:t>4</w:t>
      </w:r>
      <w:r>
        <w:rPr>
          <w:sz w:val="24"/>
          <w:szCs w:val="24"/>
          <w:u w:val="single"/>
        </w:rPr>
        <w:t>监理企业</w:t>
      </w:r>
      <w:r>
        <w:rPr>
          <w:rFonts w:hint="eastAsia"/>
          <w:sz w:val="24"/>
          <w:szCs w:val="24"/>
          <w:u w:val="single"/>
        </w:rPr>
        <w:t>应组织召开各项施工专项技术审查会议，并做好会议纪要。</w:t>
      </w:r>
    </w:p>
    <w:p>
      <w:pPr>
        <w:adjustRightInd w:val="0"/>
        <w:snapToGrid w:val="0"/>
        <w:spacing w:line="360" w:lineRule="auto"/>
        <w:ind w:firstLine="480" w:firstLineChars="200"/>
        <w:rPr>
          <w:sz w:val="24"/>
          <w:szCs w:val="24"/>
          <w:u w:val="single"/>
        </w:rPr>
      </w:pPr>
      <w:r>
        <w:rPr>
          <w:sz w:val="24"/>
          <w:szCs w:val="24"/>
          <w:u w:val="single"/>
        </w:rPr>
        <w:t>……</w:t>
      </w:r>
      <w:r>
        <w:rPr>
          <w:rFonts w:hint="eastAsia"/>
          <w:sz w:val="24"/>
          <w:szCs w:val="24"/>
          <w:u w:val="single"/>
        </w:rPr>
        <w:t>..</w:t>
      </w:r>
      <w:r>
        <w:rPr>
          <w:sz w:val="24"/>
          <w:szCs w:val="24"/>
          <w:u w:val="single"/>
        </w:rPr>
        <w:t xml:space="preserve">                                                   </w:t>
      </w:r>
    </w:p>
    <w:p>
      <w:pPr>
        <w:pageBreakBefore/>
        <w:spacing w:line="360" w:lineRule="auto"/>
        <w:ind w:firstLine="480" w:firstLineChars="200"/>
        <w:rPr>
          <w:bCs/>
          <w:sz w:val="24"/>
          <w:szCs w:val="24"/>
        </w:rPr>
      </w:pPr>
      <w:r>
        <w:rPr>
          <w:bCs/>
          <w:sz w:val="24"/>
          <w:szCs w:val="24"/>
        </w:rPr>
        <w:t>附录A  相关服务的范围和内容</w:t>
      </w:r>
    </w:p>
    <w:p>
      <w:pPr>
        <w:snapToGrid w:val="0"/>
        <w:spacing w:line="360" w:lineRule="auto"/>
        <w:ind w:firstLine="480" w:firstLineChars="200"/>
        <w:rPr>
          <w:kern w:val="0"/>
          <w:sz w:val="24"/>
          <w:szCs w:val="24"/>
        </w:rPr>
      </w:pPr>
      <w:r>
        <w:rPr>
          <w:sz w:val="24"/>
          <w:szCs w:val="24"/>
        </w:rPr>
        <w:t xml:space="preserve">A-1 </w:t>
      </w:r>
      <w:r>
        <w:rPr>
          <w:rFonts w:hint="eastAsia"/>
          <w:sz w:val="24"/>
          <w:szCs w:val="24"/>
        </w:rPr>
        <w:t>施工</w:t>
      </w:r>
      <w:r>
        <w:rPr>
          <w:sz w:val="24"/>
          <w:szCs w:val="24"/>
        </w:rPr>
        <w:t>阶段：</w:t>
      </w:r>
      <w:r>
        <w:rPr>
          <w:sz w:val="24"/>
          <w:szCs w:val="24"/>
          <w:u w:val="single"/>
        </w:rPr>
        <w:t xml:space="preserve">                                      </w:t>
      </w:r>
    </w:p>
    <w:p>
      <w:pPr>
        <w:snapToGrid w:val="0"/>
        <w:spacing w:line="360" w:lineRule="auto"/>
        <w:ind w:firstLine="480" w:firstLineChars="200"/>
        <w:rPr>
          <w:sz w:val="24"/>
          <w:szCs w:val="24"/>
        </w:rPr>
      </w:pPr>
      <w:r>
        <w:rPr>
          <w:sz w:val="24"/>
          <w:szCs w:val="24"/>
          <w:u w:val="single"/>
        </w:rPr>
        <w:t xml:space="preserve">                                              </w:t>
      </w:r>
      <w:r>
        <w:rPr>
          <w:sz w:val="24"/>
          <w:szCs w:val="24"/>
        </w:rPr>
        <w:t>。</w:t>
      </w:r>
    </w:p>
    <w:p>
      <w:pPr>
        <w:snapToGrid w:val="0"/>
        <w:spacing w:line="360" w:lineRule="auto"/>
        <w:ind w:firstLine="480" w:firstLineChars="200"/>
        <w:rPr>
          <w:kern w:val="0"/>
          <w:sz w:val="24"/>
          <w:szCs w:val="24"/>
        </w:rPr>
      </w:pPr>
      <w:r>
        <w:rPr>
          <w:sz w:val="24"/>
          <w:szCs w:val="24"/>
        </w:rPr>
        <w:t>A-2  保修阶段：</w:t>
      </w:r>
      <w:r>
        <w:rPr>
          <w:sz w:val="24"/>
          <w:szCs w:val="24"/>
          <w:u w:val="single"/>
        </w:rPr>
        <w:t xml:space="preserve">                                                </w:t>
      </w:r>
    </w:p>
    <w:p>
      <w:pPr>
        <w:snapToGrid w:val="0"/>
        <w:spacing w:line="360" w:lineRule="auto"/>
        <w:ind w:firstLine="480" w:firstLineChars="200"/>
        <w:rPr>
          <w:sz w:val="24"/>
          <w:szCs w:val="24"/>
        </w:rPr>
      </w:pPr>
      <w:r>
        <w:rPr>
          <w:sz w:val="24"/>
          <w:szCs w:val="24"/>
          <w:u w:val="single"/>
        </w:rPr>
        <w:t xml:space="preserve">                                              </w:t>
      </w:r>
      <w:r>
        <w:rPr>
          <w:sz w:val="24"/>
          <w:szCs w:val="24"/>
        </w:rPr>
        <w:t>。</w:t>
      </w:r>
    </w:p>
    <w:p>
      <w:pPr>
        <w:snapToGrid w:val="0"/>
        <w:spacing w:line="360" w:lineRule="auto"/>
        <w:ind w:firstLine="480" w:firstLineChars="200"/>
        <w:rPr>
          <w:sz w:val="24"/>
          <w:szCs w:val="24"/>
          <w:u w:val="single"/>
        </w:rPr>
      </w:pPr>
      <w:r>
        <w:rPr>
          <w:sz w:val="24"/>
          <w:szCs w:val="24"/>
        </w:rPr>
        <w:t>A-</w:t>
      </w:r>
      <w:r>
        <w:rPr>
          <w:rFonts w:hint="eastAsia"/>
          <w:sz w:val="24"/>
          <w:szCs w:val="24"/>
        </w:rPr>
        <w:t>3</w:t>
      </w:r>
      <w:r>
        <w:rPr>
          <w:sz w:val="24"/>
          <w:szCs w:val="24"/>
        </w:rPr>
        <w:t>其他（专业技术咨询、外部协调工作等）：</w:t>
      </w:r>
      <w:r>
        <w:rPr>
          <w:sz w:val="24"/>
          <w:szCs w:val="24"/>
          <w:u w:val="single"/>
        </w:rPr>
        <w:t xml:space="preserve">           </w:t>
      </w:r>
    </w:p>
    <w:p>
      <w:pPr>
        <w:snapToGrid w:val="0"/>
        <w:spacing w:line="360" w:lineRule="auto"/>
        <w:ind w:firstLine="480" w:firstLineChars="200"/>
        <w:rPr>
          <w:sz w:val="24"/>
          <w:szCs w:val="24"/>
        </w:rPr>
      </w:pPr>
      <w:r>
        <w:rPr>
          <w:sz w:val="24"/>
          <w:szCs w:val="24"/>
          <w:u w:val="single"/>
        </w:rPr>
        <w:t xml:space="preserve">                                              </w:t>
      </w:r>
      <w:r>
        <w:rPr>
          <w:sz w:val="24"/>
          <w:szCs w:val="24"/>
        </w:rPr>
        <w:t>。</w:t>
      </w:r>
    </w:p>
    <w:p>
      <w:pPr>
        <w:snapToGrid w:val="0"/>
        <w:spacing w:line="360" w:lineRule="auto"/>
        <w:ind w:firstLine="480" w:firstLineChars="200"/>
        <w:rPr>
          <w:sz w:val="24"/>
          <w:szCs w:val="24"/>
        </w:rPr>
      </w:pPr>
    </w:p>
    <w:p>
      <w:pPr>
        <w:spacing w:line="360" w:lineRule="auto"/>
        <w:ind w:firstLine="480" w:firstLineChars="200"/>
        <w:rPr>
          <w:bCs/>
          <w:sz w:val="24"/>
          <w:szCs w:val="24"/>
        </w:rPr>
      </w:pPr>
    </w:p>
    <w:p>
      <w:pPr>
        <w:pageBreakBefore/>
        <w:spacing w:line="360" w:lineRule="auto"/>
        <w:ind w:firstLine="480" w:firstLineChars="200"/>
        <w:rPr>
          <w:bCs/>
          <w:sz w:val="24"/>
          <w:szCs w:val="24"/>
        </w:rPr>
      </w:pPr>
      <w:r>
        <w:rPr>
          <w:bCs/>
          <w:sz w:val="24"/>
          <w:szCs w:val="24"/>
        </w:rPr>
        <w:t>附录B  委托人派遣的人员和提供的房屋、资料、设备</w:t>
      </w:r>
    </w:p>
    <w:p>
      <w:pPr>
        <w:spacing w:line="360" w:lineRule="auto"/>
        <w:ind w:firstLine="480" w:firstLineChars="200"/>
        <w:rPr>
          <w:kern w:val="0"/>
          <w:sz w:val="24"/>
          <w:szCs w:val="24"/>
        </w:rPr>
      </w:pPr>
      <w:r>
        <w:rPr>
          <w:sz w:val="24"/>
          <w:szCs w:val="24"/>
        </w:rPr>
        <w:t>B-1  委托人派遣的人员</w:t>
      </w: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名称</w:t>
            </w:r>
          </w:p>
        </w:tc>
        <w:tc>
          <w:tcPr>
            <w:tcW w:w="177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数量</w:t>
            </w: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工作要求</w:t>
            </w: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 xml:space="preserve">1. 工程技术人员 </w:t>
            </w:r>
          </w:p>
        </w:tc>
        <w:tc>
          <w:tcPr>
            <w:tcW w:w="177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2. 辅助工作人员</w:t>
            </w:r>
          </w:p>
        </w:tc>
        <w:tc>
          <w:tcPr>
            <w:tcW w:w="177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3. 其他人员</w:t>
            </w:r>
          </w:p>
        </w:tc>
        <w:tc>
          <w:tcPr>
            <w:tcW w:w="177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77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bl>
    <w:p>
      <w:pPr>
        <w:spacing w:line="360" w:lineRule="auto"/>
        <w:ind w:firstLine="480" w:firstLineChars="200"/>
        <w:rPr>
          <w:kern w:val="0"/>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r>
        <w:rPr>
          <w:sz w:val="24"/>
          <w:szCs w:val="24"/>
        </w:rPr>
        <w:t>B-2  委托人提供的房屋</w:t>
      </w: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名称</w:t>
            </w: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数量</w:t>
            </w: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面积</w:t>
            </w: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1. 办公用房</w:t>
            </w: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 xml:space="preserve"> </w:t>
            </w: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 xml:space="preserve"> </w:t>
            </w: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2. 生活用房</w:t>
            </w: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dstrike/>
                <w:sz w:val="24"/>
                <w:szCs w:val="24"/>
              </w:rPr>
            </w:pPr>
            <w:r>
              <w:rPr>
                <w:sz w:val="24"/>
                <w:szCs w:val="24"/>
              </w:rPr>
              <w:t>3. 试验用房</w:t>
            </w: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4. 样品用房</w:t>
            </w: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用餐及其他生活条件</w:t>
            </w:r>
          </w:p>
        </w:tc>
        <w:tc>
          <w:tcPr>
            <w:tcW w:w="6120" w:type="dxa"/>
            <w:gridSpan w:val="3"/>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bl>
    <w:p>
      <w:pPr>
        <w:spacing w:line="360" w:lineRule="auto"/>
        <w:ind w:firstLine="480" w:firstLineChars="200"/>
        <w:rPr>
          <w:kern w:val="0"/>
          <w:sz w:val="24"/>
          <w:szCs w:val="24"/>
        </w:rPr>
      </w:pPr>
    </w:p>
    <w:p>
      <w:pPr>
        <w:spacing w:line="360" w:lineRule="auto"/>
        <w:rPr>
          <w:sz w:val="24"/>
          <w:szCs w:val="24"/>
        </w:rPr>
      </w:pPr>
      <w:r>
        <w:rPr>
          <w:sz w:val="24"/>
          <w:szCs w:val="24"/>
        </w:rPr>
        <w:br w:type="page"/>
      </w:r>
      <w:r>
        <w:rPr>
          <w:sz w:val="24"/>
          <w:szCs w:val="24"/>
        </w:rPr>
        <w:t> </w:t>
      </w:r>
    </w:p>
    <w:p>
      <w:pPr>
        <w:spacing w:line="360" w:lineRule="auto"/>
        <w:ind w:firstLine="480" w:firstLineChars="200"/>
        <w:rPr>
          <w:kern w:val="0"/>
          <w:sz w:val="24"/>
          <w:szCs w:val="24"/>
        </w:rPr>
      </w:pPr>
      <w:r>
        <w:rPr>
          <w:sz w:val="24"/>
          <w:szCs w:val="24"/>
        </w:rPr>
        <w:t>B-3  委托人提供的资料</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名称</w:t>
            </w:r>
          </w:p>
        </w:tc>
        <w:tc>
          <w:tcPr>
            <w:tcW w:w="149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份数</w:t>
            </w:r>
          </w:p>
        </w:tc>
        <w:tc>
          <w:tcPr>
            <w:tcW w:w="214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提供时间</w:t>
            </w:r>
          </w:p>
        </w:tc>
        <w:tc>
          <w:tcPr>
            <w:tcW w:w="208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1. 工程立项文件</w:t>
            </w:r>
          </w:p>
        </w:tc>
        <w:tc>
          <w:tcPr>
            <w:tcW w:w="149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4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08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2. 工程勘察文件</w:t>
            </w:r>
          </w:p>
        </w:tc>
        <w:tc>
          <w:tcPr>
            <w:tcW w:w="149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4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08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3. 工程设计及施工图纸</w:t>
            </w:r>
          </w:p>
        </w:tc>
        <w:tc>
          <w:tcPr>
            <w:tcW w:w="149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4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08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4. 工程承包合同及其他相关合同</w:t>
            </w:r>
          </w:p>
        </w:tc>
        <w:tc>
          <w:tcPr>
            <w:tcW w:w="149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4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08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5. 施工许可文件</w:t>
            </w:r>
          </w:p>
        </w:tc>
        <w:tc>
          <w:tcPr>
            <w:tcW w:w="149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4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08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6. 其他文件</w:t>
            </w:r>
          </w:p>
        </w:tc>
        <w:tc>
          <w:tcPr>
            <w:tcW w:w="149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4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08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49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4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08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bl>
    <w:p>
      <w:pPr>
        <w:spacing w:line="360" w:lineRule="auto"/>
        <w:ind w:firstLine="480" w:firstLineChars="200"/>
        <w:rPr>
          <w:kern w:val="0"/>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r>
        <w:rPr>
          <w:sz w:val="24"/>
          <w:szCs w:val="24"/>
        </w:rPr>
        <w:t>B-4 委托人提供的设备</w:t>
      </w: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名称</w:t>
            </w: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数量</w:t>
            </w: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型号与规格</w:t>
            </w: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1. 通讯设备</w:t>
            </w: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2. 办公设备</w:t>
            </w: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3. 交通工具</w:t>
            </w: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r>
              <w:rPr>
                <w:sz w:val="24"/>
                <w:szCs w:val="24"/>
              </w:rPr>
              <w:t>4. 检测和试验设备</w:t>
            </w: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59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213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c>
          <w:tcPr>
            <w:tcW w:w="18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sz w:val="24"/>
                <w:szCs w:val="24"/>
              </w:rPr>
            </w:pPr>
          </w:p>
        </w:tc>
      </w:tr>
      <w:bookmarkEnd w:id="73"/>
    </w:tbl>
    <w:p>
      <w:pPr>
        <w:pStyle w:val="7"/>
        <w:keepNext w:val="0"/>
        <w:keepLines w:val="0"/>
        <w:jc w:val="center"/>
        <w:rPr>
          <w:b w:val="0"/>
        </w:rPr>
        <w:sectPr>
          <w:pgSz w:w="11906" w:h="16838"/>
          <w:pgMar w:top="1417" w:right="1417" w:bottom="1417" w:left="1417" w:header="851" w:footer="992" w:gutter="0"/>
          <w:cols w:space="720" w:num="1"/>
          <w:docGrid w:type="lines" w:linePitch="312" w:charSpace="0"/>
        </w:sectPr>
      </w:pPr>
      <w:bookmarkStart w:id="98" w:name="Book75"/>
    </w:p>
    <w:p>
      <w:pPr>
        <w:pStyle w:val="7"/>
        <w:keepNext w:val="0"/>
        <w:keepLines w:val="0"/>
        <w:jc w:val="center"/>
        <w:rPr>
          <w:b w:val="0"/>
        </w:rPr>
      </w:pPr>
      <w:r>
        <w:rPr>
          <w:b w:val="0"/>
        </w:rPr>
        <w:t>第五章</w:t>
      </w:r>
      <w:r>
        <w:rPr>
          <w:rFonts w:hint="eastAsia"/>
          <w:b w:val="0"/>
        </w:rPr>
        <w:t xml:space="preserve">  </w:t>
      </w:r>
      <w:r>
        <w:rPr>
          <w:b w:val="0"/>
        </w:rPr>
        <w:t>监理大纲</w:t>
      </w:r>
    </w:p>
    <w:p>
      <w:pPr>
        <w:pStyle w:val="28"/>
        <w:spacing w:line="360" w:lineRule="auto"/>
        <w:ind w:left="0" w:firstLine="0"/>
        <w:rPr>
          <w:rFonts w:ascii="Times New Roman" w:hAnsi="Times New Roman" w:eastAsia="宋体"/>
          <w:sz w:val="28"/>
        </w:rPr>
      </w:pPr>
      <w:bookmarkStart w:id="99" w:name="_Toc491094764"/>
      <w:bookmarkStart w:id="100" w:name="_Toc536623958"/>
      <w:bookmarkStart w:id="101" w:name="_Toc148782776"/>
      <w:bookmarkStart w:id="102" w:name="_Toc76438890"/>
      <w:r>
        <w:rPr>
          <w:rFonts w:hint="eastAsia" w:ascii="Times New Roman" w:hAnsi="Times New Roman" w:eastAsia="宋体"/>
          <w:sz w:val="28"/>
        </w:rPr>
        <w:t xml:space="preserve">                           </w:t>
      </w:r>
      <w:r>
        <w:rPr>
          <w:rFonts w:ascii="Times New Roman" w:hAnsi="Times New Roman" w:eastAsia="宋体"/>
          <w:sz w:val="28"/>
        </w:rPr>
        <w:t>监理工作大纲</w:t>
      </w:r>
      <w:bookmarkEnd w:id="99"/>
      <w:bookmarkEnd w:id="100"/>
      <w:bookmarkEnd w:id="101"/>
      <w:bookmarkEnd w:id="102"/>
    </w:p>
    <w:p>
      <w:pPr>
        <w:pStyle w:val="24"/>
        <w:spacing w:line="360" w:lineRule="auto"/>
        <w:ind w:firstLine="592" w:firstLineChars="247"/>
        <w:rPr>
          <w:bCs/>
          <w:sz w:val="24"/>
        </w:rPr>
      </w:pPr>
      <w:r>
        <w:rPr>
          <w:bCs/>
          <w:sz w:val="24"/>
        </w:rPr>
        <w:t>投标人应根据招标文件和对现场的勘察情况，参考以下要点编制本工程的监理工作大纲：</w:t>
      </w:r>
    </w:p>
    <w:p>
      <w:pPr>
        <w:pStyle w:val="24"/>
        <w:spacing w:line="360" w:lineRule="auto"/>
        <w:ind w:firstLine="592" w:firstLineChars="247"/>
        <w:rPr>
          <w:bCs/>
          <w:sz w:val="24"/>
        </w:rPr>
      </w:pPr>
      <w:r>
        <w:rPr>
          <w:bCs/>
          <w:sz w:val="24"/>
        </w:rPr>
        <w:t>1、工程旁站</w:t>
      </w:r>
    </w:p>
    <w:p>
      <w:pPr>
        <w:pStyle w:val="24"/>
        <w:spacing w:line="360" w:lineRule="auto"/>
        <w:ind w:firstLine="592" w:firstLineChars="247"/>
        <w:rPr>
          <w:bCs/>
          <w:sz w:val="24"/>
        </w:rPr>
      </w:pPr>
      <w:r>
        <w:rPr>
          <w:bCs/>
          <w:sz w:val="24"/>
        </w:rPr>
        <w:t>要求监理单位严格控制各项工程相关工作，制定旁站措施</w:t>
      </w:r>
      <w:r>
        <w:rPr>
          <w:rFonts w:hint="eastAsia"/>
          <w:bCs/>
          <w:sz w:val="24"/>
        </w:rPr>
        <w:t>。</w:t>
      </w:r>
    </w:p>
    <w:p>
      <w:pPr>
        <w:pStyle w:val="24"/>
        <w:spacing w:line="360" w:lineRule="auto"/>
        <w:ind w:firstLine="592" w:firstLineChars="247"/>
        <w:rPr>
          <w:bCs/>
          <w:sz w:val="24"/>
        </w:rPr>
      </w:pPr>
      <w:r>
        <w:rPr>
          <w:bCs/>
          <w:sz w:val="24"/>
        </w:rPr>
        <w:t>2、工程质量控制：</w:t>
      </w:r>
    </w:p>
    <w:p>
      <w:pPr>
        <w:pStyle w:val="24"/>
        <w:spacing w:line="360" w:lineRule="auto"/>
        <w:ind w:firstLine="592" w:firstLineChars="247"/>
        <w:rPr>
          <w:bCs/>
          <w:sz w:val="24"/>
        </w:rPr>
      </w:pPr>
      <w:r>
        <w:rPr>
          <w:bCs/>
          <w:sz w:val="24"/>
        </w:rPr>
        <w:t>监理单位必须对工程质量进行严格控制。要求从原材料进场到成品完成全过程的进程质量控制。对材料、设备、施工工艺、施工技术等方面进行全面检查，杜绝不合格产品出现。</w:t>
      </w:r>
    </w:p>
    <w:p>
      <w:pPr>
        <w:pStyle w:val="24"/>
        <w:spacing w:line="360" w:lineRule="auto"/>
        <w:ind w:firstLine="592" w:firstLineChars="247"/>
        <w:rPr>
          <w:bCs/>
          <w:sz w:val="24"/>
        </w:rPr>
      </w:pPr>
      <w:r>
        <w:rPr>
          <w:bCs/>
          <w:sz w:val="24"/>
        </w:rPr>
        <w:t>3、工程工期控制：</w:t>
      </w:r>
    </w:p>
    <w:p>
      <w:pPr>
        <w:pStyle w:val="24"/>
        <w:spacing w:line="360" w:lineRule="auto"/>
        <w:ind w:firstLine="592" w:firstLineChars="247"/>
        <w:rPr>
          <w:bCs/>
          <w:sz w:val="24"/>
        </w:rPr>
      </w:pPr>
      <w:r>
        <w:rPr>
          <w:bCs/>
          <w:sz w:val="24"/>
        </w:rPr>
        <w:t>严格按合同工期控制工程施工工期，负责审查施工单位制定的网络计划，定期检查网络计划执行情况。根据实际情况督促审查施工单位调整网络计划，使其能够按期完工。</w:t>
      </w:r>
    </w:p>
    <w:p>
      <w:pPr>
        <w:pStyle w:val="24"/>
        <w:spacing w:line="360" w:lineRule="auto"/>
        <w:ind w:firstLine="592" w:firstLineChars="247"/>
        <w:rPr>
          <w:bCs/>
          <w:sz w:val="24"/>
        </w:rPr>
      </w:pPr>
      <w:r>
        <w:rPr>
          <w:bCs/>
          <w:sz w:val="24"/>
        </w:rPr>
        <w:t>4、工程投资控制：</w:t>
      </w:r>
    </w:p>
    <w:p>
      <w:pPr>
        <w:pStyle w:val="24"/>
        <w:spacing w:line="360" w:lineRule="auto"/>
        <w:ind w:firstLine="592" w:firstLineChars="247"/>
        <w:rPr>
          <w:bCs/>
          <w:sz w:val="24"/>
        </w:rPr>
      </w:pPr>
      <w:r>
        <w:rPr>
          <w:bCs/>
          <w:sz w:val="24"/>
        </w:rPr>
        <w:t>要求监理单位严格控制各项工程变更，审查工程变更的合理性。一般不得突破工程预算，负责合格项目的验收签证，以此作为业主审查承包商工程量支付其工程款的基本依据。</w:t>
      </w:r>
    </w:p>
    <w:p>
      <w:pPr>
        <w:pStyle w:val="24"/>
        <w:spacing w:line="360" w:lineRule="auto"/>
        <w:ind w:firstLine="592" w:firstLineChars="247"/>
        <w:rPr>
          <w:bCs/>
          <w:sz w:val="24"/>
        </w:rPr>
      </w:pPr>
      <w:r>
        <w:rPr>
          <w:bCs/>
          <w:sz w:val="24"/>
        </w:rPr>
        <w:t>5、工程文明、安全控制：</w:t>
      </w:r>
    </w:p>
    <w:p>
      <w:pPr>
        <w:pStyle w:val="24"/>
        <w:spacing w:line="360" w:lineRule="auto"/>
        <w:ind w:firstLine="592" w:firstLineChars="247"/>
        <w:rPr>
          <w:bCs/>
          <w:sz w:val="24"/>
        </w:rPr>
      </w:pPr>
      <w:r>
        <w:rPr>
          <w:bCs/>
          <w:sz w:val="24"/>
        </w:rPr>
        <w:t>工程安全控制措施得力，不留隐患。</w:t>
      </w:r>
    </w:p>
    <w:p>
      <w:pPr>
        <w:pStyle w:val="24"/>
        <w:spacing w:line="360" w:lineRule="auto"/>
        <w:ind w:firstLine="592" w:firstLineChars="247"/>
        <w:rPr>
          <w:bCs/>
          <w:sz w:val="24"/>
        </w:rPr>
      </w:pPr>
      <w:r>
        <w:rPr>
          <w:bCs/>
          <w:sz w:val="24"/>
        </w:rPr>
        <w:t>6、工作协调的措施和方法：</w:t>
      </w:r>
    </w:p>
    <w:p>
      <w:pPr>
        <w:pStyle w:val="24"/>
        <w:spacing w:line="360" w:lineRule="auto"/>
        <w:ind w:firstLine="592" w:firstLineChars="247"/>
        <w:rPr>
          <w:bCs/>
          <w:sz w:val="24"/>
        </w:rPr>
      </w:pPr>
      <w:r>
        <w:rPr>
          <w:bCs/>
          <w:sz w:val="24"/>
        </w:rPr>
        <w:t>工程现场的施工单位必须接受监理单位的监督管理。要求监理单位协调好现场各有关单位的关系，处理解决各单位之间因工程施工而出现的矛盾和问题，协助业主办理与工程相关的所有手续。</w:t>
      </w:r>
    </w:p>
    <w:p>
      <w:pPr>
        <w:pStyle w:val="24"/>
        <w:spacing w:line="360" w:lineRule="auto"/>
        <w:ind w:firstLine="592" w:firstLineChars="247"/>
        <w:rPr>
          <w:bCs/>
          <w:sz w:val="24"/>
        </w:rPr>
      </w:pPr>
      <w:r>
        <w:rPr>
          <w:bCs/>
          <w:sz w:val="24"/>
        </w:rPr>
        <w:t>7、投入设备</w:t>
      </w:r>
    </w:p>
    <w:p>
      <w:pPr>
        <w:pStyle w:val="24"/>
        <w:spacing w:line="360" w:lineRule="auto"/>
        <w:ind w:firstLine="592" w:firstLineChars="247"/>
        <w:rPr>
          <w:bCs/>
          <w:sz w:val="24"/>
        </w:rPr>
      </w:pPr>
      <w:r>
        <w:rPr>
          <w:bCs/>
          <w:sz w:val="24"/>
        </w:rPr>
        <w:t>拟投入设备齐全，满足工程需要。</w:t>
      </w:r>
    </w:p>
    <w:p>
      <w:pPr>
        <w:pStyle w:val="24"/>
        <w:spacing w:line="360" w:lineRule="auto"/>
        <w:ind w:firstLine="592" w:firstLineChars="247"/>
        <w:rPr>
          <w:bCs/>
          <w:sz w:val="24"/>
        </w:rPr>
      </w:pPr>
      <w:r>
        <w:rPr>
          <w:bCs/>
          <w:sz w:val="24"/>
        </w:rPr>
        <w:t>8、质量创优规划目标及措施</w:t>
      </w:r>
    </w:p>
    <w:p>
      <w:pPr>
        <w:pStyle w:val="24"/>
        <w:spacing w:line="360" w:lineRule="auto"/>
        <w:ind w:firstLine="592" w:firstLineChars="247"/>
        <w:rPr>
          <w:bCs/>
          <w:sz w:val="24"/>
        </w:rPr>
      </w:pPr>
      <w:r>
        <w:rPr>
          <w:bCs/>
          <w:sz w:val="24"/>
        </w:rPr>
        <w:t>质量创优规划目标内容详细、措施得当。</w:t>
      </w:r>
    </w:p>
    <w:p/>
    <w:bookmarkEnd w:id="98"/>
    <w:p>
      <w:r>
        <w:t xml:space="preserve"> </w:t>
      </w:r>
    </w:p>
    <w:p>
      <w:pPr>
        <w:rPr>
          <w:rFonts w:ascii="黑体" w:eastAsia="黑体"/>
          <w:sz w:val="52"/>
          <w:szCs w:val="52"/>
        </w:rPr>
      </w:pPr>
      <w:bookmarkStart w:id="103" w:name="Book83"/>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r>
        <w:rPr>
          <w:rFonts w:hint="eastAsia" w:ascii="黑体" w:eastAsia="黑体"/>
          <w:sz w:val="52"/>
          <w:szCs w:val="52"/>
        </w:rPr>
        <w:t xml:space="preserve">            第 二 卷</w:t>
      </w:r>
    </w:p>
    <w:bookmarkEnd w:id="103"/>
    <w:p>
      <w:pPr>
        <w:rPr>
          <w:rFonts w:ascii="黑体" w:hAnsi="黑体" w:eastAsia="黑体"/>
          <w:sz w:val="32"/>
        </w:rPr>
      </w:pPr>
      <w:bookmarkStart w:id="104" w:name="Book84"/>
      <w:r>
        <w:br w:type="page"/>
      </w:r>
      <w:bookmarkEnd w:id="104"/>
      <w:bookmarkStart w:id="105" w:name="_Toc490675697"/>
      <w:r>
        <w:rPr>
          <w:rFonts w:hint="eastAsia"/>
        </w:rPr>
        <w:t xml:space="preserve">                          </w:t>
      </w:r>
      <w:r>
        <w:rPr>
          <w:rFonts w:hint="eastAsia" w:ascii="黑体" w:hAnsi="黑体" w:eastAsia="黑体"/>
          <w:sz w:val="32"/>
        </w:rPr>
        <w:t>第六章</w:t>
      </w:r>
      <w:r>
        <w:rPr>
          <w:rFonts w:ascii="黑体" w:hAnsi="黑体" w:eastAsia="黑体"/>
          <w:sz w:val="32"/>
        </w:rPr>
        <w:t xml:space="preserve">  </w:t>
      </w:r>
      <w:r>
        <w:rPr>
          <w:rFonts w:hint="eastAsia" w:ascii="黑体" w:hAnsi="黑体" w:eastAsia="黑体"/>
          <w:sz w:val="32"/>
        </w:rPr>
        <w:t>投标文件格式</w:t>
      </w:r>
      <w:bookmarkEnd w:id="105"/>
    </w:p>
    <w:p>
      <w:pPr>
        <w:spacing w:line="440" w:lineRule="exact"/>
        <w:rPr>
          <w:rFonts w:eastAsia="黑体"/>
          <w:sz w:val="20"/>
          <w:szCs w:val="20"/>
        </w:rPr>
      </w:pPr>
    </w:p>
    <w:p>
      <w:pPr>
        <w:ind w:firstLine="2200" w:firstLineChars="500"/>
        <w:rPr>
          <w:rFonts w:eastAsia="黑体"/>
          <w:sz w:val="44"/>
          <w:szCs w:val="44"/>
        </w:rPr>
      </w:pPr>
      <w:r>
        <w:rPr>
          <w:rFonts w:hint="eastAsia" w:ascii="宋体" w:hAnsi="宋体" w:cs="黑体"/>
          <w:sz w:val="44"/>
          <w:szCs w:val="44"/>
          <w:u w:val="single"/>
        </w:rPr>
        <w:t xml:space="preserve">（项目名称）    </w:t>
      </w:r>
    </w:p>
    <w:p>
      <w:pPr>
        <w:rPr>
          <w:rFonts w:eastAsia="黑体"/>
          <w:sz w:val="20"/>
          <w:szCs w:val="20"/>
        </w:rPr>
      </w:pPr>
    </w:p>
    <w:p>
      <w:pPr>
        <w:rPr>
          <w:rFonts w:eastAsia="黑体"/>
          <w:sz w:val="20"/>
          <w:szCs w:val="20"/>
        </w:rPr>
      </w:pPr>
    </w:p>
    <w:p>
      <w:pPr>
        <w:rPr>
          <w:rFonts w:eastAsia="黑体"/>
          <w:sz w:val="20"/>
          <w:szCs w:val="20"/>
        </w:rPr>
      </w:pPr>
    </w:p>
    <w:p>
      <w:pPr>
        <w:rPr>
          <w:rFonts w:eastAsia="黑体"/>
          <w:sz w:val="20"/>
          <w:szCs w:val="20"/>
        </w:rPr>
      </w:pPr>
    </w:p>
    <w:p>
      <w:pPr>
        <w:rPr>
          <w:rFonts w:eastAsia="黑体"/>
          <w:sz w:val="20"/>
          <w:szCs w:val="20"/>
        </w:rPr>
      </w:pPr>
    </w:p>
    <w:p>
      <w:pPr>
        <w:rPr>
          <w:rFonts w:eastAsia="黑体"/>
          <w:sz w:val="20"/>
          <w:szCs w:val="20"/>
        </w:rPr>
      </w:pPr>
    </w:p>
    <w:p>
      <w:pPr>
        <w:rPr>
          <w:rFonts w:eastAsia="黑体"/>
          <w:sz w:val="20"/>
          <w:szCs w:val="20"/>
        </w:rPr>
      </w:pPr>
    </w:p>
    <w:p>
      <w:pPr>
        <w:jc w:val="center"/>
        <w:rPr>
          <w:rFonts w:eastAsia="黑体"/>
          <w:sz w:val="44"/>
          <w:szCs w:val="44"/>
        </w:rPr>
      </w:pPr>
      <w:r>
        <w:rPr>
          <w:rFonts w:hint="eastAsia" w:eastAsia="黑体"/>
          <w:sz w:val="44"/>
          <w:szCs w:val="44"/>
        </w:rPr>
        <w:t>投</w:t>
      </w:r>
      <w:r>
        <w:rPr>
          <w:rFonts w:eastAsia="黑体"/>
          <w:sz w:val="44"/>
          <w:szCs w:val="44"/>
        </w:rPr>
        <w:t xml:space="preserve">  </w:t>
      </w:r>
      <w:r>
        <w:rPr>
          <w:rFonts w:hint="eastAsia" w:eastAsia="黑体"/>
          <w:sz w:val="44"/>
          <w:szCs w:val="44"/>
        </w:rPr>
        <w:t>标</w:t>
      </w:r>
      <w:r>
        <w:rPr>
          <w:rFonts w:eastAsia="黑体"/>
          <w:sz w:val="44"/>
          <w:szCs w:val="44"/>
        </w:rPr>
        <w:t xml:space="preserve">  </w:t>
      </w:r>
      <w:r>
        <w:rPr>
          <w:rFonts w:hint="eastAsia" w:eastAsia="黑体"/>
          <w:sz w:val="44"/>
          <w:szCs w:val="44"/>
        </w:rPr>
        <w:t>文</w:t>
      </w:r>
      <w:r>
        <w:rPr>
          <w:rFonts w:eastAsia="黑体"/>
          <w:sz w:val="44"/>
          <w:szCs w:val="44"/>
        </w:rPr>
        <w:t xml:space="preserve">  </w:t>
      </w:r>
      <w:r>
        <w:rPr>
          <w:rFonts w:hint="eastAsia" w:eastAsia="黑体"/>
          <w:sz w:val="44"/>
          <w:szCs w:val="44"/>
        </w:rPr>
        <w:t>件</w:t>
      </w:r>
    </w:p>
    <w:p>
      <w:pPr>
        <w:jc w:val="center"/>
        <w:rPr>
          <w:rFonts w:eastAsia="黑体"/>
          <w:sz w:val="28"/>
          <w:szCs w:val="28"/>
        </w:rPr>
      </w:pPr>
      <w:r>
        <w:rPr>
          <w:rFonts w:hint="eastAsia" w:eastAsia="黑体"/>
          <w:sz w:val="28"/>
          <w:szCs w:val="28"/>
        </w:rPr>
        <w:t>采购编号：</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spacing w:line="600" w:lineRule="auto"/>
        <w:jc w:val="center"/>
        <w:rPr>
          <w:rFonts w:eastAsia="黑体"/>
          <w:sz w:val="28"/>
          <w:szCs w:val="28"/>
          <w:u w:val="single"/>
        </w:rPr>
      </w:pPr>
      <w:r>
        <w:rPr>
          <w:rFonts w:hint="eastAsia"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rPr>
        <w:t>（电子签章）</w:t>
      </w:r>
    </w:p>
    <w:p>
      <w:pPr>
        <w:spacing w:line="600" w:lineRule="auto"/>
        <w:jc w:val="center"/>
        <w:rPr>
          <w:rFonts w:eastAsia="黑体"/>
          <w:sz w:val="28"/>
          <w:szCs w:val="28"/>
        </w:rPr>
      </w:pPr>
      <w:r>
        <w:rPr>
          <w:rFonts w:hint="eastAsia" w:eastAsia="黑体"/>
          <w:sz w:val="28"/>
          <w:szCs w:val="28"/>
        </w:rPr>
        <w:t>法定代表人或其委托代理人：</w:t>
      </w:r>
      <w:r>
        <w:rPr>
          <w:rFonts w:eastAsia="黑体"/>
          <w:sz w:val="28"/>
          <w:szCs w:val="28"/>
          <w:u w:val="single"/>
        </w:rPr>
        <w:t xml:space="preserve">              </w:t>
      </w:r>
      <w:r>
        <w:rPr>
          <w:rFonts w:hint="eastAsia" w:eastAsia="黑体"/>
          <w:sz w:val="28"/>
          <w:szCs w:val="28"/>
        </w:rPr>
        <w:t>（电子或盖章）</w:t>
      </w:r>
    </w:p>
    <w:p>
      <w:pPr>
        <w:spacing w:line="600" w:lineRule="auto"/>
        <w:jc w:val="center"/>
        <w:rPr>
          <w:rFonts w:eastAsia="黑体"/>
          <w:sz w:val="28"/>
          <w:szCs w:val="28"/>
        </w:rPr>
      </w:pPr>
      <w:r>
        <w:rPr>
          <w:rFonts w:eastAsia="黑体"/>
          <w:sz w:val="28"/>
          <w:szCs w:val="28"/>
          <w:u w:val="single"/>
        </w:rPr>
        <w:t xml:space="preserve">        </w:t>
      </w:r>
      <w:r>
        <w:rPr>
          <w:rFonts w:hint="eastAsia" w:eastAsia="黑体"/>
          <w:sz w:val="28"/>
          <w:szCs w:val="28"/>
        </w:rPr>
        <w:t>年</w:t>
      </w:r>
      <w:r>
        <w:rPr>
          <w:rFonts w:eastAsia="黑体"/>
          <w:sz w:val="28"/>
          <w:szCs w:val="28"/>
          <w:u w:val="single"/>
        </w:rPr>
        <w:t xml:space="preserve">        </w:t>
      </w:r>
      <w:r>
        <w:rPr>
          <w:rFonts w:hint="eastAsia" w:eastAsia="黑体"/>
          <w:sz w:val="28"/>
          <w:szCs w:val="28"/>
        </w:rPr>
        <w:t>月</w:t>
      </w:r>
      <w:r>
        <w:rPr>
          <w:rFonts w:eastAsia="黑体"/>
          <w:sz w:val="28"/>
          <w:szCs w:val="28"/>
          <w:u w:val="single"/>
        </w:rPr>
        <w:t xml:space="preserve">        </w:t>
      </w:r>
      <w:r>
        <w:rPr>
          <w:rFonts w:hint="eastAsia" w:eastAsia="黑体"/>
          <w:sz w:val="28"/>
          <w:szCs w:val="28"/>
        </w:rPr>
        <w:t>日</w:t>
      </w:r>
    </w:p>
    <w:p>
      <w:pPr>
        <w:pStyle w:val="29"/>
        <w:jc w:val="center"/>
      </w:pPr>
      <w:bookmarkStart w:id="106" w:name="_Toc417478617"/>
      <w:bookmarkStart w:id="107" w:name="_Toc490675698"/>
      <w:bookmarkStart w:id="108" w:name="_Toc152042576"/>
      <w:bookmarkStart w:id="109" w:name="_Toc144974856"/>
      <w:bookmarkStart w:id="110" w:name="_Toc152045787"/>
      <w:r>
        <w:br w:type="page"/>
      </w:r>
      <w:r>
        <w:rPr>
          <w:rFonts w:hint="eastAsia"/>
        </w:rPr>
        <w:t>目</w:t>
      </w:r>
      <w:r>
        <w:t xml:space="preserve">    </w:t>
      </w:r>
      <w:r>
        <w:rPr>
          <w:rFonts w:hint="eastAsia"/>
        </w:rPr>
        <w:t>录</w:t>
      </w:r>
      <w:bookmarkEnd w:id="106"/>
      <w:bookmarkEnd w:id="107"/>
      <w:bookmarkEnd w:id="108"/>
      <w:bookmarkEnd w:id="109"/>
      <w:bookmarkEnd w:id="110"/>
    </w:p>
    <w:p>
      <w:pPr>
        <w:spacing w:line="540" w:lineRule="exact"/>
      </w:pPr>
    </w:p>
    <w:p>
      <w:pPr>
        <w:spacing w:line="600" w:lineRule="exact"/>
        <w:rPr>
          <w:rFonts w:ascii="宋体"/>
          <w:szCs w:val="21"/>
        </w:rPr>
      </w:pPr>
      <w:r>
        <w:rPr>
          <w:rFonts w:hint="eastAsia" w:ascii="宋体" w:hAnsi="宋体"/>
          <w:szCs w:val="21"/>
        </w:rPr>
        <w:t>一、投标函及投标函附录</w:t>
      </w:r>
    </w:p>
    <w:p>
      <w:pPr>
        <w:spacing w:line="600" w:lineRule="exact"/>
        <w:rPr>
          <w:rFonts w:ascii="宋体"/>
          <w:szCs w:val="21"/>
        </w:rPr>
      </w:pPr>
      <w:r>
        <w:rPr>
          <w:rFonts w:hint="eastAsia" w:ascii="宋体" w:hAnsi="宋体"/>
          <w:szCs w:val="21"/>
        </w:rPr>
        <w:t>二、法定代表人身份证明</w:t>
      </w:r>
    </w:p>
    <w:p>
      <w:pPr>
        <w:spacing w:line="540" w:lineRule="exact"/>
      </w:pPr>
      <w:r>
        <w:rPr>
          <w:rFonts w:hint="eastAsia"/>
        </w:rPr>
        <w:t>三、授权委托书</w:t>
      </w:r>
    </w:p>
    <w:p>
      <w:pPr>
        <w:spacing w:line="600" w:lineRule="exact"/>
        <w:rPr>
          <w:rFonts w:ascii="宋体" w:hAnsi="宋体"/>
          <w:szCs w:val="21"/>
        </w:rPr>
      </w:pPr>
      <w:r>
        <w:rPr>
          <w:rFonts w:hint="eastAsia" w:ascii="宋体" w:hAnsi="宋体"/>
          <w:szCs w:val="21"/>
        </w:rPr>
        <w:t>四 、项目</w:t>
      </w:r>
      <w:r>
        <w:rPr>
          <w:rFonts w:ascii="宋体" w:hAnsi="宋体"/>
          <w:szCs w:val="21"/>
        </w:rPr>
        <w:t>管理机构</w:t>
      </w:r>
    </w:p>
    <w:p>
      <w:pPr>
        <w:spacing w:line="600" w:lineRule="exact"/>
        <w:rPr>
          <w:rFonts w:ascii="宋体" w:hAnsi="宋体"/>
          <w:szCs w:val="21"/>
        </w:rPr>
      </w:pPr>
      <w:r>
        <w:rPr>
          <w:rFonts w:hint="eastAsia" w:ascii="宋体" w:hAnsi="宋体"/>
          <w:szCs w:val="21"/>
        </w:rPr>
        <w:t>五、资格审查资料</w:t>
      </w:r>
    </w:p>
    <w:p>
      <w:pPr>
        <w:spacing w:line="600" w:lineRule="exact"/>
        <w:rPr>
          <w:rFonts w:ascii="宋体"/>
          <w:szCs w:val="21"/>
        </w:rPr>
      </w:pPr>
      <w:r>
        <w:rPr>
          <w:rFonts w:hint="eastAsia" w:ascii="宋体" w:hAnsi="宋体"/>
          <w:szCs w:val="21"/>
        </w:rPr>
        <w:t>六、服务承诺</w:t>
      </w:r>
    </w:p>
    <w:p>
      <w:pPr>
        <w:spacing w:line="600" w:lineRule="exact"/>
        <w:rPr>
          <w:rFonts w:ascii="宋体"/>
          <w:szCs w:val="21"/>
        </w:rPr>
      </w:pPr>
      <w:r>
        <w:rPr>
          <w:rFonts w:hint="eastAsia" w:ascii="宋体" w:hAnsi="宋体"/>
          <w:szCs w:val="21"/>
        </w:rPr>
        <w:t>七、其他材料</w:t>
      </w:r>
    </w:p>
    <w:p>
      <w:pPr>
        <w:spacing w:line="540" w:lineRule="exact"/>
        <w:rPr>
          <w:rFonts w:eastAsia="黑体"/>
          <w:sz w:val="20"/>
          <w:szCs w:val="20"/>
        </w:rPr>
      </w:pPr>
      <w:r>
        <w:t xml:space="preserve"> </w:t>
      </w:r>
    </w:p>
    <w:p>
      <w:bookmarkStart w:id="111" w:name="_Toc152042577"/>
      <w:bookmarkStart w:id="112" w:name="_Toc417478618"/>
      <w:bookmarkStart w:id="113" w:name="_Toc144974857"/>
      <w:bookmarkStart w:id="114" w:name="_Toc152045788"/>
      <w:bookmarkStart w:id="115" w:name="_Toc490675699"/>
      <w:r>
        <w:rPr>
          <w:rFonts w:hint="eastAsia"/>
        </w:rPr>
        <w:br w:type="page"/>
      </w:r>
    </w:p>
    <w:p>
      <w:pPr>
        <w:pStyle w:val="29"/>
        <w:jc w:val="center"/>
      </w:pPr>
      <w:r>
        <w:rPr>
          <w:rFonts w:hint="eastAsia"/>
        </w:rPr>
        <w:t>一、投标函及投标函附录</w:t>
      </w:r>
      <w:bookmarkEnd w:id="111"/>
      <w:bookmarkEnd w:id="112"/>
      <w:bookmarkEnd w:id="113"/>
      <w:bookmarkEnd w:id="114"/>
      <w:bookmarkEnd w:id="115"/>
    </w:p>
    <w:p>
      <w:pPr>
        <w:spacing w:line="440" w:lineRule="exact"/>
        <w:ind w:firstLine="2700" w:firstLineChars="1350"/>
        <w:rPr>
          <w:rFonts w:eastAsia="黑体"/>
          <w:sz w:val="20"/>
          <w:szCs w:val="20"/>
        </w:rPr>
      </w:pPr>
    </w:p>
    <w:p>
      <w:pPr>
        <w:pStyle w:val="30"/>
        <w:jc w:val="center"/>
        <w:outlineLvl w:val="0"/>
        <w:rPr>
          <w:szCs w:val="23"/>
        </w:rPr>
      </w:pPr>
      <w:bookmarkStart w:id="116" w:name="_Toc417478619"/>
      <w:bookmarkStart w:id="117" w:name="_Toc490675700"/>
      <w:r>
        <w:rPr>
          <w:rFonts w:hint="eastAsia"/>
          <w:szCs w:val="23"/>
        </w:rPr>
        <w:t>（一）投标函</w:t>
      </w:r>
      <w:bookmarkEnd w:id="116"/>
      <w:bookmarkEnd w:id="117"/>
    </w:p>
    <w:p>
      <w:pPr>
        <w:spacing w:line="400" w:lineRule="exact"/>
        <w:rPr>
          <w:rFonts w:ascii="宋体"/>
          <w:szCs w:val="21"/>
        </w:rPr>
      </w:pPr>
      <w:r>
        <w:rPr>
          <w:rFonts w:hint="eastAsia" w:ascii="宋体" w:hAnsi="宋体"/>
          <w:szCs w:val="21"/>
        </w:rPr>
        <w:t>致：</w:t>
      </w:r>
      <w:r>
        <w:rPr>
          <w:rFonts w:ascii="宋体" w:hAnsi="宋体"/>
          <w:szCs w:val="21"/>
          <w:u w:val="single"/>
        </w:rPr>
        <w:t xml:space="preserve">                              </w:t>
      </w:r>
      <w:r>
        <w:rPr>
          <w:rFonts w:hint="eastAsia" w:ascii="宋体" w:hAnsi="宋体"/>
          <w:szCs w:val="21"/>
        </w:rPr>
        <w:t>（招标人名称）</w:t>
      </w:r>
    </w:p>
    <w:p>
      <w:pPr>
        <w:spacing w:line="400" w:lineRule="exact"/>
        <w:ind w:firstLine="420" w:firstLineChars="200"/>
        <w:rPr>
          <w:rFonts w:ascii="宋体" w:hAnsi="宋体"/>
          <w:szCs w:val="21"/>
        </w:rPr>
      </w:pPr>
      <w:r>
        <w:rPr>
          <w:rFonts w:hint="eastAsia" w:ascii="宋体" w:hAnsi="宋体"/>
          <w:szCs w:val="21"/>
        </w:rPr>
        <w:t>在充分研究</w:t>
      </w:r>
      <w:r>
        <w:rPr>
          <w:rFonts w:ascii="宋体" w:hAnsi="宋体"/>
          <w:szCs w:val="21"/>
          <w:u w:val="single"/>
        </w:rPr>
        <w:t xml:space="preserve">                 </w:t>
      </w:r>
      <w:r>
        <w:rPr>
          <w:rFonts w:hint="eastAsia" w:ascii="宋体" w:hAnsi="宋体"/>
          <w:szCs w:val="21"/>
        </w:rPr>
        <w:t>（项目名称）（以下简称“本工程”）招标文件的全部内容后，我方兹以：</w:t>
      </w:r>
    </w:p>
    <w:p>
      <w:pPr>
        <w:spacing w:line="400" w:lineRule="exact"/>
        <w:ind w:firstLine="420" w:firstLineChars="200"/>
        <w:rPr>
          <w:rFonts w:ascii="宋体"/>
          <w:szCs w:val="21"/>
        </w:rPr>
      </w:pPr>
      <w:r>
        <w:rPr>
          <w:rFonts w:hint="eastAsia" w:ascii="宋体" w:hAnsi="宋体"/>
          <w:szCs w:val="21"/>
        </w:rPr>
        <w:t>投标报价（大写）：</w:t>
      </w:r>
      <w:r>
        <w:rPr>
          <w:rFonts w:ascii="宋体" w:hAnsi="宋体"/>
          <w:szCs w:val="21"/>
          <w:u w:val="single"/>
        </w:rPr>
        <w:t xml:space="preserve">                                          </w:t>
      </w:r>
    </w:p>
    <w:p>
      <w:pPr>
        <w:spacing w:line="400" w:lineRule="exact"/>
        <w:ind w:firstLine="1260" w:firstLineChars="600"/>
        <w:rPr>
          <w:rFonts w:ascii="宋体"/>
          <w:szCs w:val="21"/>
          <w:u w:val="single"/>
        </w:rPr>
      </w:pPr>
      <w:r>
        <w:rPr>
          <w:rFonts w:hint="eastAsia" w:ascii="宋体" w:hAnsi="宋体"/>
          <w:szCs w:val="21"/>
        </w:rPr>
        <w:t>（小写）：</w:t>
      </w:r>
      <w:r>
        <w:rPr>
          <w:rFonts w:ascii="宋体" w:hAnsi="宋体"/>
          <w:szCs w:val="21"/>
          <w:u w:val="single"/>
        </w:rPr>
        <w:t xml:space="preserve">                                          </w:t>
      </w:r>
    </w:p>
    <w:p>
      <w:pPr>
        <w:spacing w:line="400" w:lineRule="exact"/>
        <w:ind w:firstLine="420" w:firstLineChars="200"/>
        <w:rPr>
          <w:rFonts w:ascii="宋体"/>
          <w:szCs w:val="21"/>
        </w:rPr>
      </w:pPr>
      <w:r>
        <w:rPr>
          <w:rFonts w:hint="eastAsia" w:ascii="宋体" w:hAnsi="宋体"/>
          <w:szCs w:val="21"/>
        </w:rPr>
        <w:t>的投标价格和按合同约定有权得到的其它金额，并严格按照合同约定，监理本工程。</w:t>
      </w:r>
    </w:p>
    <w:p>
      <w:pPr>
        <w:spacing w:line="400" w:lineRule="exact"/>
        <w:ind w:firstLine="420" w:firstLineChars="200"/>
        <w:rPr>
          <w:rFonts w:ascii="宋体"/>
          <w:szCs w:val="21"/>
        </w:rPr>
      </w:pPr>
      <w:r>
        <w:rPr>
          <w:rFonts w:hint="eastAsia" w:ascii="宋体" w:hAnsi="宋体"/>
          <w:szCs w:val="21"/>
        </w:rPr>
        <w:t>如果我方中标，我方保证在</w:t>
      </w:r>
      <w:r>
        <w:rPr>
          <w:rFonts w:hint="eastAsia"/>
          <w:szCs w:val="21"/>
        </w:rPr>
        <w:t>为本设计、施工和保修阶段全过程监理</w:t>
      </w:r>
      <w:r>
        <w:rPr>
          <w:rFonts w:hint="eastAsia" w:ascii="宋体" w:hAnsi="宋体"/>
          <w:szCs w:val="21"/>
        </w:rPr>
        <w:t>至竣工验收止，并确保工程质量达到</w:t>
      </w:r>
      <w:r>
        <w:rPr>
          <w:rFonts w:ascii="宋体" w:hAnsi="宋体"/>
          <w:szCs w:val="21"/>
          <w:u w:val="single"/>
        </w:rPr>
        <w:t xml:space="preserve">      </w:t>
      </w:r>
      <w:r>
        <w:rPr>
          <w:rFonts w:hint="eastAsia" w:ascii="宋体" w:hAnsi="宋体"/>
          <w:szCs w:val="21"/>
        </w:rPr>
        <w:t>标准。我方同意本投标函在招标文件规定的提交投标文件截止时间后，在招标文件规定的投标有效期期满前对我方具有约束力，且随时准备接受你方发出的中标通知书。</w:t>
      </w:r>
    </w:p>
    <w:p>
      <w:pPr>
        <w:spacing w:line="400" w:lineRule="exact"/>
        <w:ind w:firstLine="420" w:firstLineChars="200"/>
        <w:rPr>
          <w:rFonts w:ascii="宋体"/>
          <w:szCs w:val="21"/>
        </w:rPr>
      </w:pPr>
      <w:r>
        <w:rPr>
          <w:rFonts w:hint="eastAsia" w:ascii="宋体" w:hAnsi="宋体"/>
          <w:szCs w:val="21"/>
        </w:rPr>
        <w:t>随本投标函提交的投标函附录是本投标函的组成部分，对我方构成约束力。</w:t>
      </w:r>
    </w:p>
    <w:p>
      <w:pPr>
        <w:spacing w:line="400" w:lineRule="exact"/>
        <w:ind w:firstLine="420" w:firstLineChars="200"/>
        <w:rPr>
          <w:rFonts w:ascii="宋体"/>
          <w:szCs w:val="21"/>
        </w:rPr>
      </w:pPr>
      <w:r>
        <w:rPr>
          <w:rFonts w:hint="eastAsia" w:ascii="宋体" w:hAnsi="宋体"/>
          <w:szCs w:val="21"/>
        </w:rPr>
        <w:t>在签署协议书之前，你方的中标通知书连同本投标函，包括投标函附录，对双方具有约束力。</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p>
    <w:p>
      <w:pPr>
        <w:spacing w:line="400" w:lineRule="exact"/>
        <w:ind w:firstLine="420" w:firstLineChars="200"/>
        <w:rPr>
          <w:rFonts w:ascii="宋体"/>
          <w:szCs w:val="21"/>
        </w:rPr>
      </w:pPr>
      <w:r>
        <w:rPr>
          <w:rFonts w:hint="eastAsia" w:ascii="宋体" w:hAnsi="宋体"/>
          <w:szCs w:val="21"/>
        </w:rPr>
        <w:t>投标人（电子签章）：</w:t>
      </w:r>
    </w:p>
    <w:p>
      <w:pPr>
        <w:spacing w:line="400" w:lineRule="exact"/>
        <w:ind w:firstLine="420" w:firstLineChars="200"/>
        <w:rPr>
          <w:rFonts w:ascii="宋体" w:hAnsi="宋体"/>
          <w:szCs w:val="21"/>
        </w:rPr>
      </w:pPr>
    </w:p>
    <w:p>
      <w:pPr>
        <w:spacing w:line="400" w:lineRule="exact"/>
        <w:ind w:firstLine="420" w:firstLineChars="200"/>
        <w:rPr>
          <w:rFonts w:ascii="宋体"/>
          <w:szCs w:val="21"/>
        </w:rPr>
      </w:pPr>
      <w:r>
        <w:rPr>
          <w:rFonts w:hint="eastAsia" w:ascii="宋体" w:hAnsi="宋体"/>
          <w:szCs w:val="21"/>
        </w:rPr>
        <w:t>法人代表或委托代理人（签字或盖章）：</w:t>
      </w:r>
    </w:p>
    <w:p>
      <w:pPr>
        <w:spacing w:line="480" w:lineRule="exact"/>
        <w:ind w:firstLine="420" w:firstLineChars="200"/>
        <w:rPr>
          <w:rFonts w:ascii="宋体" w:hAnsi="宋体"/>
          <w:szCs w:val="21"/>
        </w:rPr>
      </w:pPr>
    </w:p>
    <w:p>
      <w:pPr>
        <w:spacing w:line="480" w:lineRule="exact"/>
        <w:ind w:firstLine="420" w:firstLineChars="200"/>
        <w:rPr>
          <w:rFonts w:ascii="宋体"/>
          <w:szCs w:val="21"/>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440" w:lineRule="exact"/>
        <w:ind w:firstLine="3675" w:firstLineChars="1750"/>
        <w:rPr>
          <w:szCs w:val="21"/>
        </w:rPr>
      </w:pPr>
    </w:p>
    <w:p>
      <w:pPr>
        <w:spacing w:line="440" w:lineRule="exact"/>
        <w:ind w:firstLine="5040" w:firstLineChars="2400"/>
        <w:rPr>
          <w:rFonts w:eastAsia="黑体"/>
          <w:szCs w:val="21"/>
        </w:rPr>
      </w:pPr>
    </w:p>
    <w:p>
      <w:pPr>
        <w:spacing w:line="440" w:lineRule="exact"/>
        <w:rPr>
          <w:rFonts w:eastAsia="黑体"/>
          <w:sz w:val="20"/>
          <w:szCs w:val="20"/>
        </w:rPr>
      </w:pPr>
      <w:r>
        <w:rPr>
          <w:rFonts w:eastAsia="黑体"/>
          <w:sz w:val="20"/>
          <w:szCs w:val="20"/>
        </w:rPr>
        <w:br w:type="page"/>
      </w:r>
    </w:p>
    <w:p>
      <w:pPr>
        <w:pStyle w:val="30"/>
        <w:jc w:val="center"/>
        <w:outlineLvl w:val="0"/>
        <w:rPr>
          <w:szCs w:val="23"/>
        </w:rPr>
      </w:pPr>
      <w:bookmarkStart w:id="118" w:name="_Toc490675701"/>
      <w:bookmarkStart w:id="119" w:name="_Toc152042579"/>
      <w:bookmarkStart w:id="120" w:name="_Toc144974859"/>
      <w:bookmarkStart w:id="121" w:name="_Toc152045790"/>
      <w:bookmarkStart w:id="122" w:name="_Toc417478620"/>
      <w:r>
        <w:rPr>
          <w:rFonts w:hint="eastAsia"/>
          <w:szCs w:val="23"/>
        </w:rPr>
        <w:t>（二）投标函附录</w:t>
      </w:r>
      <w:bookmarkEnd w:id="118"/>
      <w:bookmarkEnd w:id="119"/>
      <w:bookmarkEnd w:id="120"/>
      <w:bookmarkEnd w:id="121"/>
      <w:bookmarkEnd w:id="122"/>
    </w:p>
    <w:p>
      <w:pPr>
        <w:spacing w:line="440" w:lineRule="exact"/>
        <w:rPr>
          <w:rFonts w:eastAsia="黑体"/>
          <w:sz w:val="20"/>
          <w:szCs w:val="20"/>
        </w:rPr>
      </w:pPr>
    </w:p>
    <w:tbl>
      <w:tblPr>
        <w:tblStyle w:val="17"/>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1901"/>
        <w:gridCol w:w="1484"/>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167" w:type="dxa"/>
            <w:vAlign w:val="center"/>
          </w:tcPr>
          <w:p>
            <w:pPr>
              <w:jc w:val="center"/>
              <w:rPr>
                <w:szCs w:val="21"/>
              </w:rPr>
            </w:pPr>
            <w:r>
              <w:rPr>
                <w:rFonts w:hint="eastAsia" w:ascii="宋体" w:hAnsi="宋体"/>
                <w:szCs w:val="21"/>
              </w:rPr>
              <w:t>项目名称</w:t>
            </w:r>
          </w:p>
        </w:tc>
        <w:tc>
          <w:tcPr>
            <w:tcW w:w="6777" w:type="dxa"/>
            <w:gridSpan w:val="3"/>
            <w:vAlign w:val="center"/>
          </w:tcPr>
          <w:p>
            <w:pPr>
              <w:jc w:val="right"/>
            </w:pPr>
          </w:p>
          <w:p>
            <w:pPr>
              <w:pStyle w:val="16"/>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167" w:type="dxa"/>
            <w:vAlign w:val="center"/>
          </w:tcPr>
          <w:p>
            <w:pPr>
              <w:jc w:val="center"/>
              <w:rPr>
                <w:rFonts w:ascii="宋体"/>
                <w:szCs w:val="21"/>
              </w:rPr>
            </w:pPr>
            <w:r>
              <w:rPr>
                <w:rFonts w:hint="eastAsia" w:ascii="宋体" w:hAnsi="宋体"/>
                <w:szCs w:val="21"/>
              </w:rPr>
              <w:t>投标人</w:t>
            </w:r>
          </w:p>
        </w:tc>
        <w:tc>
          <w:tcPr>
            <w:tcW w:w="6777"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2167" w:type="dxa"/>
            <w:vAlign w:val="center"/>
          </w:tcPr>
          <w:p>
            <w:pPr>
              <w:jc w:val="center"/>
              <w:rPr>
                <w:rFonts w:ascii="宋体"/>
                <w:szCs w:val="21"/>
              </w:rPr>
            </w:pPr>
            <w:r>
              <w:rPr>
                <w:rFonts w:hint="eastAsia" w:ascii="宋体" w:hAnsi="宋体"/>
                <w:szCs w:val="21"/>
              </w:rPr>
              <w:t>投标报价</w:t>
            </w:r>
          </w:p>
        </w:tc>
        <w:tc>
          <w:tcPr>
            <w:tcW w:w="6777" w:type="dxa"/>
            <w:gridSpan w:val="3"/>
            <w:vAlign w:val="center"/>
          </w:tcPr>
          <w:p>
            <w:pPr>
              <w:rPr>
                <w:rFonts w:ascii="宋体"/>
                <w:szCs w:val="21"/>
                <w:u w:val="single"/>
              </w:rPr>
            </w:pPr>
            <w:r>
              <w:rPr>
                <w:rFonts w:hint="eastAsia" w:ascii="宋体" w:hAnsi="宋体"/>
                <w:szCs w:val="21"/>
              </w:rPr>
              <w:t>（大写）：</w:t>
            </w:r>
            <w:r>
              <w:rPr>
                <w:rFonts w:ascii="宋体" w:hAnsi="宋体"/>
                <w:szCs w:val="21"/>
                <w:u w:val="single"/>
              </w:rPr>
              <w:t xml:space="preserve">                               </w:t>
            </w:r>
          </w:p>
          <w:p>
            <w:pPr>
              <w:rPr>
                <w:rFonts w:ascii="宋体"/>
                <w:szCs w:val="21"/>
              </w:rPr>
            </w:pPr>
          </w:p>
          <w:p>
            <w:pPr>
              <w:rPr>
                <w:rFonts w:ascii="宋体"/>
                <w:szCs w:val="21"/>
                <w:u w:val="single"/>
              </w:rPr>
            </w:pPr>
            <w:r>
              <w:rPr>
                <w:rFonts w:hint="eastAsia" w:ascii="宋体" w:hAnsi="宋体"/>
                <w:szCs w:val="21"/>
              </w:rPr>
              <w:t>（小写）：</w:t>
            </w:r>
            <w:r>
              <w:rPr>
                <w:rFonts w:ascii="宋体" w:hAnsi="宋体"/>
                <w:szCs w:val="21"/>
                <w:u w:val="single"/>
              </w:rPr>
              <w:t xml:space="preserve">                               </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7" w:type="dxa"/>
            <w:vAlign w:val="center"/>
          </w:tcPr>
          <w:p>
            <w:pPr>
              <w:jc w:val="center"/>
              <w:rPr>
                <w:rFonts w:ascii="宋体" w:hAnsi="宋体"/>
                <w:color w:val="FF0000"/>
                <w:szCs w:val="21"/>
              </w:rPr>
            </w:pPr>
            <w:r>
              <w:rPr>
                <w:rFonts w:hint="eastAsia" w:ascii="宋体" w:hAnsi="宋体"/>
                <w:szCs w:val="21"/>
              </w:rPr>
              <w:t>工期</w:t>
            </w:r>
          </w:p>
        </w:tc>
        <w:tc>
          <w:tcPr>
            <w:tcW w:w="6777"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7" w:type="dxa"/>
            <w:vMerge w:val="restart"/>
            <w:vAlign w:val="center"/>
          </w:tcPr>
          <w:p>
            <w:pPr>
              <w:jc w:val="center"/>
              <w:rPr>
                <w:rFonts w:ascii="宋体"/>
                <w:szCs w:val="21"/>
              </w:rPr>
            </w:pPr>
            <w:r>
              <w:rPr>
                <w:rFonts w:hint="eastAsia" w:ascii="宋体" w:hAnsi="宋体"/>
                <w:szCs w:val="21"/>
              </w:rPr>
              <w:t>总监</w:t>
            </w:r>
          </w:p>
        </w:tc>
        <w:tc>
          <w:tcPr>
            <w:tcW w:w="1901" w:type="dxa"/>
            <w:vMerge w:val="restart"/>
            <w:vAlign w:val="center"/>
          </w:tcPr>
          <w:p>
            <w:pPr>
              <w:jc w:val="center"/>
              <w:rPr>
                <w:rFonts w:ascii="宋体"/>
                <w:szCs w:val="21"/>
              </w:rPr>
            </w:pPr>
          </w:p>
        </w:tc>
        <w:tc>
          <w:tcPr>
            <w:tcW w:w="1484" w:type="dxa"/>
            <w:vAlign w:val="center"/>
          </w:tcPr>
          <w:p>
            <w:pPr>
              <w:jc w:val="center"/>
              <w:rPr>
                <w:rFonts w:ascii="宋体"/>
                <w:szCs w:val="21"/>
              </w:rPr>
            </w:pPr>
            <w:r>
              <w:rPr>
                <w:rFonts w:hint="eastAsia" w:ascii="宋体" w:hAnsi="宋体"/>
                <w:szCs w:val="21"/>
              </w:rPr>
              <w:t>级别</w:t>
            </w:r>
          </w:p>
        </w:tc>
        <w:tc>
          <w:tcPr>
            <w:tcW w:w="3392"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7" w:type="dxa"/>
            <w:vMerge w:val="continue"/>
            <w:vAlign w:val="center"/>
          </w:tcPr>
          <w:p>
            <w:pPr>
              <w:widowControl/>
              <w:jc w:val="left"/>
              <w:rPr>
                <w:rFonts w:ascii="宋体"/>
                <w:szCs w:val="21"/>
              </w:rPr>
            </w:pPr>
          </w:p>
        </w:tc>
        <w:tc>
          <w:tcPr>
            <w:tcW w:w="1901" w:type="dxa"/>
            <w:vMerge w:val="continue"/>
            <w:vAlign w:val="center"/>
          </w:tcPr>
          <w:p>
            <w:pPr>
              <w:widowControl/>
              <w:jc w:val="left"/>
              <w:rPr>
                <w:rFonts w:ascii="宋体"/>
                <w:szCs w:val="21"/>
              </w:rPr>
            </w:pPr>
          </w:p>
        </w:tc>
        <w:tc>
          <w:tcPr>
            <w:tcW w:w="1484" w:type="dxa"/>
            <w:vAlign w:val="center"/>
          </w:tcPr>
          <w:p>
            <w:pPr>
              <w:jc w:val="center"/>
              <w:rPr>
                <w:rFonts w:ascii="宋体"/>
                <w:szCs w:val="21"/>
              </w:rPr>
            </w:pPr>
            <w:r>
              <w:rPr>
                <w:rFonts w:hint="eastAsia" w:ascii="宋体" w:hAnsi="宋体"/>
                <w:szCs w:val="21"/>
              </w:rPr>
              <w:t>编号</w:t>
            </w:r>
          </w:p>
        </w:tc>
        <w:tc>
          <w:tcPr>
            <w:tcW w:w="3392"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67" w:type="dxa"/>
            <w:vAlign w:val="center"/>
          </w:tcPr>
          <w:p>
            <w:pPr>
              <w:jc w:val="center"/>
              <w:rPr>
                <w:rFonts w:ascii="宋体" w:hAnsi="宋体"/>
                <w:szCs w:val="21"/>
              </w:rPr>
            </w:pPr>
            <w:r>
              <w:rPr>
                <w:rFonts w:hint="eastAsia" w:ascii="宋体" w:hAnsi="宋体"/>
                <w:szCs w:val="21"/>
              </w:rPr>
              <w:t>质量</w:t>
            </w:r>
          </w:p>
        </w:tc>
        <w:tc>
          <w:tcPr>
            <w:tcW w:w="6777"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7" w:type="dxa"/>
            <w:vAlign w:val="center"/>
          </w:tcPr>
          <w:p>
            <w:pPr>
              <w:jc w:val="center"/>
              <w:rPr>
                <w:rFonts w:ascii="宋体"/>
                <w:szCs w:val="21"/>
              </w:rPr>
            </w:pPr>
            <w:r>
              <w:rPr>
                <w:rFonts w:hint="eastAsia" w:ascii="宋体" w:hAnsi="宋体"/>
                <w:szCs w:val="21"/>
              </w:rPr>
              <w:t>投标有效期</w:t>
            </w:r>
          </w:p>
        </w:tc>
        <w:tc>
          <w:tcPr>
            <w:tcW w:w="6777"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7" w:type="dxa"/>
            <w:vAlign w:val="center"/>
          </w:tcPr>
          <w:p>
            <w:pPr>
              <w:jc w:val="center"/>
              <w:rPr>
                <w:rFonts w:ascii="宋体"/>
                <w:szCs w:val="21"/>
              </w:rPr>
            </w:pPr>
            <w:r>
              <w:rPr>
                <w:rFonts w:hint="eastAsia" w:ascii="宋体" w:hAnsi="宋体"/>
                <w:szCs w:val="21"/>
              </w:rPr>
              <w:t>备注</w:t>
            </w:r>
          </w:p>
        </w:tc>
        <w:tc>
          <w:tcPr>
            <w:tcW w:w="6777" w:type="dxa"/>
            <w:gridSpan w:val="3"/>
            <w:vAlign w:val="center"/>
          </w:tcPr>
          <w:p>
            <w:pPr>
              <w:rPr>
                <w:szCs w:val="21"/>
              </w:rPr>
            </w:pPr>
          </w:p>
        </w:tc>
      </w:tr>
    </w:tbl>
    <w:p>
      <w:pPr>
        <w:spacing w:line="440" w:lineRule="exact"/>
        <w:rPr>
          <w:rFonts w:eastAsia="黑体"/>
          <w:szCs w:val="21"/>
        </w:rPr>
      </w:pPr>
    </w:p>
    <w:p>
      <w:pPr>
        <w:spacing w:line="460" w:lineRule="exact"/>
        <w:rPr>
          <w:rFonts w:ascii="仿宋_GB2312" w:hAnsi="宋体" w:eastAsia="仿宋_GB2312"/>
          <w:szCs w:val="21"/>
        </w:rPr>
      </w:pPr>
    </w:p>
    <w:p>
      <w:pPr>
        <w:spacing w:line="400" w:lineRule="exact"/>
        <w:ind w:firstLine="5250" w:firstLineChars="2500"/>
        <w:rPr>
          <w:rFonts w:ascii="宋体"/>
          <w:szCs w:val="21"/>
        </w:rPr>
      </w:pPr>
      <w:r>
        <w:rPr>
          <w:rFonts w:hint="eastAsia" w:ascii="宋体" w:hAnsi="宋体"/>
          <w:szCs w:val="21"/>
        </w:rPr>
        <w:t>投标人（电子签章）：</w:t>
      </w:r>
    </w:p>
    <w:p>
      <w:pPr>
        <w:spacing w:line="400" w:lineRule="exact"/>
        <w:ind w:firstLine="3885" w:firstLineChars="1850"/>
        <w:rPr>
          <w:rFonts w:ascii="宋体"/>
          <w:szCs w:val="21"/>
        </w:rPr>
      </w:pPr>
      <w:r>
        <w:rPr>
          <w:rFonts w:hint="eastAsia" w:ascii="宋体" w:hAnsi="宋体"/>
          <w:szCs w:val="21"/>
        </w:rPr>
        <w:t>法人代表或委托代理人（签字或盖章）：</w:t>
      </w:r>
    </w:p>
    <w:p>
      <w:pPr>
        <w:wordWrap w:val="0"/>
        <w:spacing w:line="360" w:lineRule="auto"/>
        <w:jc w:val="right"/>
        <w:rPr>
          <w:rFonts w:ascii="仿宋_GB2312" w:hAnsi="宋体" w:eastAsia="仿宋_GB2312"/>
          <w:sz w:val="24"/>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r>
        <w:rPr>
          <w:rFonts w:ascii="仿宋_GB2312" w:hAnsi="宋体" w:eastAsia="仿宋_GB2312"/>
          <w:szCs w:val="21"/>
        </w:rPr>
        <w:t xml:space="preserve"> </w:t>
      </w:r>
    </w:p>
    <w:p>
      <w:pPr>
        <w:spacing w:line="440" w:lineRule="exact"/>
        <w:rPr>
          <w:rFonts w:eastAsia="黑体"/>
          <w:sz w:val="20"/>
          <w:szCs w:val="20"/>
        </w:rPr>
      </w:pPr>
      <w:r>
        <w:rPr>
          <w:rFonts w:eastAsia="黑体"/>
          <w:sz w:val="20"/>
          <w:szCs w:val="20"/>
        </w:rPr>
        <w:br w:type="page"/>
      </w:r>
    </w:p>
    <w:p>
      <w:pPr>
        <w:pStyle w:val="29"/>
        <w:jc w:val="center"/>
      </w:pPr>
      <w:bookmarkStart w:id="123" w:name="_Toc152045791"/>
      <w:bookmarkStart w:id="124" w:name="_Toc490675702"/>
      <w:bookmarkStart w:id="125" w:name="_Toc417478621"/>
      <w:bookmarkStart w:id="126" w:name="_Toc144974860"/>
      <w:bookmarkStart w:id="127" w:name="_Toc152042580"/>
      <w:r>
        <w:rPr>
          <w:rFonts w:hint="eastAsia"/>
        </w:rPr>
        <w:t>二、法定代表人身份证明</w:t>
      </w:r>
      <w:bookmarkEnd w:id="123"/>
      <w:bookmarkEnd w:id="124"/>
      <w:bookmarkEnd w:id="125"/>
      <w:bookmarkEnd w:id="126"/>
      <w:bookmarkEnd w:id="127"/>
    </w:p>
    <w:p>
      <w:pPr>
        <w:spacing w:line="440" w:lineRule="exact"/>
        <w:rPr>
          <w:sz w:val="20"/>
          <w:szCs w:val="20"/>
        </w:rPr>
      </w:pPr>
    </w:p>
    <w:p>
      <w:pPr>
        <w:spacing w:line="440" w:lineRule="exact"/>
        <w:rPr>
          <w:szCs w:val="21"/>
        </w:rPr>
      </w:pPr>
    </w:p>
    <w:p>
      <w:pPr>
        <w:spacing w:line="360" w:lineRule="auto"/>
        <w:rPr>
          <w:szCs w:val="21"/>
        </w:rPr>
      </w:pPr>
      <w:r>
        <w:rPr>
          <w:rFonts w:hint="eastAsia"/>
          <w:szCs w:val="21"/>
        </w:rPr>
        <w:t>投标人名称：</w:t>
      </w:r>
      <w:r>
        <w:rPr>
          <w:szCs w:val="21"/>
          <w:u w:val="single"/>
        </w:rPr>
        <w:t xml:space="preserve">                            </w:t>
      </w:r>
      <w:r>
        <w:rPr>
          <w:szCs w:val="21"/>
        </w:rPr>
        <w:t xml:space="preserve"> </w:t>
      </w:r>
    </w:p>
    <w:p>
      <w:pPr>
        <w:spacing w:line="360" w:lineRule="auto"/>
        <w:rPr>
          <w:szCs w:val="21"/>
        </w:rPr>
      </w:pPr>
      <w:r>
        <w:rPr>
          <w:rFonts w:hint="eastAsia"/>
          <w:szCs w:val="21"/>
        </w:rPr>
        <w:t>地址：</w:t>
      </w:r>
      <w:r>
        <w:rPr>
          <w:szCs w:val="21"/>
          <w:u w:val="single"/>
        </w:rPr>
        <w:t xml:space="preserve">                                   </w:t>
      </w:r>
    </w:p>
    <w:p>
      <w:pPr>
        <w:spacing w:line="360" w:lineRule="auto"/>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szCs w:val="21"/>
        </w:rPr>
        <w:t xml:space="preserve"> </w:t>
      </w:r>
      <w:r>
        <w:rPr>
          <w:rFonts w:hint="eastAsia"/>
          <w:szCs w:val="21"/>
        </w:rPr>
        <w:t>日</w:t>
      </w:r>
    </w:p>
    <w:p>
      <w:pPr>
        <w:spacing w:line="360" w:lineRule="auto"/>
        <w:rPr>
          <w:szCs w:val="21"/>
        </w:rPr>
      </w:pPr>
      <w:r>
        <w:rPr>
          <w:rFonts w:hint="eastAsia"/>
          <w:szCs w:val="21"/>
        </w:rPr>
        <w:t>姓名：</w:t>
      </w:r>
      <w:r>
        <w:rPr>
          <w:szCs w:val="21"/>
          <w:u w:val="single"/>
        </w:rPr>
        <w:t xml:space="preserve">        </w:t>
      </w:r>
      <w:r>
        <w:rPr>
          <w:szCs w:val="21"/>
        </w:rPr>
        <w:t xml:space="preserve"> </w:t>
      </w:r>
      <w:r>
        <w:rPr>
          <w:rFonts w:hint="eastAsia"/>
          <w:szCs w:val="21"/>
        </w:rPr>
        <w:t>性别：</w:t>
      </w:r>
      <w:r>
        <w:rPr>
          <w:szCs w:val="21"/>
          <w:u w:val="single"/>
        </w:rPr>
        <w:t xml:space="preserve">         </w:t>
      </w:r>
      <w:r>
        <w:rPr>
          <w:szCs w:val="21"/>
        </w:rPr>
        <w:t xml:space="preserve"> </w:t>
      </w:r>
      <w:r>
        <w:rPr>
          <w:rFonts w:hint="eastAsia"/>
          <w:szCs w:val="21"/>
        </w:rPr>
        <w:t>年龄：</w:t>
      </w:r>
      <w:r>
        <w:rPr>
          <w:szCs w:val="21"/>
          <w:u w:val="single"/>
        </w:rPr>
        <w:t xml:space="preserve">        </w:t>
      </w:r>
      <w:r>
        <w:rPr>
          <w:rFonts w:hint="eastAsia"/>
          <w:szCs w:val="21"/>
        </w:rPr>
        <w:t>职务：</w:t>
      </w:r>
      <w:r>
        <w:rPr>
          <w:szCs w:val="21"/>
          <w:u w:val="single"/>
        </w:rPr>
        <w:t xml:space="preserve">        </w:t>
      </w:r>
    </w:p>
    <w:p>
      <w:pPr>
        <w:spacing w:line="360" w:lineRule="auto"/>
        <w:rPr>
          <w:szCs w:val="21"/>
        </w:rPr>
      </w:pPr>
      <w:r>
        <w:rPr>
          <w:rFonts w:hint="eastAsia"/>
          <w:szCs w:val="21"/>
        </w:rPr>
        <w:t>系</w:t>
      </w:r>
      <w:r>
        <w:rPr>
          <w:szCs w:val="21"/>
          <w:u w:val="single"/>
        </w:rPr>
        <w:t xml:space="preserve">                             </w:t>
      </w:r>
      <w:r>
        <w:rPr>
          <w:szCs w:val="21"/>
        </w:rPr>
        <w:t xml:space="preserve"> </w:t>
      </w:r>
      <w:r>
        <w:rPr>
          <w:rFonts w:hint="eastAsia"/>
          <w:szCs w:val="21"/>
        </w:rPr>
        <w:t>（投标人名称）的法定代表人。</w:t>
      </w:r>
    </w:p>
    <w:p>
      <w:pPr>
        <w:spacing w:line="360" w:lineRule="auto"/>
        <w:ind w:firstLine="420" w:firstLineChars="200"/>
        <w:rPr>
          <w:szCs w:val="21"/>
        </w:rPr>
      </w:pPr>
      <w:r>
        <w:rPr>
          <w:rFonts w:hint="eastAsia"/>
          <w:szCs w:val="21"/>
        </w:rPr>
        <w:t>特此证明。</w:t>
      </w:r>
    </w:p>
    <w:p>
      <w:pPr>
        <w:spacing w:line="360" w:lineRule="auto"/>
        <w:rPr>
          <w:szCs w:val="21"/>
        </w:rPr>
      </w:pPr>
      <w:r>
        <w:rPr>
          <w:rFonts w:hint="eastAsia"/>
          <w:szCs w:val="21"/>
        </w:rPr>
        <w:t>附：法定代表人身份证正反面复印件</w:t>
      </w:r>
    </w:p>
    <w:p>
      <w:pPr>
        <w:spacing w:line="440" w:lineRule="exact"/>
        <w:rPr>
          <w:szCs w:val="21"/>
        </w:rPr>
      </w:pPr>
    </w:p>
    <w:p>
      <w:pPr>
        <w:pStyle w:val="16"/>
        <w:ind w:firstLine="210"/>
      </w:pPr>
    </w:p>
    <w:p>
      <w:pPr>
        <w:spacing w:line="440" w:lineRule="exact"/>
        <w:rPr>
          <w:szCs w:val="21"/>
        </w:rPr>
      </w:pPr>
      <w:r>
        <w:rPr>
          <w:szCs w:val="21"/>
        </w:rPr>
        <w:t xml:space="preserve">                        </w:t>
      </w:r>
      <w:r>
        <w:rPr>
          <w:rFonts w:hint="eastAsia"/>
          <w:szCs w:val="21"/>
        </w:rPr>
        <w:t xml:space="preserve">                 </w:t>
      </w:r>
      <w:r>
        <w:rPr>
          <w:szCs w:val="21"/>
        </w:rPr>
        <w:t xml:space="preserve">  </w:t>
      </w:r>
      <w:r>
        <w:rPr>
          <w:rFonts w:hint="eastAsia"/>
          <w:szCs w:val="21"/>
        </w:rPr>
        <w:t>投标人：</w:t>
      </w:r>
      <w:r>
        <w:rPr>
          <w:szCs w:val="21"/>
          <w:u w:val="single"/>
        </w:rPr>
        <w:t xml:space="preserve">                 </w:t>
      </w:r>
      <w:r>
        <w:rPr>
          <w:rFonts w:hint="eastAsia"/>
          <w:szCs w:val="21"/>
        </w:rPr>
        <w:t>（电子签章）</w:t>
      </w:r>
    </w:p>
    <w:p>
      <w:pPr>
        <w:spacing w:line="440" w:lineRule="exact"/>
        <w:rPr>
          <w:szCs w:val="21"/>
        </w:rPr>
      </w:pPr>
      <w:r>
        <w:rPr>
          <w:szCs w:val="21"/>
        </w:rPr>
        <w:t xml:space="preserve">                                  </w:t>
      </w:r>
      <w:r>
        <w:rPr>
          <w:rFonts w:hint="eastAsia"/>
          <w:szCs w:val="21"/>
        </w:rPr>
        <w:t xml:space="preserve">         </w:t>
      </w:r>
    </w:p>
    <w:p>
      <w:pPr>
        <w:spacing w:line="440" w:lineRule="exact"/>
        <w:rPr>
          <w:szCs w:val="21"/>
        </w:rPr>
      </w:pPr>
      <w:r>
        <w:rPr>
          <w:rFonts w:hint="eastAsia"/>
          <w:szCs w:val="21"/>
        </w:rPr>
        <w:t xml:space="preserve">                                            </w:t>
      </w: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pPr>
        <w:pStyle w:val="29"/>
        <w:jc w:val="center"/>
      </w:pPr>
      <w:r>
        <w:rPr>
          <w:sz w:val="20"/>
        </w:rPr>
        <w:br w:type="page"/>
      </w:r>
      <w:bookmarkStart w:id="128" w:name="_Toc152042581"/>
      <w:bookmarkStart w:id="129" w:name="_Toc144974861"/>
      <w:bookmarkStart w:id="130" w:name="_Toc490675703"/>
      <w:bookmarkStart w:id="131" w:name="_Toc358388219"/>
      <w:bookmarkStart w:id="132" w:name="_Toc152045792"/>
      <w:bookmarkStart w:id="133" w:name="_Toc144974862"/>
      <w:r>
        <w:rPr>
          <w:rFonts w:hint="eastAsia"/>
        </w:rPr>
        <w:t>三、授权委托书</w:t>
      </w:r>
      <w:bookmarkEnd w:id="128"/>
      <w:bookmarkEnd w:id="129"/>
      <w:bookmarkEnd w:id="130"/>
      <w:bookmarkEnd w:id="131"/>
      <w:bookmarkEnd w:id="132"/>
    </w:p>
    <w:p>
      <w:pPr>
        <w:spacing w:line="440" w:lineRule="exact"/>
        <w:rPr>
          <w:rFonts w:eastAsia="黑体"/>
          <w:szCs w:val="21"/>
        </w:rPr>
      </w:pPr>
    </w:p>
    <w:p>
      <w:pPr>
        <w:topLinePunct/>
        <w:spacing w:line="440" w:lineRule="exact"/>
        <w:ind w:firstLine="420" w:firstLineChars="200"/>
        <w:rPr>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（投标人名称）的法定代表人，现委托</w:t>
      </w:r>
      <w:r>
        <w:rPr>
          <w:szCs w:val="21"/>
          <w:u w:val="single"/>
        </w:rPr>
        <w:t xml:space="preserve">        </w:t>
      </w:r>
      <w:r>
        <w:rPr>
          <w:rFonts w:hint="eastAsia"/>
          <w:szCs w:val="21"/>
        </w:rPr>
        <w:t>（姓名）为我方代理人。代理人根据授权，以我方名义签署、澄清、说明、补正、递交、撤回、修改</w:t>
      </w:r>
      <w:r>
        <w:rPr>
          <w:szCs w:val="21"/>
          <w:u w:val="single"/>
        </w:rPr>
        <w:t xml:space="preserve">           </w:t>
      </w:r>
      <w:r>
        <w:rPr>
          <w:rFonts w:hint="eastAsia"/>
          <w:szCs w:val="21"/>
        </w:rPr>
        <w:t>（项目名称）投标文件、签订合同和处理有关事宜，其法律后果由我方承担。</w:t>
      </w:r>
    </w:p>
    <w:p>
      <w:pPr>
        <w:spacing w:line="440" w:lineRule="exact"/>
        <w:rPr>
          <w:szCs w:val="21"/>
        </w:rPr>
      </w:pPr>
      <w:r>
        <w:rPr>
          <w:szCs w:val="21"/>
        </w:rPr>
        <w:t xml:space="preserve">    </w:t>
      </w:r>
      <w:r>
        <w:rPr>
          <w:rFonts w:hint="eastAsia"/>
          <w:szCs w:val="21"/>
        </w:rPr>
        <w:t>委托期限：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p>
    <w:p>
      <w:pPr>
        <w:spacing w:line="440" w:lineRule="exact"/>
        <w:ind w:firstLine="420" w:firstLineChars="200"/>
        <w:rPr>
          <w:szCs w:val="21"/>
        </w:rPr>
      </w:pPr>
      <w:r>
        <w:rPr>
          <w:rFonts w:hint="eastAsia"/>
          <w:szCs w:val="21"/>
        </w:rPr>
        <w:t>代理人无转委托权。</w:t>
      </w:r>
    </w:p>
    <w:p>
      <w:pPr>
        <w:spacing w:line="440" w:lineRule="exact"/>
        <w:rPr>
          <w:szCs w:val="21"/>
        </w:rPr>
      </w:pPr>
      <w:r>
        <w:rPr>
          <w:rFonts w:hint="eastAsia"/>
          <w:szCs w:val="21"/>
        </w:rPr>
        <w:t>附：法定代表人和委托代理人身份证正反面复印件</w:t>
      </w:r>
    </w:p>
    <w:p>
      <w:pPr>
        <w:spacing w:line="440" w:lineRule="exact"/>
        <w:rPr>
          <w:szCs w:val="21"/>
        </w:rPr>
      </w:pPr>
    </w:p>
    <w:p>
      <w:pPr>
        <w:spacing w:line="440" w:lineRule="exact"/>
        <w:rPr>
          <w:szCs w:val="21"/>
        </w:rPr>
      </w:pPr>
    </w:p>
    <w:p>
      <w:pPr>
        <w:spacing w:line="440" w:lineRule="exact"/>
        <w:rPr>
          <w:szCs w:val="21"/>
        </w:rPr>
      </w:pPr>
      <w:r>
        <w:rPr>
          <w:rFonts w:hint="eastAsia"/>
          <w:szCs w:val="21"/>
        </w:rPr>
        <w:t xml:space="preserve">     投标人：</w:t>
      </w:r>
      <w:r>
        <w:rPr>
          <w:szCs w:val="21"/>
          <w:u w:val="single"/>
        </w:rPr>
        <w:t xml:space="preserve">                           </w:t>
      </w:r>
      <w:r>
        <w:rPr>
          <w:rFonts w:hint="eastAsia"/>
          <w:szCs w:val="21"/>
          <w:u w:val="single"/>
        </w:rPr>
        <w:t xml:space="preserve">  </w:t>
      </w:r>
      <w:r>
        <w:rPr>
          <w:szCs w:val="21"/>
          <w:u w:val="single"/>
        </w:rPr>
        <w:t xml:space="preserve">    </w:t>
      </w:r>
      <w:r>
        <w:rPr>
          <w:rFonts w:hint="eastAsia"/>
          <w:szCs w:val="21"/>
        </w:rPr>
        <w:t>（电子签章）</w:t>
      </w:r>
    </w:p>
    <w:p>
      <w:pPr>
        <w:spacing w:line="440" w:lineRule="exact"/>
        <w:rPr>
          <w:szCs w:val="21"/>
        </w:rPr>
      </w:pPr>
    </w:p>
    <w:p>
      <w:pPr>
        <w:spacing w:line="440" w:lineRule="exact"/>
        <w:rPr>
          <w:szCs w:val="21"/>
        </w:rPr>
      </w:pPr>
      <w:r>
        <w:rPr>
          <w:rFonts w:hint="eastAsia"/>
          <w:szCs w:val="21"/>
        </w:rPr>
        <w:t xml:space="preserve">     法定代表人：</w:t>
      </w:r>
      <w:r>
        <w:rPr>
          <w:szCs w:val="21"/>
          <w:u w:val="single"/>
        </w:rPr>
        <w:t xml:space="preserve">                              </w:t>
      </w:r>
      <w:r>
        <w:rPr>
          <w:rFonts w:hint="eastAsia"/>
          <w:szCs w:val="21"/>
        </w:rPr>
        <w:t>（签字或盖章）</w:t>
      </w:r>
    </w:p>
    <w:p>
      <w:pPr>
        <w:spacing w:line="440" w:lineRule="exact"/>
        <w:rPr>
          <w:szCs w:val="21"/>
        </w:rPr>
      </w:pPr>
    </w:p>
    <w:p>
      <w:pPr>
        <w:spacing w:line="440" w:lineRule="exact"/>
        <w:rPr>
          <w:szCs w:val="21"/>
        </w:rPr>
      </w:pPr>
      <w:r>
        <w:rPr>
          <w:rFonts w:hint="eastAsia"/>
          <w:szCs w:val="21"/>
        </w:rPr>
        <w:t xml:space="preserve">     法定代表人身份证号码：</w:t>
      </w:r>
      <w:r>
        <w:rPr>
          <w:szCs w:val="21"/>
          <w:u w:val="single"/>
        </w:rPr>
        <w:t xml:space="preserve">                                     </w:t>
      </w:r>
    </w:p>
    <w:p>
      <w:pPr>
        <w:spacing w:line="440" w:lineRule="exact"/>
        <w:rPr>
          <w:szCs w:val="21"/>
        </w:rPr>
      </w:pPr>
      <w:r>
        <w:rPr>
          <w:rFonts w:hint="eastAsia"/>
          <w:szCs w:val="21"/>
        </w:rPr>
        <w:t xml:space="preserve">     委托代理人身份证号码：</w:t>
      </w:r>
      <w:r>
        <w:rPr>
          <w:szCs w:val="21"/>
          <w:u w:val="single"/>
        </w:rPr>
        <w:t xml:space="preserve">                                      </w:t>
      </w:r>
    </w:p>
    <w:p>
      <w:pPr>
        <w:spacing w:line="440" w:lineRule="exact"/>
        <w:rPr>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ind w:firstLine="2310" w:firstLineChars="1100"/>
        <w:rPr>
          <w:szCs w:val="21"/>
        </w:rPr>
      </w:pPr>
      <w:r>
        <w:rPr>
          <w:rFonts w:hint="eastAsia"/>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spacing w:line="440" w:lineRule="exact"/>
        <w:rPr>
          <w:rFonts w:ascii="宋体" w:hAnsi="宋体" w:cs="宋体"/>
          <w:b/>
          <w:sz w:val="24"/>
          <w:szCs w:val="24"/>
        </w:rPr>
      </w:pPr>
      <w:r>
        <w:rPr>
          <w:szCs w:val="21"/>
        </w:rPr>
        <w:br w:type="page"/>
      </w:r>
      <w:bookmarkEnd w:id="133"/>
      <w:bookmarkStart w:id="134" w:name="_Toc152045807"/>
      <w:bookmarkStart w:id="135" w:name="_Toc417478628"/>
      <w:bookmarkStart w:id="136" w:name="_Toc152042596"/>
      <w:bookmarkStart w:id="137" w:name="_Toc144974875"/>
      <w:bookmarkStart w:id="138" w:name="_Toc490675709"/>
    </w:p>
    <w:p>
      <w:pPr>
        <w:pStyle w:val="29"/>
        <w:jc w:val="center"/>
      </w:pPr>
      <w:bookmarkStart w:id="139" w:name="_Toc353894374"/>
      <w:bookmarkStart w:id="140" w:name="_Toc399147903"/>
      <w:r>
        <w:rPr>
          <w:rFonts w:hint="eastAsia"/>
        </w:rPr>
        <w:t>四、项目管理机构</w:t>
      </w:r>
      <w:bookmarkEnd w:id="139"/>
      <w:bookmarkEnd w:id="140"/>
    </w:p>
    <w:p>
      <w:pPr>
        <w:spacing w:after="312" w:afterLines="100"/>
        <w:rPr>
          <w:rFonts w:ascii="宋体" w:hAnsi="宋体"/>
          <w:sz w:val="24"/>
        </w:rPr>
      </w:pPr>
      <w:r>
        <w:rPr>
          <w:rFonts w:hint="eastAsia" w:ascii="宋体" w:hAnsi="宋体"/>
          <w:sz w:val="24"/>
        </w:rPr>
        <w:t>（一）项目管理机构组成表</w:t>
      </w:r>
    </w:p>
    <w:tbl>
      <w:tblPr>
        <w:tblStyle w:val="17"/>
        <w:tblW w:w="8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736"/>
        <w:gridCol w:w="736"/>
        <w:gridCol w:w="1178"/>
        <w:gridCol w:w="1284"/>
        <w:gridCol w:w="1915"/>
        <w:gridCol w:w="1512"/>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736" w:type="dxa"/>
            <w:vMerge w:val="restart"/>
            <w:vAlign w:val="center"/>
          </w:tcPr>
          <w:p>
            <w:pPr>
              <w:jc w:val="center"/>
              <w:rPr>
                <w:rFonts w:ascii="宋体"/>
                <w:szCs w:val="21"/>
              </w:rPr>
            </w:pPr>
            <w:r>
              <w:rPr>
                <w:rFonts w:hint="eastAsia" w:ascii="宋体"/>
                <w:szCs w:val="21"/>
              </w:rPr>
              <w:t>职务</w:t>
            </w:r>
          </w:p>
        </w:tc>
        <w:tc>
          <w:tcPr>
            <w:tcW w:w="736" w:type="dxa"/>
            <w:vMerge w:val="restart"/>
            <w:vAlign w:val="center"/>
          </w:tcPr>
          <w:p>
            <w:pPr>
              <w:jc w:val="center"/>
              <w:rPr>
                <w:rFonts w:ascii="宋体"/>
                <w:szCs w:val="21"/>
              </w:rPr>
            </w:pPr>
            <w:r>
              <w:rPr>
                <w:rFonts w:hint="eastAsia" w:ascii="宋体"/>
                <w:szCs w:val="21"/>
              </w:rPr>
              <w:t>姓名</w:t>
            </w:r>
          </w:p>
        </w:tc>
        <w:tc>
          <w:tcPr>
            <w:tcW w:w="736" w:type="dxa"/>
            <w:vMerge w:val="restart"/>
            <w:vAlign w:val="center"/>
          </w:tcPr>
          <w:p>
            <w:pPr>
              <w:jc w:val="center"/>
              <w:rPr>
                <w:rFonts w:ascii="宋体"/>
                <w:szCs w:val="21"/>
              </w:rPr>
            </w:pPr>
            <w:r>
              <w:rPr>
                <w:rFonts w:hint="eastAsia" w:ascii="宋体"/>
                <w:szCs w:val="21"/>
              </w:rPr>
              <w:t>职称</w:t>
            </w:r>
          </w:p>
        </w:tc>
        <w:tc>
          <w:tcPr>
            <w:tcW w:w="5889" w:type="dxa"/>
            <w:gridSpan w:val="4"/>
            <w:vAlign w:val="center"/>
          </w:tcPr>
          <w:p>
            <w:pPr>
              <w:jc w:val="center"/>
              <w:rPr>
                <w:rFonts w:ascii="宋体"/>
                <w:szCs w:val="21"/>
              </w:rPr>
            </w:pPr>
            <w:r>
              <w:rPr>
                <w:rFonts w:hint="eastAsia" w:ascii="宋体"/>
                <w:szCs w:val="21"/>
              </w:rPr>
              <w:t>执业或职业资格证明</w:t>
            </w:r>
          </w:p>
        </w:tc>
        <w:tc>
          <w:tcPr>
            <w:tcW w:w="735" w:type="dxa"/>
            <w:vMerge w:val="restart"/>
            <w:vAlign w:val="center"/>
          </w:tcPr>
          <w:p>
            <w:pPr>
              <w:jc w:val="center"/>
              <w:rPr>
                <w:rFonts w:ascii="宋体"/>
                <w:szCs w:val="21"/>
              </w:rPr>
            </w:pPr>
            <w:r>
              <w:rPr>
                <w:rFonts w:hint="eastAsia" w:asci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736" w:type="dxa"/>
            <w:vMerge w:val="continue"/>
            <w:vAlign w:val="center"/>
          </w:tcPr>
          <w:p/>
        </w:tc>
        <w:tc>
          <w:tcPr>
            <w:tcW w:w="736" w:type="dxa"/>
            <w:vMerge w:val="continue"/>
            <w:vAlign w:val="center"/>
          </w:tcPr>
          <w:p/>
        </w:tc>
        <w:tc>
          <w:tcPr>
            <w:tcW w:w="736" w:type="dxa"/>
            <w:vMerge w:val="continue"/>
            <w:vAlign w:val="center"/>
          </w:tcPr>
          <w:p/>
        </w:tc>
        <w:tc>
          <w:tcPr>
            <w:tcW w:w="1178" w:type="dxa"/>
            <w:vAlign w:val="center"/>
          </w:tcPr>
          <w:p>
            <w:pPr>
              <w:jc w:val="center"/>
              <w:rPr>
                <w:rFonts w:ascii="宋体"/>
                <w:szCs w:val="21"/>
              </w:rPr>
            </w:pPr>
            <w:r>
              <w:rPr>
                <w:rFonts w:hint="eastAsia" w:ascii="宋体"/>
                <w:szCs w:val="21"/>
              </w:rPr>
              <w:t>证书名称</w:t>
            </w:r>
          </w:p>
        </w:tc>
        <w:tc>
          <w:tcPr>
            <w:tcW w:w="1284" w:type="dxa"/>
            <w:vAlign w:val="center"/>
          </w:tcPr>
          <w:p>
            <w:pPr>
              <w:jc w:val="center"/>
              <w:rPr>
                <w:rFonts w:ascii="宋体"/>
                <w:szCs w:val="21"/>
              </w:rPr>
            </w:pPr>
            <w:r>
              <w:rPr>
                <w:rFonts w:hint="eastAsia" w:ascii="宋体"/>
                <w:szCs w:val="21"/>
              </w:rPr>
              <w:t>级别</w:t>
            </w:r>
          </w:p>
        </w:tc>
        <w:tc>
          <w:tcPr>
            <w:tcW w:w="1915" w:type="dxa"/>
            <w:vAlign w:val="center"/>
          </w:tcPr>
          <w:p>
            <w:pPr>
              <w:jc w:val="center"/>
              <w:rPr>
                <w:rFonts w:ascii="宋体"/>
                <w:szCs w:val="21"/>
              </w:rPr>
            </w:pPr>
            <w:r>
              <w:rPr>
                <w:rFonts w:hint="eastAsia" w:ascii="宋体"/>
                <w:szCs w:val="21"/>
              </w:rPr>
              <w:t>证号</w:t>
            </w:r>
          </w:p>
        </w:tc>
        <w:tc>
          <w:tcPr>
            <w:tcW w:w="1512" w:type="dxa"/>
            <w:vAlign w:val="center"/>
          </w:tcPr>
          <w:p>
            <w:pPr>
              <w:jc w:val="center"/>
              <w:rPr>
                <w:rFonts w:ascii="宋体"/>
                <w:szCs w:val="21"/>
              </w:rPr>
            </w:pPr>
            <w:r>
              <w:rPr>
                <w:rFonts w:hint="eastAsia" w:ascii="宋体"/>
                <w:szCs w:val="21"/>
              </w:rPr>
              <w:t>专业</w:t>
            </w:r>
          </w:p>
        </w:tc>
        <w:tc>
          <w:tcPr>
            <w:tcW w:w="735"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1178" w:type="dxa"/>
            <w:vAlign w:val="center"/>
          </w:tcPr>
          <w:p>
            <w:pPr>
              <w:jc w:val="center"/>
              <w:rPr>
                <w:rFonts w:ascii="宋体"/>
                <w:szCs w:val="21"/>
              </w:rPr>
            </w:pPr>
          </w:p>
        </w:tc>
        <w:tc>
          <w:tcPr>
            <w:tcW w:w="1284" w:type="dxa"/>
            <w:vAlign w:val="center"/>
          </w:tcPr>
          <w:p>
            <w:pPr>
              <w:jc w:val="center"/>
              <w:rPr>
                <w:rFonts w:ascii="宋体"/>
                <w:szCs w:val="21"/>
              </w:rPr>
            </w:pPr>
          </w:p>
        </w:tc>
        <w:tc>
          <w:tcPr>
            <w:tcW w:w="1915" w:type="dxa"/>
            <w:vAlign w:val="center"/>
          </w:tcPr>
          <w:p>
            <w:pPr>
              <w:jc w:val="center"/>
              <w:rPr>
                <w:rFonts w:ascii="宋体"/>
                <w:szCs w:val="21"/>
              </w:rPr>
            </w:pPr>
          </w:p>
        </w:tc>
        <w:tc>
          <w:tcPr>
            <w:tcW w:w="1512" w:type="dxa"/>
            <w:vAlign w:val="center"/>
          </w:tcPr>
          <w:p>
            <w:pPr>
              <w:jc w:val="center"/>
              <w:rPr>
                <w:rFonts w:ascii="宋体"/>
                <w:szCs w:val="21"/>
              </w:rPr>
            </w:pPr>
          </w:p>
        </w:tc>
        <w:tc>
          <w:tcPr>
            <w:tcW w:w="73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1178" w:type="dxa"/>
            <w:vAlign w:val="center"/>
          </w:tcPr>
          <w:p>
            <w:pPr>
              <w:jc w:val="center"/>
              <w:rPr>
                <w:rFonts w:ascii="宋体"/>
                <w:szCs w:val="21"/>
              </w:rPr>
            </w:pPr>
          </w:p>
        </w:tc>
        <w:tc>
          <w:tcPr>
            <w:tcW w:w="1284" w:type="dxa"/>
            <w:vAlign w:val="center"/>
          </w:tcPr>
          <w:p>
            <w:pPr>
              <w:jc w:val="center"/>
              <w:rPr>
                <w:rFonts w:ascii="宋体"/>
                <w:szCs w:val="21"/>
              </w:rPr>
            </w:pPr>
          </w:p>
        </w:tc>
        <w:tc>
          <w:tcPr>
            <w:tcW w:w="1915" w:type="dxa"/>
            <w:vAlign w:val="center"/>
          </w:tcPr>
          <w:p>
            <w:pPr>
              <w:jc w:val="center"/>
              <w:rPr>
                <w:rFonts w:ascii="宋体"/>
                <w:szCs w:val="21"/>
              </w:rPr>
            </w:pPr>
          </w:p>
        </w:tc>
        <w:tc>
          <w:tcPr>
            <w:tcW w:w="1512" w:type="dxa"/>
            <w:vAlign w:val="center"/>
          </w:tcPr>
          <w:p>
            <w:pPr>
              <w:jc w:val="center"/>
              <w:rPr>
                <w:rFonts w:ascii="宋体"/>
                <w:szCs w:val="21"/>
              </w:rPr>
            </w:pPr>
          </w:p>
        </w:tc>
        <w:tc>
          <w:tcPr>
            <w:tcW w:w="73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1178" w:type="dxa"/>
            <w:vAlign w:val="center"/>
          </w:tcPr>
          <w:p>
            <w:pPr>
              <w:jc w:val="center"/>
              <w:rPr>
                <w:rFonts w:ascii="宋体"/>
                <w:szCs w:val="21"/>
              </w:rPr>
            </w:pPr>
          </w:p>
        </w:tc>
        <w:tc>
          <w:tcPr>
            <w:tcW w:w="1284" w:type="dxa"/>
            <w:vAlign w:val="center"/>
          </w:tcPr>
          <w:p>
            <w:pPr>
              <w:jc w:val="center"/>
              <w:rPr>
                <w:rFonts w:ascii="宋体"/>
                <w:szCs w:val="21"/>
              </w:rPr>
            </w:pPr>
          </w:p>
        </w:tc>
        <w:tc>
          <w:tcPr>
            <w:tcW w:w="1915" w:type="dxa"/>
            <w:vAlign w:val="center"/>
          </w:tcPr>
          <w:p>
            <w:pPr>
              <w:jc w:val="center"/>
              <w:rPr>
                <w:rFonts w:ascii="宋体"/>
                <w:szCs w:val="21"/>
              </w:rPr>
            </w:pPr>
          </w:p>
        </w:tc>
        <w:tc>
          <w:tcPr>
            <w:tcW w:w="1512" w:type="dxa"/>
            <w:vAlign w:val="center"/>
          </w:tcPr>
          <w:p>
            <w:pPr>
              <w:jc w:val="center"/>
              <w:rPr>
                <w:rFonts w:ascii="宋体"/>
                <w:szCs w:val="21"/>
              </w:rPr>
            </w:pPr>
          </w:p>
        </w:tc>
        <w:tc>
          <w:tcPr>
            <w:tcW w:w="73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1178" w:type="dxa"/>
            <w:vAlign w:val="center"/>
          </w:tcPr>
          <w:p>
            <w:pPr>
              <w:jc w:val="center"/>
              <w:rPr>
                <w:rFonts w:ascii="宋体"/>
                <w:szCs w:val="21"/>
              </w:rPr>
            </w:pPr>
          </w:p>
        </w:tc>
        <w:tc>
          <w:tcPr>
            <w:tcW w:w="1284" w:type="dxa"/>
            <w:vAlign w:val="center"/>
          </w:tcPr>
          <w:p>
            <w:pPr>
              <w:jc w:val="center"/>
              <w:rPr>
                <w:rFonts w:ascii="宋体"/>
                <w:szCs w:val="21"/>
              </w:rPr>
            </w:pPr>
          </w:p>
        </w:tc>
        <w:tc>
          <w:tcPr>
            <w:tcW w:w="1915" w:type="dxa"/>
            <w:vAlign w:val="center"/>
          </w:tcPr>
          <w:p>
            <w:pPr>
              <w:jc w:val="center"/>
              <w:rPr>
                <w:rFonts w:ascii="宋体"/>
                <w:szCs w:val="21"/>
              </w:rPr>
            </w:pPr>
          </w:p>
        </w:tc>
        <w:tc>
          <w:tcPr>
            <w:tcW w:w="1512" w:type="dxa"/>
            <w:vAlign w:val="center"/>
          </w:tcPr>
          <w:p>
            <w:pPr>
              <w:jc w:val="center"/>
              <w:rPr>
                <w:rFonts w:ascii="宋体"/>
                <w:szCs w:val="21"/>
              </w:rPr>
            </w:pPr>
          </w:p>
        </w:tc>
        <w:tc>
          <w:tcPr>
            <w:tcW w:w="73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1178" w:type="dxa"/>
            <w:vAlign w:val="center"/>
          </w:tcPr>
          <w:p>
            <w:pPr>
              <w:jc w:val="center"/>
              <w:rPr>
                <w:rFonts w:ascii="宋体"/>
                <w:szCs w:val="21"/>
              </w:rPr>
            </w:pPr>
          </w:p>
        </w:tc>
        <w:tc>
          <w:tcPr>
            <w:tcW w:w="1284" w:type="dxa"/>
            <w:vAlign w:val="center"/>
          </w:tcPr>
          <w:p>
            <w:pPr>
              <w:jc w:val="center"/>
              <w:rPr>
                <w:rFonts w:ascii="宋体"/>
                <w:szCs w:val="21"/>
              </w:rPr>
            </w:pPr>
          </w:p>
        </w:tc>
        <w:tc>
          <w:tcPr>
            <w:tcW w:w="1915" w:type="dxa"/>
            <w:vAlign w:val="center"/>
          </w:tcPr>
          <w:p>
            <w:pPr>
              <w:jc w:val="center"/>
              <w:rPr>
                <w:rFonts w:ascii="宋体"/>
                <w:szCs w:val="21"/>
              </w:rPr>
            </w:pPr>
          </w:p>
        </w:tc>
        <w:tc>
          <w:tcPr>
            <w:tcW w:w="1512" w:type="dxa"/>
            <w:vAlign w:val="center"/>
          </w:tcPr>
          <w:p>
            <w:pPr>
              <w:jc w:val="center"/>
              <w:rPr>
                <w:rFonts w:ascii="宋体"/>
                <w:szCs w:val="21"/>
              </w:rPr>
            </w:pPr>
          </w:p>
        </w:tc>
        <w:tc>
          <w:tcPr>
            <w:tcW w:w="73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1178" w:type="dxa"/>
            <w:vAlign w:val="center"/>
          </w:tcPr>
          <w:p>
            <w:pPr>
              <w:jc w:val="center"/>
              <w:rPr>
                <w:rFonts w:ascii="宋体"/>
                <w:szCs w:val="21"/>
              </w:rPr>
            </w:pPr>
          </w:p>
        </w:tc>
        <w:tc>
          <w:tcPr>
            <w:tcW w:w="1284" w:type="dxa"/>
            <w:vAlign w:val="center"/>
          </w:tcPr>
          <w:p>
            <w:pPr>
              <w:jc w:val="center"/>
              <w:rPr>
                <w:rFonts w:ascii="宋体"/>
                <w:szCs w:val="21"/>
              </w:rPr>
            </w:pPr>
          </w:p>
        </w:tc>
        <w:tc>
          <w:tcPr>
            <w:tcW w:w="1915" w:type="dxa"/>
            <w:vAlign w:val="center"/>
          </w:tcPr>
          <w:p>
            <w:pPr>
              <w:jc w:val="center"/>
              <w:rPr>
                <w:rFonts w:ascii="宋体"/>
                <w:szCs w:val="21"/>
              </w:rPr>
            </w:pPr>
          </w:p>
        </w:tc>
        <w:tc>
          <w:tcPr>
            <w:tcW w:w="1512" w:type="dxa"/>
            <w:vAlign w:val="center"/>
          </w:tcPr>
          <w:p>
            <w:pPr>
              <w:jc w:val="center"/>
              <w:rPr>
                <w:rFonts w:ascii="宋体"/>
                <w:szCs w:val="21"/>
              </w:rPr>
            </w:pPr>
          </w:p>
        </w:tc>
        <w:tc>
          <w:tcPr>
            <w:tcW w:w="73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1178" w:type="dxa"/>
            <w:vAlign w:val="center"/>
          </w:tcPr>
          <w:p>
            <w:pPr>
              <w:jc w:val="center"/>
              <w:rPr>
                <w:rFonts w:ascii="宋体"/>
                <w:szCs w:val="21"/>
              </w:rPr>
            </w:pPr>
          </w:p>
        </w:tc>
        <w:tc>
          <w:tcPr>
            <w:tcW w:w="1284" w:type="dxa"/>
            <w:vAlign w:val="center"/>
          </w:tcPr>
          <w:p>
            <w:pPr>
              <w:jc w:val="center"/>
              <w:rPr>
                <w:rFonts w:ascii="宋体"/>
                <w:szCs w:val="21"/>
              </w:rPr>
            </w:pPr>
          </w:p>
        </w:tc>
        <w:tc>
          <w:tcPr>
            <w:tcW w:w="1915" w:type="dxa"/>
            <w:vAlign w:val="center"/>
          </w:tcPr>
          <w:p>
            <w:pPr>
              <w:jc w:val="center"/>
              <w:rPr>
                <w:rFonts w:ascii="宋体"/>
                <w:szCs w:val="21"/>
              </w:rPr>
            </w:pPr>
          </w:p>
        </w:tc>
        <w:tc>
          <w:tcPr>
            <w:tcW w:w="1512" w:type="dxa"/>
            <w:vAlign w:val="center"/>
          </w:tcPr>
          <w:p>
            <w:pPr>
              <w:jc w:val="center"/>
              <w:rPr>
                <w:rFonts w:ascii="宋体"/>
                <w:szCs w:val="21"/>
              </w:rPr>
            </w:pPr>
          </w:p>
        </w:tc>
        <w:tc>
          <w:tcPr>
            <w:tcW w:w="73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1178" w:type="dxa"/>
            <w:vAlign w:val="center"/>
          </w:tcPr>
          <w:p>
            <w:pPr>
              <w:jc w:val="center"/>
              <w:rPr>
                <w:rFonts w:ascii="宋体"/>
                <w:szCs w:val="21"/>
              </w:rPr>
            </w:pPr>
          </w:p>
        </w:tc>
        <w:tc>
          <w:tcPr>
            <w:tcW w:w="1284" w:type="dxa"/>
            <w:vAlign w:val="center"/>
          </w:tcPr>
          <w:p>
            <w:pPr>
              <w:jc w:val="center"/>
              <w:rPr>
                <w:rFonts w:ascii="宋体"/>
                <w:szCs w:val="21"/>
              </w:rPr>
            </w:pPr>
          </w:p>
        </w:tc>
        <w:tc>
          <w:tcPr>
            <w:tcW w:w="1915" w:type="dxa"/>
            <w:vAlign w:val="center"/>
          </w:tcPr>
          <w:p>
            <w:pPr>
              <w:jc w:val="center"/>
              <w:rPr>
                <w:rFonts w:ascii="宋体"/>
                <w:szCs w:val="21"/>
              </w:rPr>
            </w:pPr>
          </w:p>
        </w:tc>
        <w:tc>
          <w:tcPr>
            <w:tcW w:w="1512" w:type="dxa"/>
            <w:vAlign w:val="center"/>
          </w:tcPr>
          <w:p>
            <w:pPr>
              <w:jc w:val="center"/>
              <w:rPr>
                <w:rFonts w:ascii="宋体"/>
                <w:szCs w:val="21"/>
              </w:rPr>
            </w:pPr>
          </w:p>
        </w:tc>
        <w:tc>
          <w:tcPr>
            <w:tcW w:w="73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1178" w:type="dxa"/>
            <w:vAlign w:val="center"/>
          </w:tcPr>
          <w:p>
            <w:pPr>
              <w:jc w:val="center"/>
              <w:rPr>
                <w:rFonts w:ascii="宋体"/>
                <w:szCs w:val="21"/>
              </w:rPr>
            </w:pPr>
          </w:p>
        </w:tc>
        <w:tc>
          <w:tcPr>
            <w:tcW w:w="1284" w:type="dxa"/>
            <w:vAlign w:val="center"/>
          </w:tcPr>
          <w:p>
            <w:pPr>
              <w:jc w:val="center"/>
              <w:rPr>
                <w:rFonts w:ascii="宋体"/>
                <w:szCs w:val="21"/>
              </w:rPr>
            </w:pPr>
          </w:p>
        </w:tc>
        <w:tc>
          <w:tcPr>
            <w:tcW w:w="1915" w:type="dxa"/>
            <w:vAlign w:val="center"/>
          </w:tcPr>
          <w:p>
            <w:pPr>
              <w:jc w:val="center"/>
              <w:rPr>
                <w:rFonts w:ascii="宋体"/>
                <w:szCs w:val="21"/>
              </w:rPr>
            </w:pPr>
          </w:p>
        </w:tc>
        <w:tc>
          <w:tcPr>
            <w:tcW w:w="1512" w:type="dxa"/>
            <w:vAlign w:val="center"/>
          </w:tcPr>
          <w:p>
            <w:pPr>
              <w:jc w:val="center"/>
              <w:rPr>
                <w:rFonts w:ascii="宋体"/>
                <w:szCs w:val="21"/>
              </w:rPr>
            </w:pPr>
          </w:p>
        </w:tc>
        <w:tc>
          <w:tcPr>
            <w:tcW w:w="73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1178" w:type="dxa"/>
            <w:vAlign w:val="center"/>
          </w:tcPr>
          <w:p>
            <w:pPr>
              <w:jc w:val="center"/>
              <w:rPr>
                <w:rFonts w:ascii="宋体"/>
                <w:szCs w:val="21"/>
              </w:rPr>
            </w:pPr>
          </w:p>
        </w:tc>
        <w:tc>
          <w:tcPr>
            <w:tcW w:w="1284" w:type="dxa"/>
            <w:vAlign w:val="center"/>
          </w:tcPr>
          <w:p>
            <w:pPr>
              <w:jc w:val="center"/>
              <w:rPr>
                <w:rFonts w:ascii="宋体"/>
                <w:szCs w:val="21"/>
              </w:rPr>
            </w:pPr>
          </w:p>
        </w:tc>
        <w:tc>
          <w:tcPr>
            <w:tcW w:w="1915" w:type="dxa"/>
            <w:vAlign w:val="center"/>
          </w:tcPr>
          <w:p>
            <w:pPr>
              <w:jc w:val="center"/>
              <w:rPr>
                <w:rFonts w:ascii="宋体"/>
                <w:szCs w:val="21"/>
              </w:rPr>
            </w:pPr>
          </w:p>
        </w:tc>
        <w:tc>
          <w:tcPr>
            <w:tcW w:w="1512" w:type="dxa"/>
            <w:vAlign w:val="center"/>
          </w:tcPr>
          <w:p>
            <w:pPr>
              <w:jc w:val="center"/>
              <w:rPr>
                <w:rFonts w:ascii="宋体"/>
                <w:szCs w:val="21"/>
              </w:rPr>
            </w:pPr>
          </w:p>
        </w:tc>
        <w:tc>
          <w:tcPr>
            <w:tcW w:w="73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1178" w:type="dxa"/>
            <w:vAlign w:val="center"/>
          </w:tcPr>
          <w:p>
            <w:pPr>
              <w:jc w:val="center"/>
              <w:rPr>
                <w:rFonts w:ascii="宋体"/>
                <w:szCs w:val="21"/>
              </w:rPr>
            </w:pPr>
          </w:p>
        </w:tc>
        <w:tc>
          <w:tcPr>
            <w:tcW w:w="1284" w:type="dxa"/>
            <w:vAlign w:val="center"/>
          </w:tcPr>
          <w:p>
            <w:pPr>
              <w:jc w:val="center"/>
              <w:rPr>
                <w:rFonts w:ascii="宋体"/>
                <w:szCs w:val="21"/>
              </w:rPr>
            </w:pPr>
          </w:p>
        </w:tc>
        <w:tc>
          <w:tcPr>
            <w:tcW w:w="1915" w:type="dxa"/>
            <w:vAlign w:val="center"/>
          </w:tcPr>
          <w:p>
            <w:pPr>
              <w:jc w:val="center"/>
              <w:rPr>
                <w:rFonts w:ascii="宋体"/>
                <w:szCs w:val="21"/>
              </w:rPr>
            </w:pPr>
          </w:p>
        </w:tc>
        <w:tc>
          <w:tcPr>
            <w:tcW w:w="1512" w:type="dxa"/>
            <w:vAlign w:val="center"/>
          </w:tcPr>
          <w:p>
            <w:pPr>
              <w:jc w:val="center"/>
              <w:rPr>
                <w:rFonts w:ascii="宋体"/>
                <w:szCs w:val="21"/>
              </w:rPr>
            </w:pPr>
          </w:p>
        </w:tc>
        <w:tc>
          <w:tcPr>
            <w:tcW w:w="73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1178" w:type="dxa"/>
            <w:vAlign w:val="center"/>
          </w:tcPr>
          <w:p>
            <w:pPr>
              <w:jc w:val="center"/>
              <w:rPr>
                <w:rFonts w:ascii="宋体"/>
                <w:szCs w:val="21"/>
              </w:rPr>
            </w:pPr>
          </w:p>
        </w:tc>
        <w:tc>
          <w:tcPr>
            <w:tcW w:w="1284" w:type="dxa"/>
            <w:vAlign w:val="center"/>
          </w:tcPr>
          <w:p>
            <w:pPr>
              <w:jc w:val="center"/>
              <w:rPr>
                <w:rFonts w:ascii="宋体"/>
                <w:szCs w:val="21"/>
              </w:rPr>
            </w:pPr>
          </w:p>
        </w:tc>
        <w:tc>
          <w:tcPr>
            <w:tcW w:w="1915" w:type="dxa"/>
            <w:vAlign w:val="center"/>
          </w:tcPr>
          <w:p>
            <w:pPr>
              <w:jc w:val="center"/>
              <w:rPr>
                <w:rFonts w:ascii="宋体"/>
                <w:szCs w:val="21"/>
              </w:rPr>
            </w:pPr>
          </w:p>
        </w:tc>
        <w:tc>
          <w:tcPr>
            <w:tcW w:w="1512" w:type="dxa"/>
            <w:vAlign w:val="center"/>
          </w:tcPr>
          <w:p>
            <w:pPr>
              <w:jc w:val="center"/>
              <w:rPr>
                <w:rFonts w:ascii="宋体"/>
                <w:szCs w:val="21"/>
              </w:rPr>
            </w:pPr>
          </w:p>
        </w:tc>
        <w:tc>
          <w:tcPr>
            <w:tcW w:w="73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736" w:type="dxa"/>
            <w:vAlign w:val="center"/>
          </w:tcPr>
          <w:p>
            <w:pPr>
              <w:jc w:val="center"/>
              <w:rPr>
                <w:rFonts w:ascii="宋体"/>
                <w:szCs w:val="21"/>
              </w:rPr>
            </w:pPr>
          </w:p>
        </w:tc>
        <w:tc>
          <w:tcPr>
            <w:tcW w:w="1178" w:type="dxa"/>
            <w:vAlign w:val="center"/>
          </w:tcPr>
          <w:p>
            <w:pPr>
              <w:jc w:val="center"/>
              <w:rPr>
                <w:rFonts w:ascii="宋体"/>
                <w:szCs w:val="21"/>
              </w:rPr>
            </w:pPr>
          </w:p>
        </w:tc>
        <w:tc>
          <w:tcPr>
            <w:tcW w:w="1284" w:type="dxa"/>
            <w:vAlign w:val="center"/>
          </w:tcPr>
          <w:p>
            <w:pPr>
              <w:jc w:val="center"/>
              <w:rPr>
                <w:rFonts w:ascii="宋体"/>
                <w:szCs w:val="21"/>
              </w:rPr>
            </w:pPr>
          </w:p>
        </w:tc>
        <w:tc>
          <w:tcPr>
            <w:tcW w:w="1915" w:type="dxa"/>
            <w:vAlign w:val="center"/>
          </w:tcPr>
          <w:p>
            <w:pPr>
              <w:jc w:val="center"/>
              <w:rPr>
                <w:rFonts w:ascii="宋体"/>
                <w:szCs w:val="21"/>
              </w:rPr>
            </w:pPr>
          </w:p>
        </w:tc>
        <w:tc>
          <w:tcPr>
            <w:tcW w:w="1512" w:type="dxa"/>
            <w:vAlign w:val="center"/>
          </w:tcPr>
          <w:p>
            <w:pPr>
              <w:jc w:val="center"/>
              <w:rPr>
                <w:rFonts w:ascii="宋体"/>
                <w:szCs w:val="21"/>
              </w:rPr>
            </w:pPr>
          </w:p>
        </w:tc>
        <w:tc>
          <w:tcPr>
            <w:tcW w:w="735" w:type="dxa"/>
            <w:vAlign w:val="center"/>
          </w:tcPr>
          <w:p>
            <w:pPr>
              <w:jc w:val="center"/>
              <w:rPr>
                <w:rFonts w:ascii="宋体"/>
                <w:szCs w:val="21"/>
              </w:rPr>
            </w:pPr>
          </w:p>
        </w:tc>
      </w:tr>
    </w:tbl>
    <w:p>
      <w:pPr>
        <w:ind w:right="480" w:firstLine="5160" w:firstLineChars="2150"/>
        <w:rPr>
          <w:rFonts w:ascii="宋体"/>
          <w:sz w:val="24"/>
        </w:rPr>
      </w:pPr>
    </w:p>
    <w:p>
      <w:pPr>
        <w:ind w:right="480" w:firstLine="5160" w:firstLineChars="2150"/>
        <w:rPr>
          <w:rFonts w:ascii="宋体"/>
          <w:sz w:val="24"/>
        </w:rPr>
      </w:pPr>
    </w:p>
    <w:p>
      <w:pPr>
        <w:spacing w:before="156" w:beforeLines="50" w:after="312" w:afterLines="100" w:line="360" w:lineRule="auto"/>
        <w:rPr>
          <w:rFonts w:ascii="宋体" w:hAnsi="宋体"/>
          <w:sz w:val="24"/>
        </w:rPr>
      </w:pPr>
      <w:r>
        <w:rPr>
          <w:rFonts w:hint="eastAsia" w:ascii="宋体"/>
          <w:szCs w:val="21"/>
        </w:rPr>
        <w:br w:type="page"/>
      </w:r>
      <w:r>
        <w:rPr>
          <w:rFonts w:hint="eastAsia" w:ascii="宋体" w:hAnsi="宋体"/>
          <w:sz w:val="24"/>
        </w:rPr>
        <w:t>（二）主要人员简历表</w:t>
      </w:r>
    </w:p>
    <w:p>
      <w:pPr>
        <w:spacing w:line="360" w:lineRule="auto"/>
        <w:rPr>
          <w:rFonts w:ascii="宋体" w:hAnsi="宋体"/>
          <w:b/>
          <w:sz w:val="24"/>
        </w:rPr>
      </w:pPr>
      <w:r>
        <w:rPr>
          <w:rFonts w:hint="eastAsia" w:ascii="宋体" w:hAnsi="宋体"/>
          <w:b/>
          <w:sz w:val="24"/>
        </w:rPr>
        <w:t>附1：总监简历表</w:t>
      </w:r>
    </w:p>
    <w:tbl>
      <w:tblPr>
        <w:tblStyle w:val="1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r>
              <w:rPr>
                <w:rFonts w:hint="eastAsia" w:ascii="宋体" w:hAnsi="宋体"/>
                <w:szCs w:val="21"/>
              </w:rPr>
              <w:t>姓  名</w:t>
            </w:r>
          </w:p>
        </w:tc>
        <w:tc>
          <w:tcPr>
            <w:tcW w:w="1035"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r>
              <w:rPr>
                <w:rFonts w:hint="eastAsia" w:ascii="宋体" w:hAnsi="宋体"/>
                <w:szCs w:val="21"/>
              </w:rPr>
              <w:t>年  龄</w:t>
            </w:r>
          </w:p>
        </w:tc>
        <w:tc>
          <w:tcPr>
            <w:tcW w:w="1275"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学历</w:t>
            </w:r>
          </w:p>
        </w:tc>
        <w:tc>
          <w:tcPr>
            <w:tcW w:w="2126"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r>
              <w:rPr>
                <w:rFonts w:hint="eastAsia" w:ascii="宋体" w:hAnsi="宋体"/>
                <w:szCs w:val="21"/>
              </w:rPr>
              <w:t>职  称</w:t>
            </w:r>
          </w:p>
        </w:tc>
        <w:tc>
          <w:tcPr>
            <w:tcW w:w="1035"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r>
              <w:rPr>
                <w:rFonts w:hint="eastAsia" w:ascii="宋体" w:hAnsi="宋体"/>
                <w:szCs w:val="21"/>
              </w:rPr>
              <w:t>职  务</w:t>
            </w:r>
          </w:p>
        </w:tc>
        <w:tc>
          <w:tcPr>
            <w:tcW w:w="1275"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拟在本工程任职</w:t>
            </w:r>
          </w:p>
        </w:tc>
        <w:tc>
          <w:tcPr>
            <w:tcW w:w="2126" w:type="dxa"/>
            <w:vAlign w:val="center"/>
          </w:tcPr>
          <w:p>
            <w:pPr>
              <w:spacing w:line="360" w:lineRule="auto"/>
              <w:jc w:val="center"/>
              <w:rPr>
                <w:rFonts w:ascii="宋体" w:hAnsi="宋体"/>
                <w:szCs w:val="21"/>
              </w:rPr>
            </w:pPr>
            <w:r>
              <w:rPr>
                <w:rFonts w:hint="eastAsia" w:ascii="宋体" w:hAnsi="宋体"/>
                <w:szCs w:val="21"/>
              </w:rPr>
              <w:t>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1" w:type="dxa"/>
            <w:gridSpan w:val="3"/>
            <w:vAlign w:val="center"/>
          </w:tcPr>
          <w:p>
            <w:pPr>
              <w:spacing w:line="360" w:lineRule="auto"/>
              <w:jc w:val="center"/>
              <w:rPr>
                <w:rFonts w:ascii="宋体" w:hAnsi="宋体"/>
                <w:szCs w:val="21"/>
              </w:rPr>
            </w:pPr>
            <w:r>
              <w:rPr>
                <w:rFonts w:hint="eastAsia" w:ascii="宋体" w:hAnsi="宋体"/>
                <w:szCs w:val="21"/>
              </w:rPr>
              <w:t>执业资格</w:t>
            </w:r>
          </w:p>
        </w:tc>
        <w:tc>
          <w:tcPr>
            <w:tcW w:w="1275" w:type="dxa"/>
            <w:vAlign w:val="center"/>
          </w:tcPr>
          <w:p>
            <w:pPr>
              <w:spacing w:line="360" w:lineRule="auto"/>
              <w:jc w:val="center"/>
              <w:rPr>
                <w:rFonts w:ascii="宋体" w:hAnsi="宋体"/>
                <w:szCs w:val="21"/>
              </w:rPr>
            </w:pPr>
            <w:r>
              <w:rPr>
                <w:rFonts w:hint="eastAsia" w:ascii="宋体" w:hAnsi="宋体"/>
                <w:szCs w:val="21"/>
              </w:rPr>
              <w:t xml:space="preserve">    </w:t>
            </w:r>
          </w:p>
        </w:tc>
        <w:tc>
          <w:tcPr>
            <w:tcW w:w="1843" w:type="dxa"/>
            <w:vAlign w:val="center"/>
          </w:tcPr>
          <w:p>
            <w:pPr>
              <w:spacing w:line="360" w:lineRule="auto"/>
              <w:jc w:val="center"/>
              <w:rPr>
                <w:rFonts w:ascii="宋体" w:hAnsi="宋体"/>
                <w:szCs w:val="21"/>
              </w:rPr>
            </w:pPr>
            <w:r>
              <w:rPr>
                <w:rFonts w:hint="eastAsia" w:ascii="宋体" w:hAnsi="宋体"/>
                <w:szCs w:val="21"/>
              </w:rPr>
              <w:t>监理专业</w:t>
            </w:r>
          </w:p>
        </w:tc>
        <w:tc>
          <w:tcPr>
            <w:tcW w:w="2126"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r>
              <w:rPr>
                <w:rFonts w:hint="eastAsia" w:ascii="宋体" w:hAnsi="宋体"/>
                <w:szCs w:val="21"/>
              </w:rPr>
              <w:t>毕业学校</w:t>
            </w:r>
          </w:p>
        </w:tc>
        <w:tc>
          <w:tcPr>
            <w:tcW w:w="7413" w:type="dxa"/>
            <w:gridSpan w:val="5"/>
            <w:vAlign w:val="center"/>
          </w:tcPr>
          <w:p>
            <w:pPr>
              <w:spacing w:line="360" w:lineRule="auto"/>
              <w:ind w:firstLine="840" w:firstLineChars="400"/>
              <w:rPr>
                <w:rFonts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5" w:type="dxa"/>
            <w:gridSpan w:val="6"/>
            <w:vAlign w:val="center"/>
          </w:tcPr>
          <w:p>
            <w:pPr>
              <w:spacing w:line="360" w:lineRule="auto"/>
              <w:jc w:val="center"/>
              <w:rPr>
                <w:rFonts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r>
              <w:rPr>
                <w:rFonts w:hint="eastAsia" w:ascii="宋体" w:hAnsi="宋体"/>
                <w:szCs w:val="21"/>
              </w:rPr>
              <w:t>时  间</w:t>
            </w:r>
          </w:p>
        </w:tc>
        <w:tc>
          <w:tcPr>
            <w:tcW w:w="3444" w:type="dxa"/>
            <w:gridSpan w:val="3"/>
            <w:vAlign w:val="center"/>
          </w:tcPr>
          <w:p>
            <w:pPr>
              <w:spacing w:line="360" w:lineRule="auto"/>
              <w:jc w:val="center"/>
              <w:rPr>
                <w:rFonts w:ascii="宋体" w:hAnsi="宋体"/>
                <w:szCs w:val="21"/>
              </w:rPr>
            </w:pPr>
            <w:r>
              <w:rPr>
                <w:rFonts w:hint="eastAsia" w:ascii="宋体" w:hAnsi="宋体"/>
                <w:szCs w:val="21"/>
              </w:rPr>
              <w:t>参加过的类似项目名称</w:t>
            </w:r>
          </w:p>
        </w:tc>
        <w:tc>
          <w:tcPr>
            <w:tcW w:w="1843" w:type="dxa"/>
            <w:vAlign w:val="center"/>
          </w:tcPr>
          <w:p>
            <w:pPr>
              <w:spacing w:line="360" w:lineRule="auto"/>
              <w:jc w:val="center"/>
              <w:rPr>
                <w:rFonts w:ascii="宋体" w:hAnsi="宋体"/>
                <w:szCs w:val="21"/>
              </w:rPr>
            </w:pPr>
            <w:r>
              <w:rPr>
                <w:rFonts w:hint="eastAsia" w:ascii="宋体" w:hAnsi="宋体"/>
                <w:szCs w:val="21"/>
              </w:rPr>
              <w:t>工程概况说明</w:t>
            </w:r>
          </w:p>
        </w:tc>
        <w:tc>
          <w:tcPr>
            <w:tcW w:w="2126" w:type="dxa"/>
            <w:vAlign w:val="center"/>
          </w:tcPr>
          <w:p>
            <w:pPr>
              <w:spacing w:line="360" w:lineRule="auto"/>
              <w:jc w:val="center"/>
              <w:rPr>
                <w:rFonts w:ascii="宋体" w:hAnsi="宋体"/>
                <w:szCs w:val="21"/>
              </w:rP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p>
        </w:tc>
        <w:tc>
          <w:tcPr>
            <w:tcW w:w="1035"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275"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p>
        </w:tc>
        <w:tc>
          <w:tcPr>
            <w:tcW w:w="2126"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p>
        </w:tc>
        <w:tc>
          <w:tcPr>
            <w:tcW w:w="1035"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275"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p>
        </w:tc>
        <w:tc>
          <w:tcPr>
            <w:tcW w:w="2126"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p>
        </w:tc>
        <w:tc>
          <w:tcPr>
            <w:tcW w:w="1035"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275"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p>
        </w:tc>
        <w:tc>
          <w:tcPr>
            <w:tcW w:w="2126"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p>
        </w:tc>
        <w:tc>
          <w:tcPr>
            <w:tcW w:w="1035"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275"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p>
        </w:tc>
        <w:tc>
          <w:tcPr>
            <w:tcW w:w="2126"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p>
        </w:tc>
        <w:tc>
          <w:tcPr>
            <w:tcW w:w="1035"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275"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p>
        </w:tc>
        <w:tc>
          <w:tcPr>
            <w:tcW w:w="2126"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p>
        </w:tc>
        <w:tc>
          <w:tcPr>
            <w:tcW w:w="1035"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275"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p>
        </w:tc>
        <w:tc>
          <w:tcPr>
            <w:tcW w:w="2126"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p>
        </w:tc>
        <w:tc>
          <w:tcPr>
            <w:tcW w:w="1035"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275"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p>
        </w:tc>
        <w:tc>
          <w:tcPr>
            <w:tcW w:w="2126"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p>
        </w:tc>
        <w:tc>
          <w:tcPr>
            <w:tcW w:w="1035"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275"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p>
        </w:tc>
        <w:tc>
          <w:tcPr>
            <w:tcW w:w="2126"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p>
        </w:tc>
        <w:tc>
          <w:tcPr>
            <w:tcW w:w="1035"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275"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p>
        </w:tc>
        <w:tc>
          <w:tcPr>
            <w:tcW w:w="2126"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pPr>
              <w:spacing w:line="360" w:lineRule="auto"/>
              <w:jc w:val="center"/>
              <w:rPr>
                <w:rFonts w:ascii="宋体" w:hAnsi="宋体"/>
                <w:szCs w:val="21"/>
              </w:rPr>
            </w:pPr>
          </w:p>
        </w:tc>
        <w:tc>
          <w:tcPr>
            <w:tcW w:w="1035"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275"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p>
        </w:tc>
        <w:tc>
          <w:tcPr>
            <w:tcW w:w="2126" w:type="dxa"/>
            <w:vAlign w:val="center"/>
          </w:tcPr>
          <w:p>
            <w:pPr>
              <w:spacing w:line="360" w:lineRule="auto"/>
              <w:jc w:val="center"/>
              <w:rPr>
                <w:rFonts w:ascii="宋体" w:hAnsi="宋体"/>
                <w:szCs w:val="21"/>
              </w:rPr>
            </w:pPr>
          </w:p>
        </w:tc>
      </w:tr>
    </w:tbl>
    <w:p>
      <w:pPr>
        <w:spacing w:line="360" w:lineRule="auto"/>
        <w:rPr>
          <w:rFonts w:ascii="宋体" w:hAnsi="宋体"/>
          <w:szCs w:val="21"/>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黑体" w:eastAsia="黑体"/>
          <w:b/>
          <w:sz w:val="24"/>
        </w:rPr>
      </w:pPr>
      <w:r>
        <w:rPr>
          <w:rFonts w:hint="eastAsia" w:ascii="宋体"/>
          <w:b/>
          <w:sz w:val="24"/>
        </w:rPr>
        <w:t>附2：主要项目管理人员简历表</w:t>
      </w:r>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720" w:type="dxa"/>
            <w:gridSpan w:val="2"/>
          </w:tcPr>
          <w:p>
            <w:pPr>
              <w:spacing w:line="360" w:lineRule="auto"/>
              <w:rPr>
                <w:rFonts w:ascii="宋体"/>
                <w:sz w:val="24"/>
              </w:rPr>
            </w:pPr>
            <w:r>
              <w:rPr>
                <w:rFonts w:hint="eastAsia" w:ascii="宋体"/>
                <w:sz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360" w:type="dxa"/>
          </w:tcPr>
          <w:p>
            <w:pPr>
              <w:spacing w:line="360" w:lineRule="auto"/>
              <w:rPr>
                <w:rFonts w:ascii="宋体"/>
                <w:sz w:val="24"/>
              </w:rPr>
            </w:pPr>
            <w:r>
              <w:rPr>
                <w:rFonts w:hint="eastAsia" w:ascii="宋体"/>
                <w:sz w:val="24"/>
              </w:rPr>
              <w:t xml:space="preserve">姓    名  </w:t>
            </w:r>
          </w:p>
        </w:tc>
        <w:tc>
          <w:tcPr>
            <w:tcW w:w="4360" w:type="dxa"/>
          </w:tcPr>
          <w:p>
            <w:pPr>
              <w:spacing w:line="360" w:lineRule="auto"/>
              <w:rPr>
                <w:rFonts w:ascii="宋体"/>
                <w:sz w:val="24"/>
              </w:rPr>
            </w:pPr>
            <w:r>
              <w:rPr>
                <w:rFonts w:hint="eastAsia" w:ascii="宋体"/>
                <w:sz w:val="24"/>
              </w:rPr>
              <w:t>年    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360" w:type="dxa"/>
          </w:tcPr>
          <w:p>
            <w:pPr>
              <w:spacing w:line="360" w:lineRule="auto"/>
              <w:rPr>
                <w:rFonts w:ascii="宋体"/>
                <w:sz w:val="24"/>
              </w:rPr>
            </w:pPr>
            <w:r>
              <w:rPr>
                <w:rFonts w:hint="eastAsia" w:ascii="宋体"/>
                <w:sz w:val="24"/>
              </w:rPr>
              <w:t xml:space="preserve">性    别  </w:t>
            </w:r>
          </w:p>
        </w:tc>
        <w:tc>
          <w:tcPr>
            <w:tcW w:w="4360" w:type="dxa"/>
          </w:tcPr>
          <w:p>
            <w:pPr>
              <w:spacing w:line="360" w:lineRule="auto"/>
              <w:rPr>
                <w:rFonts w:ascii="宋体"/>
                <w:sz w:val="24"/>
              </w:rPr>
            </w:pPr>
            <w:r>
              <w:rPr>
                <w:rFonts w:hint="eastAsia" w:ascii="宋体"/>
                <w:sz w:val="24"/>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360" w:type="dxa"/>
          </w:tcPr>
          <w:p>
            <w:pPr>
              <w:spacing w:line="360" w:lineRule="auto"/>
              <w:rPr>
                <w:rFonts w:ascii="宋体"/>
                <w:sz w:val="24"/>
              </w:rPr>
            </w:pPr>
            <w:r>
              <w:rPr>
                <w:rFonts w:hint="eastAsia" w:ascii="宋体"/>
                <w:sz w:val="24"/>
              </w:rPr>
              <w:t>学历和专业</w:t>
            </w:r>
          </w:p>
        </w:tc>
        <w:tc>
          <w:tcPr>
            <w:tcW w:w="4360" w:type="dxa"/>
          </w:tcPr>
          <w:p>
            <w:pPr>
              <w:spacing w:line="360" w:lineRule="auto"/>
              <w:rPr>
                <w:rFonts w:ascii="宋体"/>
                <w:sz w:val="24"/>
              </w:rPr>
            </w:pPr>
            <w:r>
              <w:rPr>
                <w:rFonts w:hint="eastAsia" w:ascii="宋体"/>
                <w:sz w:val="24"/>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360" w:type="dxa"/>
          </w:tcPr>
          <w:p>
            <w:pPr>
              <w:spacing w:line="360" w:lineRule="auto"/>
              <w:rPr>
                <w:rFonts w:ascii="宋体"/>
                <w:sz w:val="24"/>
              </w:rPr>
            </w:pPr>
            <w:r>
              <w:rPr>
                <w:rFonts w:hint="eastAsia" w:ascii="宋体"/>
                <w:sz w:val="24"/>
              </w:rPr>
              <w:t>拥有的执业资格</w:t>
            </w:r>
          </w:p>
        </w:tc>
        <w:tc>
          <w:tcPr>
            <w:tcW w:w="4360" w:type="dxa"/>
          </w:tcPr>
          <w:p>
            <w:pPr>
              <w:spacing w:line="360" w:lineRule="auto"/>
              <w:rPr>
                <w:rFonts w:ascii="宋体"/>
                <w:sz w:val="24"/>
              </w:rPr>
            </w:pPr>
            <w:r>
              <w:rPr>
                <w:rFonts w:hint="eastAsia" w:ascii="宋体"/>
                <w:sz w:val="24"/>
              </w:rPr>
              <w:t>专业职称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360" w:type="dxa"/>
          </w:tcPr>
          <w:p>
            <w:pPr>
              <w:spacing w:line="360" w:lineRule="auto"/>
              <w:rPr>
                <w:rFonts w:ascii="宋体"/>
                <w:sz w:val="24"/>
              </w:rPr>
            </w:pPr>
            <w:r>
              <w:rPr>
                <w:rFonts w:hint="eastAsia" w:ascii="宋体"/>
                <w:sz w:val="24"/>
              </w:rPr>
              <w:t>执业资格证书编号</w:t>
            </w:r>
          </w:p>
        </w:tc>
        <w:tc>
          <w:tcPr>
            <w:tcW w:w="4360" w:type="dxa"/>
          </w:tcPr>
          <w:p>
            <w:pPr>
              <w:spacing w:line="360" w:lineRule="auto"/>
              <w:rPr>
                <w:rFonts w:ascii="宋体"/>
                <w:sz w:val="24"/>
              </w:rPr>
            </w:pPr>
            <w:r>
              <w:rPr>
                <w:rFonts w:hint="eastAsia" w:ascii="宋体"/>
                <w:sz w:val="24"/>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0" w:hRule="atLeast"/>
          <w:jc w:val="center"/>
        </w:trPr>
        <w:tc>
          <w:tcPr>
            <w:tcW w:w="8720" w:type="dxa"/>
            <w:gridSpan w:val="2"/>
            <w:vAlign w:val="center"/>
          </w:tcPr>
          <w:p>
            <w:pPr>
              <w:spacing w:line="360" w:lineRule="auto"/>
              <w:rPr>
                <w:rFonts w:ascii="宋体"/>
                <w:sz w:val="24"/>
              </w:rPr>
            </w:pPr>
            <w:r>
              <w:rPr>
                <w:rFonts w:hint="eastAsia" w:ascii="宋体"/>
                <w:sz w:val="24"/>
              </w:rPr>
              <w:t>主</w:t>
            </w:r>
          </w:p>
          <w:p>
            <w:pPr>
              <w:spacing w:line="360" w:lineRule="auto"/>
              <w:rPr>
                <w:rFonts w:ascii="宋体"/>
                <w:sz w:val="24"/>
              </w:rPr>
            </w:pPr>
            <w:r>
              <w:rPr>
                <w:rFonts w:hint="eastAsia" w:ascii="宋体"/>
                <w:sz w:val="24"/>
              </w:rPr>
              <w:t>要</w:t>
            </w:r>
          </w:p>
          <w:p>
            <w:pPr>
              <w:spacing w:line="360" w:lineRule="auto"/>
              <w:rPr>
                <w:rFonts w:ascii="宋体"/>
                <w:sz w:val="24"/>
              </w:rPr>
            </w:pPr>
            <w:r>
              <w:rPr>
                <w:rFonts w:hint="eastAsia" w:ascii="宋体"/>
                <w:sz w:val="24"/>
              </w:rPr>
              <w:t>工</w:t>
            </w:r>
          </w:p>
          <w:p>
            <w:pPr>
              <w:spacing w:line="360" w:lineRule="auto"/>
              <w:rPr>
                <w:rFonts w:ascii="宋体"/>
                <w:sz w:val="24"/>
              </w:rPr>
            </w:pPr>
            <w:r>
              <w:rPr>
                <w:rFonts w:hint="eastAsia" w:ascii="宋体"/>
                <w:sz w:val="24"/>
              </w:rPr>
              <w:t>作</w:t>
            </w:r>
          </w:p>
          <w:p>
            <w:pPr>
              <w:spacing w:line="360" w:lineRule="auto"/>
              <w:rPr>
                <w:rFonts w:ascii="宋体"/>
                <w:sz w:val="24"/>
              </w:rPr>
            </w:pPr>
            <w:r>
              <w:rPr>
                <w:rFonts w:hint="eastAsia" w:ascii="宋体"/>
                <w:sz w:val="24"/>
              </w:rPr>
              <w:t>业</w:t>
            </w:r>
          </w:p>
          <w:p>
            <w:pPr>
              <w:spacing w:line="360" w:lineRule="auto"/>
              <w:rPr>
                <w:rFonts w:ascii="宋体"/>
                <w:sz w:val="24"/>
              </w:rPr>
            </w:pPr>
            <w:r>
              <w:rPr>
                <w:rFonts w:hint="eastAsia" w:ascii="宋体"/>
                <w:sz w:val="24"/>
              </w:rPr>
              <w:t>绩</w:t>
            </w:r>
          </w:p>
          <w:p>
            <w:pPr>
              <w:spacing w:line="360" w:lineRule="auto"/>
              <w:rPr>
                <w:rFonts w:ascii="宋体"/>
                <w:sz w:val="24"/>
              </w:rPr>
            </w:pPr>
            <w:r>
              <w:rPr>
                <w:rFonts w:hint="eastAsia" w:ascii="宋体"/>
                <w:sz w:val="24"/>
              </w:rPr>
              <w:t>及</w:t>
            </w:r>
          </w:p>
          <w:p>
            <w:pPr>
              <w:spacing w:line="360" w:lineRule="auto"/>
              <w:rPr>
                <w:rFonts w:ascii="宋体"/>
                <w:sz w:val="24"/>
              </w:rPr>
            </w:pPr>
            <w:r>
              <w:rPr>
                <w:rFonts w:hint="eastAsia" w:ascii="宋体"/>
                <w:sz w:val="24"/>
              </w:rPr>
              <w:t>担</w:t>
            </w:r>
          </w:p>
          <w:p>
            <w:pPr>
              <w:spacing w:line="360" w:lineRule="auto"/>
              <w:rPr>
                <w:rFonts w:ascii="宋体"/>
                <w:sz w:val="24"/>
              </w:rPr>
            </w:pPr>
            <w:r>
              <w:rPr>
                <w:rFonts w:hint="eastAsia" w:ascii="宋体"/>
                <w:sz w:val="24"/>
              </w:rPr>
              <w:t>任</w:t>
            </w:r>
          </w:p>
          <w:p>
            <w:pPr>
              <w:spacing w:line="360" w:lineRule="auto"/>
              <w:rPr>
                <w:rFonts w:ascii="宋体"/>
                <w:sz w:val="24"/>
              </w:rPr>
            </w:pPr>
            <w:r>
              <w:rPr>
                <w:rFonts w:hint="eastAsia" w:ascii="宋体"/>
                <w:sz w:val="24"/>
              </w:rPr>
              <w:t>的</w:t>
            </w:r>
          </w:p>
          <w:p>
            <w:pPr>
              <w:spacing w:line="360" w:lineRule="auto"/>
              <w:rPr>
                <w:rFonts w:ascii="宋体"/>
                <w:sz w:val="24"/>
              </w:rPr>
            </w:pPr>
            <w:r>
              <w:rPr>
                <w:rFonts w:hint="eastAsia" w:ascii="宋体"/>
                <w:sz w:val="24"/>
              </w:rPr>
              <w:t>主</w:t>
            </w:r>
          </w:p>
          <w:p>
            <w:pPr>
              <w:spacing w:line="360" w:lineRule="auto"/>
              <w:rPr>
                <w:rFonts w:ascii="宋体"/>
                <w:sz w:val="24"/>
              </w:rPr>
            </w:pPr>
            <w:r>
              <w:rPr>
                <w:rFonts w:hint="eastAsia" w:ascii="宋体"/>
                <w:sz w:val="24"/>
              </w:rPr>
              <w:t>要</w:t>
            </w:r>
          </w:p>
          <w:p>
            <w:pPr>
              <w:spacing w:line="360" w:lineRule="auto"/>
              <w:rPr>
                <w:rFonts w:ascii="宋体"/>
                <w:sz w:val="24"/>
              </w:rPr>
            </w:pPr>
            <w:r>
              <w:rPr>
                <w:rFonts w:hint="eastAsia" w:ascii="宋体"/>
                <w:sz w:val="24"/>
              </w:rPr>
              <w:t>工</w:t>
            </w:r>
          </w:p>
          <w:p>
            <w:pPr>
              <w:spacing w:line="360" w:lineRule="auto"/>
              <w:rPr>
                <w:rFonts w:ascii="宋体"/>
                <w:szCs w:val="21"/>
              </w:rPr>
            </w:pPr>
            <w:r>
              <w:rPr>
                <w:rFonts w:hint="eastAsia" w:ascii="宋体"/>
                <w:sz w:val="24"/>
              </w:rPr>
              <w:t>作</w:t>
            </w:r>
          </w:p>
        </w:tc>
      </w:tr>
    </w:tbl>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9"/>
        <w:jc w:val="center"/>
      </w:pPr>
      <w:r>
        <w:rPr>
          <w:rFonts w:hint="eastAsia"/>
        </w:rPr>
        <w:t>五、资格审查资料</w:t>
      </w:r>
      <w:bookmarkEnd w:id="134"/>
      <w:bookmarkEnd w:id="135"/>
      <w:bookmarkEnd w:id="136"/>
      <w:bookmarkEnd w:id="137"/>
      <w:bookmarkEnd w:id="138"/>
    </w:p>
    <w:p>
      <w:pPr>
        <w:pStyle w:val="30"/>
        <w:rPr>
          <w:szCs w:val="23"/>
        </w:rPr>
      </w:pPr>
      <w:bookmarkStart w:id="141" w:name="_Toc144974876"/>
      <w:bookmarkStart w:id="142" w:name="_Toc152045808"/>
      <w:bookmarkStart w:id="143" w:name="_Toc490675710"/>
      <w:bookmarkStart w:id="144" w:name="_Toc417478629"/>
      <w:bookmarkStart w:id="145" w:name="_Toc152042597"/>
      <w:r>
        <w:rPr>
          <w:rFonts w:hint="eastAsia"/>
          <w:szCs w:val="23"/>
        </w:rPr>
        <w:t>（一）投标人基本情况表</w:t>
      </w:r>
      <w:bookmarkEnd w:id="141"/>
      <w:bookmarkEnd w:id="142"/>
      <w:bookmarkEnd w:id="143"/>
      <w:bookmarkEnd w:id="144"/>
      <w:bookmarkEnd w:id="145"/>
    </w:p>
    <w:tbl>
      <w:tblPr>
        <w:tblStyle w:val="1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rPr>
            </w:pPr>
            <w:r>
              <w:rPr>
                <w:rFonts w:hint="eastAsia" w:ascii="宋体" w:hAnsi="宋体"/>
                <w:szCs w:val="21"/>
              </w:rPr>
              <w:t>投标人名称</w:t>
            </w:r>
          </w:p>
        </w:tc>
        <w:tc>
          <w:tcPr>
            <w:tcW w:w="7020" w:type="dxa"/>
            <w:gridSpan w:val="9"/>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rPr>
            </w:pPr>
            <w:r>
              <w:rPr>
                <w:rFonts w:hint="eastAsia" w:ascii="宋体" w:hAnsi="宋体"/>
                <w:szCs w:val="21"/>
              </w:rPr>
              <w:t>注册地址</w:t>
            </w:r>
          </w:p>
        </w:tc>
        <w:tc>
          <w:tcPr>
            <w:tcW w:w="3389" w:type="dxa"/>
            <w:gridSpan w:val="5"/>
            <w:vAlign w:val="center"/>
          </w:tcPr>
          <w:p>
            <w:pPr>
              <w:jc w:val="center"/>
              <w:rPr>
                <w:rFonts w:ascii="宋体"/>
                <w:szCs w:val="21"/>
              </w:rPr>
            </w:pPr>
          </w:p>
        </w:tc>
        <w:tc>
          <w:tcPr>
            <w:tcW w:w="1246" w:type="dxa"/>
            <w:vAlign w:val="center"/>
          </w:tcPr>
          <w:p>
            <w:pPr>
              <w:jc w:val="center"/>
              <w:rPr>
                <w:rFonts w:ascii="宋体"/>
                <w:szCs w:val="21"/>
              </w:rPr>
            </w:pPr>
            <w:r>
              <w:rPr>
                <w:rFonts w:hint="eastAsia" w:ascii="宋体" w:hAnsi="宋体"/>
                <w:szCs w:val="21"/>
              </w:rPr>
              <w:t>邮政编码</w:t>
            </w:r>
          </w:p>
        </w:tc>
        <w:tc>
          <w:tcPr>
            <w:tcW w:w="2385" w:type="dxa"/>
            <w:gridSpan w:val="3"/>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pPr>
              <w:jc w:val="center"/>
              <w:rPr>
                <w:rFonts w:ascii="宋体"/>
                <w:szCs w:val="21"/>
              </w:rPr>
            </w:pPr>
            <w:r>
              <w:rPr>
                <w:rFonts w:hint="eastAsia" w:ascii="宋体" w:hAnsi="宋体"/>
                <w:szCs w:val="21"/>
              </w:rPr>
              <w:t>联系方式</w:t>
            </w:r>
          </w:p>
        </w:tc>
        <w:tc>
          <w:tcPr>
            <w:tcW w:w="897" w:type="dxa"/>
            <w:vAlign w:val="center"/>
          </w:tcPr>
          <w:p>
            <w:pPr>
              <w:jc w:val="center"/>
              <w:rPr>
                <w:rFonts w:ascii="宋体"/>
                <w:szCs w:val="21"/>
              </w:rPr>
            </w:pPr>
            <w:r>
              <w:rPr>
                <w:rFonts w:hint="eastAsia" w:ascii="宋体" w:hAnsi="宋体"/>
                <w:szCs w:val="21"/>
              </w:rPr>
              <w:t>联系人</w:t>
            </w:r>
          </w:p>
        </w:tc>
        <w:tc>
          <w:tcPr>
            <w:tcW w:w="2492" w:type="dxa"/>
            <w:gridSpan w:val="4"/>
            <w:vAlign w:val="center"/>
          </w:tcPr>
          <w:p>
            <w:pPr>
              <w:jc w:val="center"/>
              <w:rPr>
                <w:rFonts w:ascii="宋体"/>
                <w:szCs w:val="21"/>
              </w:rPr>
            </w:pPr>
          </w:p>
        </w:tc>
        <w:tc>
          <w:tcPr>
            <w:tcW w:w="1246" w:type="dxa"/>
            <w:vAlign w:val="center"/>
          </w:tcPr>
          <w:p>
            <w:pPr>
              <w:jc w:val="center"/>
              <w:rPr>
                <w:rFonts w:asci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tc>
        <w:tc>
          <w:tcPr>
            <w:tcW w:w="2385" w:type="dxa"/>
            <w:gridSpan w:val="3"/>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pPr>
              <w:widowControl/>
              <w:jc w:val="left"/>
              <w:rPr>
                <w:rFonts w:ascii="宋体"/>
                <w:szCs w:val="21"/>
              </w:rPr>
            </w:pPr>
          </w:p>
        </w:tc>
        <w:tc>
          <w:tcPr>
            <w:tcW w:w="897" w:type="dxa"/>
            <w:vAlign w:val="center"/>
          </w:tcPr>
          <w:p>
            <w:pPr>
              <w:jc w:val="center"/>
              <w:rPr>
                <w:rFonts w:asci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p>
        </w:tc>
        <w:tc>
          <w:tcPr>
            <w:tcW w:w="2492" w:type="dxa"/>
            <w:gridSpan w:val="4"/>
            <w:vAlign w:val="center"/>
          </w:tcPr>
          <w:p>
            <w:pPr>
              <w:jc w:val="center"/>
              <w:rPr>
                <w:rFonts w:ascii="宋体"/>
                <w:szCs w:val="21"/>
              </w:rPr>
            </w:pPr>
          </w:p>
        </w:tc>
        <w:tc>
          <w:tcPr>
            <w:tcW w:w="1246" w:type="dxa"/>
            <w:vAlign w:val="center"/>
          </w:tcPr>
          <w:p>
            <w:pPr>
              <w:jc w:val="center"/>
              <w:rPr>
                <w:rFonts w:ascii="宋体"/>
                <w:szCs w:val="21"/>
              </w:rPr>
            </w:pPr>
            <w:r>
              <w:rPr>
                <w:rFonts w:hint="eastAsia" w:ascii="宋体" w:hAnsi="宋体"/>
                <w:szCs w:val="21"/>
              </w:rPr>
              <w:t>网</w:t>
            </w:r>
            <w:r>
              <w:rPr>
                <w:rFonts w:ascii="宋体" w:hAnsi="宋体"/>
                <w:szCs w:val="21"/>
              </w:rPr>
              <w:t xml:space="preserve">  </w:t>
            </w:r>
            <w:r>
              <w:rPr>
                <w:rFonts w:hint="eastAsia" w:ascii="宋体" w:hAnsi="宋体"/>
                <w:szCs w:val="21"/>
              </w:rPr>
              <w:t>址</w:t>
            </w:r>
          </w:p>
        </w:tc>
        <w:tc>
          <w:tcPr>
            <w:tcW w:w="2385" w:type="dxa"/>
            <w:gridSpan w:val="3"/>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rPr>
            </w:pPr>
            <w:r>
              <w:rPr>
                <w:rFonts w:hint="eastAsia" w:ascii="宋体" w:hAnsi="宋体"/>
                <w:szCs w:val="21"/>
              </w:rPr>
              <w:t>法定代表人</w:t>
            </w:r>
          </w:p>
        </w:tc>
        <w:tc>
          <w:tcPr>
            <w:tcW w:w="897" w:type="dxa"/>
            <w:vAlign w:val="center"/>
          </w:tcPr>
          <w:p>
            <w:pPr>
              <w:jc w:val="center"/>
              <w:rPr>
                <w:rFonts w:ascii="宋体"/>
                <w:szCs w:val="21"/>
              </w:rPr>
            </w:pPr>
            <w:r>
              <w:rPr>
                <w:rFonts w:hint="eastAsia" w:ascii="宋体" w:hAnsi="宋体"/>
                <w:szCs w:val="21"/>
              </w:rPr>
              <w:t>姓名</w:t>
            </w:r>
          </w:p>
        </w:tc>
        <w:tc>
          <w:tcPr>
            <w:tcW w:w="1021" w:type="dxa"/>
            <w:vAlign w:val="center"/>
          </w:tcPr>
          <w:p>
            <w:pPr>
              <w:jc w:val="center"/>
              <w:rPr>
                <w:rFonts w:ascii="宋体"/>
                <w:szCs w:val="21"/>
              </w:rPr>
            </w:pPr>
          </w:p>
        </w:tc>
        <w:tc>
          <w:tcPr>
            <w:tcW w:w="1276" w:type="dxa"/>
            <w:gridSpan w:val="2"/>
            <w:vAlign w:val="center"/>
          </w:tcPr>
          <w:p>
            <w:pPr>
              <w:jc w:val="center"/>
              <w:rPr>
                <w:rFonts w:ascii="宋体"/>
                <w:szCs w:val="21"/>
              </w:rPr>
            </w:pPr>
            <w:r>
              <w:rPr>
                <w:rFonts w:hint="eastAsia" w:ascii="宋体" w:hAnsi="宋体"/>
                <w:szCs w:val="21"/>
              </w:rPr>
              <w:t>技术职称</w:t>
            </w:r>
          </w:p>
        </w:tc>
        <w:tc>
          <w:tcPr>
            <w:tcW w:w="1701" w:type="dxa"/>
            <w:gridSpan w:val="3"/>
            <w:vAlign w:val="center"/>
          </w:tcPr>
          <w:p>
            <w:pPr>
              <w:jc w:val="center"/>
              <w:rPr>
                <w:rFonts w:ascii="宋体"/>
                <w:szCs w:val="21"/>
              </w:rPr>
            </w:pPr>
          </w:p>
        </w:tc>
        <w:tc>
          <w:tcPr>
            <w:tcW w:w="709" w:type="dxa"/>
            <w:vAlign w:val="center"/>
          </w:tcPr>
          <w:p>
            <w:pPr>
              <w:jc w:val="center"/>
              <w:rPr>
                <w:rFonts w:ascii="宋体"/>
                <w:szCs w:val="21"/>
              </w:rPr>
            </w:pPr>
            <w:r>
              <w:rPr>
                <w:rFonts w:hint="eastAsia" w:ascii="宋体" w:hAnsi="宋体"/>
                <w:szCs w:val="21"/>
              </w:rPr>
              <w:t>电话</w:t>
            </w:r>
          </w:p>
        </w:tc>
        <w:tc>
          <w:tcPr>
            <w:tcW w:w="1416"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rPr>
            </w:pPr>
            <w:r>
              <w:rPr>
                <w:rFonts w:hint="eastAsia" w:ascii="宋体" w:hAnsi="宋体"/>
                <w:szCs w:val="21"/>
              </w:rPr>
              <w:t>技术负责人</w:t>
            </w:r>
          </w:p>
        </w:tc>
        <w:tc>
          <w:tcPr>
            <w:tcW w:w="897" w:type="dxa"/>
            <w:vAlign w:val="center"/>
          </w:tcPr>
          <w:p>
            <w:pPr>
              <w:jc w:val="center"/>
              <w:rPr>
                <w:rFonts w:ascii="宋体"/>
                <w:szCs w:val="21"/>
              </w:rPr>
            </w:pPr>
            <w:r>
              <w:rPr>
                <w:rFonts w:hint="eastAsia" w:ascii="宋体" w:hAnsi="宋体"/>
                <w:szCs w:val="21"/>
              </w:rPr>
              <w:t>姓名</w:t>
            </w:r>
          </w:p>
        </w:tc>
        <w:tc>
          <w:tcPr>
            <w:tcW w:w="1021" w:type="dxa"/>
            <w:vAlign w:val="center"/>
          </w:tcPr>
          <w:p>
            <w:pPr>
              <w:jc w:val="center"/>
              <w:rPr>
                <w:rFonts w:ascii="宋体"/>
                <w:szCs w:val="21"/>
              </w:rPr>
            </w:pPr>
          </w:p>
        </w:tc>
        <w:tc>
          <w:tcPr>
            <w:tcW w:w="1276" w:type="dxa"/>
            <w:gridSpan w:val="2"/>
            <w:vAlign w:val="center"/>
          </w:tcPr>
          <w:p>
            <w:pPr>
              <w:jc w:val="center"/>
              <w:rPr>
                <w:rFonts w:ascii="宋体"/>
                <w:szCs w:val="21"/>
              </w:rPr>
            </w:pPr>
            <w:r>
              <w:rPr>
                <w:rFonts w:hint="eastAsia" w:ascii="宋体" w:hAnsi="宋体"/>
                <w:szCs w:val="21"/>
              </w:rPr>
              <w:t>技术职称</w:t>
            </w:r>
          </w:p>
        </w:tc>
        <w:tc>
          <w:tcPr>
            <w:tcW w:w="1701" w:type="dxa"/>
            <w:gridSpan w:val="3"/>
            <w:vAlign w:val="center"/>
          </w:tcPr>
          <w:p>
            <w:pPr>
              <w:jc w:val="center"/>
              <w:rPr>
                <w:rFonts w:ascii="宋体"/>
                <w:szCs w:val="21"/>
              </w:rPr>
            </w:pPr>
          </w:p>
        </w:tc>
        <w:tc>
          <w:tcPr>
            <w:tcW w:w="709" w:type="dxa"/>
            <w:vAlign w:val="center"/>
          </w:tcPr>
          <w:p>
            <w:pPr>
              <w:jc w:val="center"/>
              <w:rPr>
                <w:rFonts w:ascii="宋体"/>
                <w:szCs w:val="21"/>
              </w:rPr>
            </w:pPr>
            <w:r>
              <w:rPr>
                <w:rFonts w:hint="eastAsia" w:ascii="宋体" w:hAnsi="宋体"/>
                <w:szCs w:val="21"/>
              </w:rPr>
              <w:t>电话</w:t>
            </w:r>
          </w:p>
        </w:tc>
        <w:tc>
          <w:tcPr>
            <w:tcW w:w="1416"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rPr>
            </w:pPr>
            <w:r>
              <w:rPr>
                <w:rFonts w:hint="eastAsia" w:ascii="宋体" w:hAnsi="宋体"/>
                <w:szCs w:val="21"/>
              </w:rPr>
              <w:t>成立时间</w:t>
            </w:r>
          </w:p>
        </w:tc>
        <w:tc>
          <w:tcPr>
            <w:tcW w:w="1918" w:type="dxa"/>
            <w:gridSpan w:val="2"/>
            <w:vAlign w:val="center"/>
          </w:tcPr>
          <w:p>
            <w:pPr>
              <w:jc w:val="center"/>
              <w:rPr>
                <w:rFonts w:ascii="宋体"/>
                <w:szCs w:val="21"/>
              </w:rPr>
            </w:pPr>
          </w:p>
        </w:tc>
        <w:tc>
          <w:tcPr>
            <w:tcW w:w="5102" w:type="dxa"/>
            <w:gridSpan w:val="7"/>
            <w:vAlign w:val="center"/>
          </w:tcPr>
          <w:p>
            <w:pPr>
              <w:jc w:val="center"/>
              <w:rPr>
                <w:rFonts w:ascii="宋体"/>
                <w:szCs w:val="21"/>
              </w:rPr>
            </w:pPr>
            <w:r>
              <w:rPr>
                <w:rFonts w:hint="eastAsia" w:ascii="宋体" w:hAnsi="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rPr>
            </w:pPr>
            <w:r>
              <w:rPr>
                <w:rFonts w:hint="eastAsia" w:ascii="宋体" w:hAnsi="宋体"/>
                <w:szCs w:val="21"/>
              </w:rPr>
              <w:t>企业资质等级</w:t>
            </w:r>
          </w:p>
        </w:tc>
        <w:tc>
          <w:tcPr>
            <w:tcW w:w="897" w:type="dxa"/>
            <w:vAlign w:val="center"/>
          </w:tcPr>
          <w:p>
            <w:pPr>
              <w:jc w:val="center"/>
              <w:rPr>
                <w:rFonts w:ascii="宋体"/>
                <w:szCs w:val="21"/>
              </w:rPr>
            </w:pPr>
          </w:p>
        </w:tc>
        <w:tc>
          <w:tcPr>
            <w:tcW w:w="1021" w:type="dxa"/>
            <w:vAlign w:val="center"/>
          </w:tcPr>
          <w:p>
            <w:pPr>
              <w:jc w:val="center"/>
              <w:rPr>
                <w:rFonts w:ascii="宋体"/>
                <w:szCs w:val="21"/>
              </w:rPr>
            </w:pPr>
          </w:p>
        </w:tc>
        <w:tc>
          <w:tcPr>
            <w:tcW w:w="993" w:type="dxa"/>
            <w:vMerge w:val="restart"/>
            <w:vAlign w:val="center"/>
          </w:tcPr>
          <w:p>
            <w:pPr>
              <w:jc w:val="center"/>
              <w:rPr>
                <w:rFonts w:ascii="宋体"/>
                <w:szCs w:val="21"/>
              </w:rPr>
            </w:pPr>
            <w:r>
              <w:rPr>
                <w:rFonts w:hint="eastAsia" w:ascii="宋体" w:hAnsi="宋体"/>
                <w:szCs w:val="21"/>
              </w:rPr>
              <w:t>其中</w:t>
            </w:r>
          </w:p>
        </w:tc>
        <w:tc>
          <w:tcPr>
            <w:tcW w:w="1984" w:type="dxa"/>
            <w:gridSpan w:val="4"/>
            <w:vAlign w:val="center"/>
          </w:tcPr>
          <w:p>
            <w:pPr>
              <w:jc w:val="center"/>
              <w:rPr>
                <w:rFonts w:ascii="宋体"/>
                <w:szCs w:val="21"/>
              </w:rPr>
            </w:pPr>
            <w:r>
              <w:rPr>
                <w:rFonts w:hint="eastAsia" w:ascii="宋体" w:hAnsi="宋体"/>
                <w:szCs w:val="21"/>
              </w:rPr>
              <w:t>总监</w:t>
            </w:r>
          </w:p>
        </w:tc>
        <w:tc>
          <w:tcPr>
            <w:tcW w:w="2125" w:type="dxa"/>
            <w:gridSpan w:val="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rPr>
            </w:pPr>
            <w:r>
              <w:rPr>
                <w:rFonts w:hint="eastAsia" w:ascii="宋体" w:hAnsi="宋体"/>
                <w:szCs w:val="21"/>
              </w:rPr>
              <w:t>营业执照号</w:t>
            </w:r>
          </w:p>
        </w:tc>
        <w:tc>
          <w:tcPr>
            <w:tcW w:w="897" w:type="dxa"/>
            <w:vAlign w:val="center"/>
          </w:tcPr>
          <w:p>
            <w:pPr>
              <w:jc w:val="center"/>
              <w:rPr>
                <w:rFonts w:ascii="宋体"/>
                <w:szCs w:val="21"/>
              </w:rPr>
            </w:pPr>
          </w:p>
        </w:tc>
        <w:tc>
          <w:tcPr>
            <w:tcW w:w="1021" w:type="dxa"/>
            <w:vAlign w:val="center"/>
          </w:tcPr>
          <w:p>
            <w:pPr>
              <w:jc w:val="center"/>
              <w:rPr>
                <w:rFonts w:ascii="宋体"/>
                <w:szCs w:val="21"/>
              </w:rPr>
            </w:pPr>
          </w:p>
        </w:tc>
        <w:tc>
          <w:tcPr>
            <w:tcW w:w="993" w:type="dxa"/>
            <w:vMerge w:val="continue"/>
            <w:vAlign w:val="center"/>
          </w:tcPr>
          <w:p>
            <w:pPr>
              <w:widowControl/>
              <w:jc w:val="left"/>
              <w:rPr>
                <w:rFonts w:ascii="宋体"/>
                <w:szCs w:val="21"/>
              </w:rPr>
            </w:pPr>
          </w:p>
        </w:tc>
        <w:tc>
          <w:tcPr>
            <w:tcW w:w="1984" w:type="dxa"/>
            <w:gridSpan w:val="4"/>
            <w:vAlign w:val="center"/>
          </w:tcPr>
          <w:p>
            <w:pPr>
              <w:jc w:val="center"/>
              <w:rPr>
                <w:rFonts w:ascii="宋体"/>
                <w:szCs w:val="21"/>
              </w:rPr>
            </w:pPr>
            <w:r>
              <w:rPr>
                <w:rFonts w:hint="eastAsia" w:ascii="宋体" w:hAnsi="宋体"/>
                <w:szCs w:val="21"/>
              </w:rPr>
              <w:t>高级职称人员</w:t>
            </w:r>
          </w:p>
        </w:tc>
        <w:tc>
          <w:tcPr>
            <w:tcW w:w="2125" w:type="dxa"/>
            <w:gridSpan w:val="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rPr>
            </w:pPr>
            <w:r>
              <w:rPr>
                <w:rFonts w:hint="eastAsia" w:ascii="宋体" w:hAnsi="宋体"/>
                <w:szCs w:val="21"/>
              </w:rPr>
              <w:t>注册资金</w:t>
            </w:r>
          </w:p>
        </w:tc>
        <w:tc>
          <w:tcPr>
            <w:tcW w:w="897" w:type="dxa"/>
            <w:vAlign w:val="center"/>
          </w:tcPr>
          <w:p>
            <w:pPr>
              <w:jc w:val="center"/>
              <w:rPr>
                <w:rFonts w:ascii="宋体"/>
                <w:szCs w:val="21"/>
              </w:rPr>
            </w:pPr>
          </w:p>
        </w:tc>
        <w:tc>
          <w:tcPr>
            <w:tcW w:w="1021" w:type="dxa"/>
            <w:vAlign w:val="center"/>
          </w:tcPr>
          <w:p>
            <w:pPr>
              <w:jc w:val="center"/>
              <w:rPr>
                <w:rFonts w:ascii="宋体"/>
                <w:szCs w:val="21"/>
              </w:rPr>
            </w:pPr>
          </w:p>
        </w:tc>
        <w:tc>
          <w:tcPr>
            <w:tcW w:w="993" w:type="dxa"/>
            <w:vMerge w:val="continue"/>
            <w:vAlign w:val="center"/>
          </w:tcPr>
          <w:p>
            <w:pPr>
              <w:widowControl/>
              <w:jc w:val="left"/>
              <w:rPr>
                <w:rFonts w:ascii="宋体"/>
                <w:szCs w:val="21"/>
              </w:rPr>
            </w:pPr>
          </w:p>
        </w:tc>
        <w:tc>
          <w:tcPr>
            <w:tcW w:w="1984" w:type="dxa"/>
            <w:gridSpan w:val="4"/>
            <w:vAlign w:val="center"/>
          </w:tcPr>
          <w:p>
            <w:pPr>
              <w:jc w:val="center"/>
              <w:rPr>
                <w:rFonts w:ascii="宋体"/>
                <w:szCs w:val="21"/>
              </w:rPr>
            </w:pPr>
            <w:r>
              <w:rPr>
                <w:rFonts w:hint="eastAsia" w:ascii="宋体" w:hAnsi="宋体"/>
                <w:szCs w:val="21"/>
              </w:rPr>
              <w:t>中级职称人员</w:t>
            </w:r>
          </w:p>
        </w:tc>
        <w:tc>
          <w:tcPr>
            <w:tcW w:w="2125" w:type="dxa"/>
            <w:gridSpan w:val="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rPr>
            </w:pPr>
            <w:r>
              <w:rPr>
                <w:rFonts w:hint="eastAsia" w:ascii="宋体" w:hAnsi="宋体"/>
                <w:szCs w:val="21"/>
              </w:rPr>
              <w:t>开户银行</w:t>
            </w:r>
          </w:p>
        </w:tc>
        <w:tc>
          <w:tcPr>
            <w:tcW w:w="897" w:type="dxa"/>
            <w:vAlign w:val="center"/>
          </w:tcPr>
          <w:p>
            <w:pPr>
              <w:jc w:val="center"/>
              <w:rPr>
                <w:rFonts w:ascii="宋体"/>
                <w:szCs w:val="21"/>
              </w:rPr>
            </w:pPr>
          </w:p>
        </w:tc>
        <w:tc>
          <w:tcPr>
            <w:tcW w:w="1021" w:type="dxa"/>
            <w:vAlign w:val="center"/>
          </w:tcPr>
          <w:p>
            <w:pPr>
              <w:jc w:val="center"/>
              <w:rPr>
                <w:rFonts w:ascii="宋体"/>
                <w:szCs w:val="21"/>
              </w:rPr>
            </w:pPr>
          </w:p>
        </w:tc>
        <w:tc>
          <w:tcPr>
            <w:tcW w:w="993" w:type="dxa"/>
            <w:vMerge w:val="continue"/>
            <w:vAlign w:val="center"/>
          </w:tcPr>
          <w:p>
            <w:pPr>
              <w:widowControl/>
              <w:jc w:val="left"/>
              <w:rPr>
                <w:rFonts w:ascii="宋体"/>
                <w:szCs w:val="21"/>
              </w:rPr>
            </w:pPr>
          </w:p>
        </w:tc>
        <w:tc>
          <w:tcPr>
            <w:tcW w:w="1984" w:type="dxa"/>
            <w:gridSpan w:val="4"/>
            <w:vAlign w:val="center"/>
          </w:tcPr>
          <w:p>
            <w:pPr>
              <w:jc w:val="center"/>
              <w:rPr>
                <w:rFonts w:ascii="宋体"/>
                <w:szCs w:val="21"/>
              </w:rPr>
            </w:pPr>
            <w:r>
              <w:rPr>
                <w:rFonts w:hint="eastAsia" w:ascii="宋体" w:hAnsi="宋体"/>
                <w:szCs w:val="21"/>
              </w:rPr>
              <w:t>初级职称人员</w:t>
            </w:r>
          </w:p>
        </w:tc>
        <w:tc>
          <w:tcPr>
            <w:tcW w:w="2125" w:type="dxa"/>
            <w:gridSpan w:val="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rPr>
            </w:pPr>
            <w:r>
              <w:rPr>
                <w:rFonts w:hint="eastAsia" w:ascii="宋体" w:hAnsi="宋体"/>
                <w:szCs w:val="21"/>
              </w:rPr>
              <w:t>账号</w:t>
            </w:r>
          </w:p>
        </w:tc>
        <w:tc>
          <w:tcPr>
            <w:tcW w:w="897" w:type="dxa"/>
            <w:vAlign w:val="center"/>
          </w:tcPr>
          <w:p>
            <w:pPr>
              <w:jc w:val="center"/>
              <w:rPr>
                <w:rFonts w:ascii="宋体"/>
                <w:szCs w:val="21"/>
              </w:rPr>
            </w:pPr>
          </w:p>
        </w:tc>
        <w:tc>
          <w:tcPr>
            <w:tcW w:w="1021" w:type="dxa"/>
            <w:vAlign w:val="center"/>
          </w:tcPr>
          <w:p>
            <w:pPr>
              <w:jc w:val="center"/>
              <w:rPr>
                <w:rFonts w:ascii="宋体"/>
                <w:szCs w:val="21"/>
              </w:rPr>
            </w:pPr>
          </w:p>
        </w:tc>
        <w:tc>
          <w:tcPr>
            <w:tcW w:w="993" w:type="dxa"/>
            <w:vMerge w:val="continue"/>
            <w:vAlign w:val="center"/>
          </w:tcPr>
          <w:p>
            <w:pPr>
              <w:widowControl/>
              <w:jc w:val="left"/>
              <w:rPr>
                <w:rFonts w:ascii="宋体"/>
                <w:szCs w:val="21"/>
              </w:rPr>
            </w:pPr>
          </w:p>
        </w:tc>
        <w:tc>
          <w:tcPr>
            <w:tcW w:w="1984" w:type="dxa"/>
            <w:gridSpan w:val="4"/>
            <w:vAlign w:val="center"/>
          </w:tcPr>
          <w:p>
            <w:pPr>
              <w:jc w:val="center"/>
              <w:rPr>
                <w:rFonts w:ascii="宋体"/>
                <w:szCs w:val="21"/>
              </w:rPr>
            </w:pPr>
            <w:r>
              <w:rPr>
                <w:rFonts w:hint="eastAsia" w:ascii="宋体" w:hAnsi="宋体"/>
                <w:szCs w:val="21"/>
              </w:rPr>
              <w:t>技</w:t>
            </w:r>
            <w:r>
              <w:rPr>
                <w:rFonts w:ascii="宋体" w:hAnsi="宋体"/>
                <w:szCs w:val="21"/>
              </w:rPr>
              <w:t xml:space="preserve">  </w:t>
            </w:r>
            <w:r>
              <w:rPr>
                <w:rFonts w:hint="eastAsia" w:ascii="宋体" w:hAnsi="宋体"/>
                <w:szCs w:val="21"/>
              </w:rPr>
              <w:t>工</w:t>
            </w:r>
          </w:p>
        </w:tc>
        <w:tc>
          <w:tcPr>
            <w:tcW w:w="2125" w:type="dxa"/>
            <w:gridSpan w:val="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vAlign w:val="center"/>
          </w:tcPr>
          <w:p>
            <w:pPr>
              <w:jc w:val="center"/>
              <w:rPr>
                <w:rFonts w:ascii="宋体"/>
                <w:szCs w:val="21"/>
              </w:rPr>
            </w:pPr>
            <w:r>
              <w:rPr>
                <w:rFonts w:hint="eastAsia" w:ascii="宋体" w:hAnsi="宋体"/>
                <w:szCs w:val="21"/>
              </w:rPr>
              <w:t>经营范围</w:t>
            </w:r>
          </w:p>
        </w:tc>
        <w:tc>
          <w:tcPr>
            <w:tcW w:w="7020" w:type="dxa"/>
            <w:gridSpan w:val="9"/>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rPr>
            </w:pPr>
            <w:r>
              <w:rPr>
                <w:rFonts w:hint="eastAsia" w:ascii="宋体" w:hAnsi="宋体"/>
                <w:szCs w:val="21"/>
              </w:rPr>
              <w:t>备注</w:t>
            </w:r>
          </w:p>
        </w:tc>
        <w:tc>
          <w:tcPr>
            <w:tcW w:w="7020" w:type="dxa"/>
            <w:gridSpan w:val="9"/>
            <w:vAlign w:val="center"/>
          </w:tcPr>
          <w:p>
            <w:pPr>
              <w:jc w:val="center"/>
              <w:rPr>
                <w:rFonts w:ascii="宋体"/>
                <w:szCs w:val="21"/>
              </w:rPr>
            </w:pPr>
          </w:p>
        </w:tc>
      </w:tr>
    </w:tbl>
    <w:p>
      <w:pPr>
        <w:spacing w:line="440" w:lineRule="exact"/>
        <w:rPr>
          <w:rFonts w:ascii="宋体"/>
          <w:szCs w:val="21"/>
        </w:rPr>
      </w:pPr>
      <w:r>
        <w:rPr>
          <w:rFonts w:hint="eastAsia" w:ascii="黑体" w:hAnsi="宋体" w:eastAsia="黑体"/>
          <w:szCs w:val="21"/>
        </w:rPr>
        <w:t>备注：</w:t>
      </w:r>
      <w:r>
        <w:rPr>
          <w:rFonts w:hint="eastAsia" w:ascii="宋体" w:hAnsi="宋体"/>
          <w:szCs w:val="21"/>
        </w:rPr>
        <w:t>本表后应附加的主要内容为：</w:t>
      </w:r>
      <w:r>
        <w:rPr>
          <w:rFonts w:hint="eastAsia" w:ascii="宋体" w:hAnsi="宋体"/>
        </w:rPr>
        <w:t>主要以“投标人资格要求”所要提供的证明材料为主</w:t>
      </w:r>
      <w:r>
        <w:rPr>
          <w:rFonts w:hint="eastAsia" w:ascii="宋体" w:hAnsi="宋体"/>
          <w:szCs w:val="21"/>
        </w:rPr>
        <w:t>。</w:t>
      </w:r>
    </w:p>
    <w:p>
      <w:pPr>
        <w:spacing w:line="440" w:lineRule="exact"/>
        <w:rPr>
          <w:rFonts w:ascii="宋体"/>
          <w:szCs w:val="21"/>
        </w:rPr>
      </w:pPr>
    </w:p>
    <w:p>
      <w:pPr>
        <w:spacing w:before="156" w:beforeLines="50" w:after="312" w:afterLines="100" w:line="440" w:lineRule="exact"/>
        <w:rPr>
          <w:rFonts w:ascii="黑体" w:hAnsi="宋体" w:eastAsia="黑体"/>
          <w:sz w:val="24"/>
        </w:rPr>
      </w:pPr>
      <w:r>
        <w:rPr>
          <w:rFonts w:ascii="黑体" w:hAnsi="宋体" w:eastAsia="黑体"/>
          <w:sz w:val="24"/>
        </w:rPr>
        <w:br w:type="page"/>
      </w:r>
      <w:r>
        <w:rPr>
          <w:rFonts w:hint="eastAsia" w:ascii="黑体" w:hAnsi="宋体" w:eastAsia="黑体"/>
          <w:sz w:val="24"/>
        </w:rPr>
        <w:t>（二）近年财务状况表</w:t>
      </w:r>
    </w:p>
    <w:p>
      <w:pPr>
        <w:spacing w:line="440" w:lineRule="exact"/>
        <w:ind w:left="630" w:leftChars="50" w:hanging="525" w:hangingChars="250"/>
        <w:rPr>
          <w:rFonts w:ascii="宋体"/>
          <w:szCs w:val="21"/>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lang w:bidi="zh-CN"/>
        </w:rPr>
      </w:pPr>
      <w:r>
        <w:rPr>
          <w:rFonts w:eastAsia="黑体"/>
          <w:sz w:val="23"/>
          <w:szCs w:val="23"/>
        </w:rPr>
        <w:br w:type="page"/>
      </w:r>
      <w:r>
        <w:rPr>
          <w:rFonts w:hint="eastAsia" w:eastAsia="黑体"/>
          <w:sz w:val="23"/>
          <w:szCs w:val="23"/>
        </w:rPr>
        <w:t>（三）</w:t>
      </w:r>
      <w:r>
        <w:rPr>
          <w:rFonts w:eastAsia="黑体"/>
          <w:sz w:val="23"/>
          <w:szCs w:val="23"/>
          <w:lang w:bidi="zh-CN"/>
        </w:rPr>
        <w:t>近年完成的类似项目情况表</w:t>
      </w:r>
    </w:p>
    <w:tbl>
      <w:tblPr>
        <w:tblStyle w:val="17"/>
        <w:tblW w:w="8522" w:type="dxa"/>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tcPr>
          <w:p>
            <w:pPr>
              <w:pStyle w:val="31"/>
              <w:spacing w:before="1"/>
              <w:rPr>
                <w:sz w:val="20"/>
              </w:rPr>
            </w:pPr>
          </w:p>
          <w:p>
            <w:pPr>
              <w:pStyle w:val="31"/>
              <w:ind w:left="482" w:right="474"/>
              <w:jc w:val="center"/>
              <w:rPr>
                <w:sz w:val="21"/>
              </w:rPr>
            </w:pPr>
            <w:r>
              <w:rPr>
                <w:sz w:val="21"/>
              </w:rPr>
              <w:t>项目名称</w:t>
            </w:r>
          </w:p>
        </w:tc>
        <w:tc>
          <w:tcPr>
            <w:tcW w:w="6253" w:type="dxa"/>
          </w:tcPr>
          <w:p>
            <w:pPr>
              <w:pStyle w:val="3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69" w:type="dxa"/>
          </w:tcPr>
          <w:p>
            <w:pPr>
              <w:pStyle w:val="31"/>
              <w:spacing w:before="1"/>
              <w:rPr>
                <w:sz w:val="20"/>
              </w:rPr>
            </w:pPr>
          </w:p>
          <w:p>
            <w:pPr>
              <w:pStyle w:val="31"/>
              <w:ind w:left="482" w:right="474"/>
              <w:jc w:val="center"/>
              <w:rPr>
                <w:sz w:val="21"/>
              </w:rPr>
            </w:pPr>
            <w:r>
              <w:rPr>
                <w:sz w:val="21"/>
              </w:rPr>
              <w:t>项目所在地</w:t>
            </w:r>
          </w:p>
        </w:tc>
        <w:tc>
          <w:tcPr>
            <w:tcW w:w="6253" w:type="dxa"/>
          </w:tcPr>
          <w:p>
            <w:pPr>
              <w:pStyle w:val="3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tcPr>
          <w:p>
            <w:pPr>
              <w:pStyle w:val="31"/>
              <w:spacing w:before="1"/>
              <w:rPr>
                <w:sz w:val="20"/>
              </w:rPr>
            </w:pPr>
          </w:p>
          <w:p>
            <w:pPr>
              <w:pStyle w:val="31"/>
              <w:ind w:left="482" w:right="474"/>
              <w:jc w:val="center"/>
              <w:rPr>
                <w:sz w:val="21"/>
              </w:rPr>
            </w:pPr>
            <w:r>
              <w:rPr>
                <w:sz w:val="21"/>
              </w:rPr>
              <w:t>委托人名称</w:t>
            </w:r>
          </w:p>
        </w:tc>
        <w:tc>
          <w:tcPr>
            <w:tcW w:w="6253" w:type="dxa"/>
          </w:tcPr>
          <w:p>
            <w:pPr>
              <w:pStyle w:val="3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tcPr>
          <w:p>
            <w:pPr>
              <w:pStyle w:val="31"/>
              <w:spacing w:before="2"/>
              <w:rPr>
                <w:sz w:val="20"/>
              </w:rPr>
            </w:pPr>
          </w:p>
          <w:p>
            <w:pPr>
              <w:pStyle w:val="31"/>
              <w:ind w:left="482" w:right="474"/>
              <w:jc w:val="center"/>
              <w:rPr>
                <w:sz w:val="21"/>
              </w:rPr>
            </w:pPr>
            <w:r>
              <w:rPr>
                <w:sz w:val="21"/>
              </w:rPr>
              <w:t>委托人地址</w:t>
            </w:r>
          </w:p>
        </w:tc>
        <w:tc>
          <w:tcPr>
            <w:tcW w:w="6253" w:type="dxa"/>
          </w:tcPr>
          <w:p>
            <w:pPr>
              <w:pStyle w:val="3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69" w:type="dxa"/>
          </w:tcPr>
          <w:p>
            <w:pPr>
              <w:pStyle w:val="31"/>
              <w:spacing w:before="1"/>
              <w:rPr>
                <w:sz w:val="20"/>
              </w:rPr>
            </w:pPr>
          </w:p>
          <w:p>
            <w:pPr>
              <w:pStyle w:val="31"/>
              <w:ind w:left="482" w:right="474"/>
              <w:jc w:val="center"/>
              <w:rPr>
                <w:sz w:val="21"/>
              </w:rPr>
            </w:pPr>
            <w:r>
              <w:rPr>
                <w:sz w:val="21"/>
              </w:rPr>
              <w:t>委托人电话</w:t>
            </w:r>
          </w:p>
        </w:tc>
        <w:tc>
          <w:tcPr>
            <w:tcW w:w="6253" w:type="dxa"/>
          </w:tcPr>
          <w:p>
            <w:pPr>
              <w:pStyle w:val="3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tcPr>
          <w:p>
            <w:pPr>
              <w:pStyle w:val="31"/>
              <w:spacing w:before="1"/>
              <w:rPr>
                <w:sz w:val="20"/>
              </w:rPr>
            </w:pPr>
          </w:p>
          <w:p>
            <w:pPr>
              <w:pStyle w:val="31"/>
              <w:ind w:left="482" w:right="474"/>
              <w:jc w:val="center"/>
              <w:rPr>
                <w:sz w:val="21"/>
              </w:rPr>
            </w:pPr>
            <w:r>
              <w:rPr>
                <w:sz w:val="21"/>
              </w:rPr>
              <w:t>合同价格</w:t>
            </w:r>
          </w:p>
        </w:tc>
        <w:tc>
          <w:tcPr>
            <w:tcW w:w="6253" w:type="dxa"/>
          </w:tcPr>
          <w:p>
            <w:pPr>
              <w:pStyle w:val="3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tcPr>
          <w:p>
            <w:pPr>
              <w:pStyle w:val="31"/>
              <w:spacing w:before="1"/>
              <w:rPr>
                <w:sz w:val="20"/>
              </w:rPr>
            </w:pPr>
          </w:p>
          <w:p>
            <w:pPr>
              <w:pStyle w:val="31"/>
              <w:ind w:left="484" w:right="474"/>
              <w:jc w:val="center"/>
              <w:rPr>
                <w:sz w:val="21"/>
              </w:rPr>
            </w:pPr>
            <w:r>
              <w:rPr>
                <w:sz w:val="21"/>
              </w:rPr>
              <w:t>监理服务期限</w:t>
            </w:r>
          </w:p>
        </w:tc>
        <w:tc>
          <w:tcPr>
            <w:tcW w:w="6253" w:type="dxa"/>
          </w:tcPr>
          <w:p>
            <w:pPr>
              <w:pStyle w:val="3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269" w:type="dxa"/>
          </w:tcPr>
          <w:p>
            <w:pPr>
              <w:pStyle w:val="31"/>
              <w:spacing w:before="1"/>
              <w:rPr>
                <w:sz w:val="20"/>
              </w:rPr>
            </w:pPr>
          </w:p>
          <w:p>
            <w:pPr>
              <w:pStyle w:val="31"/>
              <w:spacing w:before="1"/>
              <w:ind w:left="480" w:right="474"/>
              <w:jc w:val="center"/>
              <w:rPr>
                <w:sz w:val="21"/>
              </w:rPr>
            </w:pPr>
            <w:r>
              <w:rPr>
                <w:sz w:val="21"/>
              </w:rPr>
              <w:t>监理内容</w:t>
            </w:r>
          </w:p>
        </w:tc>
        <w:tc>
          <w:tcPr>
            <w:tcW w:w="6253" w:type="dxa"/>
          </w:tcPr>
          <w:p>
            <w:pPr>
              <w:pStyle w:val="3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tcPr>
          <w:p>
            <w:pPr>
              <w:pStyle w:val="31"/>
              <w:spacing w:before="1"/>
              <w:rPr>
                <w:sz w:val="20"/>
              </w:rPr>
            </w:pPr>
          </w:p>
          <w:p>
            <w:pPr>
              <w:pStyle w:val="31"/>
              <w:ind w:left="484" w:right="474"/>
              <w:jc w:val="center"/>
              <w:rPr>
                <w:sz w:val="21"/>
              </w:rPr>
            </w:pPr>
            <w:r>
              <w:rPr>
                <w:sz w:val="21"/>
              </w:rPr>
              <w:t>总监理工程师</w:t>
            </w:r>
          </w:p>
        </w:tc>
        <w:tc>
          <w:tcPr>
            <w:tcW w:w="6253" w:type="dxa"/>
          </w:tcPr>
          <w:p>
            <w:pPr>
              <w:pStyle w:val="3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1" w:hRule="atLeast"/>
        </w:trPr>
        <w:tc>
          <w:tcPr>
            <w:tcW w:w="2269" w:type="dxa"/>
          </w:tcPr>
          <w:p>
            <w:pPr>
              <w:pStyle w:val="31"/>
              <w:rPr>
                <w:sz w:val="20"/>
              </w:rPr>
            </w:pPr>
          </w:p>
          <w:p>
            <w:pPr>
              <w:pStyle w:val="31"/>
              <w:rPr>
                <w:sz w:val="20"/>
              </w:rPr>
            </w:pPr>
          </w:p>
          <w:p>
            <w:pPr>
              <w:pStyle w:val="31"/>
              <w:rPr>
                <w:sz w:val="20"/>
              </w:rPr>
            </w:pPr>
          </w:p>
          <w:p>
            <w:pPr>
              <w:pStyle w:val="31"/>
              <w:rPr>
                <w:sz w:val="20"/>
              </w:rPr>
            </w:pPr>
          </w:p>
          <w:p>
            <w:pPr>
              <w:pStyle w:val="31"/>
              <w:rPr>
                <w:sz w:val="20"/>
              </w:rPr>
            </w:pPr>
          </w:p>
          <w:p>
            <w:pPr>
              <w:pStyle w:val="31"/>
              <w:spacing w:before="1"/>
              <w:rPr>
                <w:sz w:val="14"/>
              </w:rPr>
            </w:pPr>
          </w:p>
          <w:p>
            <w:pPr>
              <w:pStyle w:val="31"/>
              <w:spacing w:before="1"/>
              <w:ind w:left="482" w:right="474"/>
              <w:jc w:val="center"/>
              <w:rPr>
                <w:sz w:val="21"/>
              </w:rPr>
            </w:pPr>
            <w:r>
              <w:rPr>
                <w:sz w:val="21"/>
              </w:rPr>
              <w:t>项目描述</w:t>
            </w:r>
          </w:p>
        </w:tc>
        <w:tc>
          <w:tcPr>
            <w:tcW w:w="6253" w:type="dxa"/>
          </w:tcPr>
          <w:p>
            <w:pPr>
              <w:pStyle w:val="3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tcPr>
          <w:p>
            <w:pPr>
              <w:pStyle w:val="31"/>
              <w:spacing w:before="1"/>
              <w:rPr>
                <w:sz w:val="20"/>
              </w:rPr>
            </w:pPr>
          </w:p>
          <w:p>
            <w:pPr>
              <w:pStyle w:val="31"/>
              <w:ind w:left="484" w:right="474"/>
              <w:jc w:val="center"/>
              <w:rPr>
                <w:sz w:val="21"/>
              </w:rPr>
            </w:pPr>
            <w:r>
              <w:rPr>
                <w:sz w:val="21"/>
              </w:rPr>
              <w:t>备注</w:t>
            </w:r>
          </w:p>
        </w:tc>
        <w:tc>
          <w:tcPr>
            <w:tcW w:w="6253" w:type="dxa"/>
          </w:tcPr>
          <w:p>
            <w:pPr>
              <w:pStyle w:val="31"/>
              <w:rPr>
                <w:rFonts w:ascii="Times New Roman"/>
              </w:rPr>
            </w:pPr>
          </w:p>
        </w:tc>
      </w:tr>
    </w:tbl>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spacing w:line="440" w:lineRule="exact"/>
        <w:rPr>
          <w:rFonts w:eastAsia="黑体"/>
          <w:sz w:val="23"/>
          <w:szCs w:val="23"/>
        </w:rPr>
      </w:pPr>
    </w:p>
    <w:p>
      <w:pPr>
        <w:pStyle w:val="9"/>
        <w:spacing w:before="142"/>
      </w:pPr>
      <w:bookmarkStart w:id="146" w:name="_Toc417478630"/>
      <w:bookmarkStart w:id="147" w:name="_Toc490675711"/>
    </w:p>
    <w:p>
      <w:pPr>
        <w:pStyle w:val="14"/>
      </w:pPr>
    </w:p>
    <w:p>
      <w:pPr>
        <w:pStyle w:val="14"/>
      </w:pPr>
    </w:p>
    <w:p>
      <w:pPr>
        <w:pStyle w:val="9"/>
        <w:spacing w:before="142"/>
        <w:rPr>
          <w:rFonts w:eastAsia="黑体"/>
          <w:sz w:val="23"/>
          <w:szCs w:val="23"/>
        </w:rPr>
      </w:pPr>
      <w:r>
        <w:rPr>
          <w:rFonts w:eastAsia="黑体"/>
          <w:sz w:val="23"/>
          <w:szCs w:val="23"/>
        </w:rPr>
        <w:t>（</w:t>
      </w:r>
      <w:r>
        <w:rPr>
          <w:rFonts w:hint="eastAsia" w:eastAsia="黑体"/>
          <w:sz w:val="23"/>
          <w:szCs w:val="23"/>
        </w:rPr>
        <w:t>四</w:t>
      </w:r>
      <w:r>
        <w:rPr>
          <w:rFonts w:eastAsia="黑体"/>
          <w:sz w:val="23"/>
          <w:szCs w:val="23"/>
        </w:rPr>
        <w:t>）拟投入本项目的主要试验检测仪器设备表</w:t>
      </w:r>
    </w:p>
    <w:p>
      <w:pPr>
        <w:pStyle w:val="9"/>
        <w:spacing w:before="9"/>
        <w:rPr>
          <w:sz w:val="20"/>
        </w:rPr>
      </w:pPr>
    </w:p>
    <w:tbl>
      <w:tblPr>
        <w:tblStyle w:val="17"/>
        <w:tblW w:w="8113" w:type="dxa"/>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1275"/>
        <w:gridCol w:w="937"/>
        <w:gridCol w:w="747"/>
        <w:gridCol w:w="850"/>
        <w:gridCol w:w="994"/>
        <w:gridCol w:w="1418"/>
        <w:gridCol w:w="1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30" w:type="dxa"/>
          </w:tcPr>
          <w:p>
            <w:pPr>
              <w:pStyle w:val="31"/>
              <w:rPr>
                <w:sz w:val="20"/>
              </w:rPr>
            </w:pPr>
          </w:p>
          <w:p>
            <w:pPr>
              <w:pStyle w:val="31"/>
              <w:spacing w:before="133"/>
              <w:ind w:left="107"/>
              <w:rPr>
                <w:sz w:val="21"/>
              </w:rPr>
            </w:pPr>
            <w:r>
              <w:rPr>
                <w:sz w:val="21"/>
              </w:rPr>
              <w:t>序号</w:t>
            </w:r>
          </w:p>
        </w:tc>
        <w:tc>
          <w:tcPr>
            <w:tcW w:w="1275" w:type="dxa"/>
            <w:tcBorders>
              <w:right w:val="single" w:color="000000" w:sz="6" w:space="0"/>
            </w:tcBorders>
          </w:tcPr>
          <w:p>
            <w:pPr>
              <w:pStyle w:val="31"/>
              <w:spacing w:before="27" w:line="440" w:lineRule="exact"/>
              <w:ind w:left="426" w:right="202" w:hanging="212"/>
              <w:rPr>
                <w:sz w:val="21"/>
              </w:rPr>
            </w:pPr>
            <w:r>
              <w:rPr>
                <w:sz w:val="21"/>
              </w:rPr>
              <w:t>仪器设备名称</w:t>
            </w:r>
          </w:p>
        </w:tc>
        <w:tc>
          <w:tcPr>
            <w:tcW w:w="937" w:type="dxa"/>
            <w:tcBorders>
              <w:left w:val="single" w:color="000000" w:sz="6" w:space="0"/>
            </w:tcBorders>
          </w:tcPr>
          <w:p>
            <w:pPr>
              <w:pStyle w:val="31"/>
              <w:spacing w:before="27" w:line="440" w:lineRule="exact"/>
              <w:ind w:left="253" w:right="246"/>
              <w:rPr>
                <w:sz w:val="21"/>
              </w:rPr>
            </w:pPr>
            <w:r>
              <w:rPr>
                <w:sz w:val="21"/>
              </w:rPr>
              <w:t>型号规格</w:t>
            </w:r>
          </w:p>
        </w:tc>
        <w:tc>
          <w:tcPr>
            <w:tcW w:w="747" w:type="dxa"/>
          </w:tcPr>
          <w:p>
            <w:pPr>
              <w:pStyle w:val="31"/>
              <w:rPr>
                <w:sz w:val="20"/>
              </w:rPr>
            </w:pPr>
          </w:p>
          <w:p>
            <w:pPr>
              <w:pStyle w:val="31"/>
              <w:spacing w:before="133"/>
              <w:ind w:left="161"/>
              <w:rPr>
                <w:sz w:val="21"/>
              </w:rPr>
            </w:pPr>
            <w:r>
              <w:rPr>
                <w:sz w:val="21"/>
              </w:rPr>
              <w:t>数量</w:t>
            </w:r>
          </w:p>
        </w:tc>
        <w:tc>
          <w:tcPr>
            <w:tcW w:w="850" w:type="dxa"/>
          </w:tcPr>
          <w:p>
            <w:pPr>
              <w:pStyle w:val="31"/>
              <w:spacing w:before="27" w:line="440" w:lineRule="exact"/>
              <w:ind w:left="211" w:right="204"/>
              <w:rPr>
                <w:sz w:val="21"/>
              </w:rPr>
            </w:pPr>
            <w:r>
              <w:rPr>
                <w:sz w:val="21"/>
              </w:rPr>
              <w:t>国别产地</w:t>
            </w:r>
          </w:p>
        </w:tc>
        <w:tc>
          <w:tcPr>
            <w:tcW w:w="994" w:type="dxa"/>
          </w:tcPr>
          <w:p>
            <w:pPr>
              <w:pStyle w:val="31"/>
              <w:spacing w:before="27" w:line="440" w:lineRule="exact"/>
              <w:ind w:left="283" w:right="276"/>
              <w:rPr>
                <w:sz w:val="21"/>
              </w:rPr>
            </w:pPr>
            <w:r>
              <w:rPr>
                <w:sz w:val="21"/>
              </w:rPr>
              <w:t>制造年份</w:t>
            </w:r>
          </w:p>
        </w:tc>
        <w:tc>
          <w:tcPr>
            <w:tcW w:w="1418" w:type="dxa"/>
          </w:tcPr>
          <w:p>
            <w:pPr>
              <w:pStyle w:val="31"/>
              <w:rPr>
                <w:sz w:val="20"/>
              </w:rPr>
            </w:pPr>
          </w:p>
          <w:p>
            <w:pPr>
              <w:pStyle w:val="31"/>
              <w:spacing w:before="133"/>
              <w:ind w:left="477" w:right="470"/>
              <w:jc w:val="center"/>
              <w:rPr>
                <w:sz w:val="21"/>
              </w:rPr>
            </w:pPr>
            <w:r>
              <w:rPr>
                <w:sz w:val="21"/>
              </w:rPr>
              <w:t>用途</w:t>
            </w:r>
          </w:p>
        </w:tc>
        <w:tc>
          <w:tcPr>
            <w:tcW w:w="1162" w:type="dxa"/>
          </w:tcPr>
          <w:p>
            <w:pPr>
              <w:pStyle w:val="31"/>
              <w:rPr>
                <w:sz w:val="20"/>
              </w:rPr>
            </w:pPr>
          </w:p>
          <w:p>
            <w:pPr>
              <w:pStyle w:val="31"/>
              <w:spacing w:before="133"/>
              <w:ind w:left="367"/>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730" w:type="dxa"/>
          </w:tcPr>
          <w:p>
            <w:pPr>
              <w:pStyle w:val="31"/>
              <w:rPr>
                <w:rFonts w:ascii="Times New Roman"/>
                <w:sz w:val="24"/>
              </w:rPr>
            </w:pPr>
          </w:p>
        </w:tc>
        <w:tc>
          <w:tcPr>
            <w:tcW w:w="1275" w:type="dxa"/>
            <w:tcBorders>
              <w:right w:val="single" w:color="000000" w:sz="6" w:space="0"/>
            </w:tcBorders>
          </w:tcPr>
          <w:p>
            <w:pPr>
              <w:pStyle w:val="31"/>
              <w:rPr>
                <w:rFonts w:ascii="Times New Roman"/>
                <w:sz w:val="24"/>
              </w:rPr>
            </w:pPr>
          </w:p>
        </w:tc>
        <w:tc>
          <w:tcPr>
            <w:tcW w:w="937" w:type="dxa"/>
            <w:tcBorders>
              <w:left w:val="single" w:color="000000" w:sz="6" w:space="0"/>
            </w:tcBorders>
          </w:tcPr>
          <w:p>
            <w:pPr>
              <w:pStyle w:val="31"/>
              <w:rPr>
                <w:rFonts w:ascii="Times New Roman"/>
                <w:sz w:val="24"/>
              </w:rPr>
            </w:pPr>
          </w:p>
        </w:tc>
        <w:tc>
          <w:tcPr>
            <w:tcW w:w="747" w:type="dxa"/>
          </w:tcPr>
          <w:p>
            <w:pPr>
              <w:pStyle w:val="31"/>
              <w:rPr>
                <w:rFonts w:ascii="Times New Roman"/>
                <w:sz w:val="24"/>
              </w:rPr>
            </w:pPr>
          </w:p>
        </w:tc>
        <w:tc>
          <w:tcPr>
            <w:tcW w:w="850" w:type="dxa"/>
          </w:tcPr>
          <w:p>
            <w:pPr>
              <w:pStyle w:val="31"/>
              <w:rPr>
                <w:rFonts w:ascii="Times New Roman"/>
                <w:sz w:val="24"/>
              </w:rPr>
            </w:pPr>
          </w:p>
        </w:tc>
        <w:tc>
          <w:tcPr>
            <w:tcW w:w="994" w:type="dxa"/>
          </w:tcPr>
          <w:p>
            <w:pPr>
              <w:pStyle w:val="31"/>
              <w:rPr>
                <w:rFonts w:ascii="Times New Roman"/>
                <w:sz w:val="24"/>
              </w:rPr>
            </w:pPr>
          </w:p>
        </w:tc>
        <w:tc>
          <w:tcPr>
            <w:tcW w:w="1418" w:type="dxa"/>
          </w:tcPr>
          <w:p>
            <w:pPr>
              <w:pStyle w:val="31"/>
              <w:rPr>
                <w:rFonts w:ascii="Times New Roman"/>
                <w:sz w:val="24"/>
              </w:rPr>
            </w:pPr>
          </w:p>
        </w:tc>
        <w:tc>
          <w:tcPr>
            <w:tcW w:w="1162" w:type="dxa"/>
          </w:tcPr>
          <w:p>
            <w:pPr>
              <w:pStyle w:val="31"/>
              <w:rPr>
                <w:rFonts w:ascii="Times New Roman"/>
                <w:sz w:val="24"/>
              </w:rPr>
            </w:pPr>
          </w:p>
        </w:tc>
      </w:tr>
    </w:tbl>
    <w:p>
      <w:pPr>
        <w:pStyle w:val="25"/>
        <w:spacing w:before="43"/>
      </w:pPr>
    </w:p>
    <w:p>
      <w:pPr>
        <w:pStyle w:val="29"/>
        <w:jc w:val="center"/>
        <w:rPr>
          <w:rFonts w:ascii="Microsoft JhengHei" w:eastAsia="宋体"/>
          <w:b/>
          <w:sz w:val="32"/>
        </w:rPr>
      </w:pPr>
      <w:r>
        <w:rPr>
          <w:rFonts w:ascii="Microsoft JhengHei" w:eastAsia="宋体"/>
          <w:b/>
          <w:sz w:val="32"/>
        </w:rPr>
        <w:br w:type="page"/>
      </w:r>
    </w:p>
    <w:p>
      <w:pPr>
        <w:pStyle w:val="29"/>
      </w:pPr>
      <w:r>
        <w:rPr>
          <w:rFonts w:hint="eastAsia"/>
        </w:rPr>
        <w:t xml:space="preserve">                          六、服务承诺</w:t>
      </w:r>
      <w:bookmarkEnd w:id="146"/>
      <w:bookmarkEnd w:id="147"/>
    </w:p>
    <w:p>
      <w:pPr>
        <w:tabs>
          <w:tab w:val="left" w:pos="720"/>
        </w:tabs>
        <w:spacing w:line="440" w:lineRule="exact"/>
        <w:ind w:firstLine="640" w:firstLineChars="200"/>
        <w:rPr>
          <w:rFonts w:ascii="黑体" w:hAnsi="黑体" w:eastAsia="黑体"/>
          <w:kern w:val="44"/>
          <w:sz w:val="32"/>
          <w:szCs w:val="44"/>
        </w:rPr>
      </w:pPr>
    </w:p>
    <w:p>
      <w:pPr>
        <w:jc w:val="center"/>
      </w:pPr>
      <w:r>
        <w:rPr>
          <w:rFonts w:hint="eastAsia"/>
        </w:rPr>
        <w:t>（格式及内容自拟）</w:t>
      </w:r>
    </w:p>
    <w:p>
      <w:pPr>
        <w:tabs>
          <w:tab w:val="left" w:pos="720"/>
        </w:tabs>
        <w:spacing w:line="440" w:lineRule="exact"/>
        <w:ind w:firstLine="640" w:firstLineChars="200"/>
        <w:rPr>
          <w:rFonts w:ascii="黑体" w:hAnsi="黑体" w:eastAsia="黑体"/>
          <w:kern w:val="44"/>
          <w:sz w:val="32"/>
          <w:szCs w:val="44"/>
        </w:rPr>
      </w:pPr>
    </w:p>
    <w:p>
      <w:pPr>
        <w:tabs>
          <w:tab w:val="left" w:pos="720"/>
        </w:tabs>
        <w:spacing w:line="440" w:lineRule="exact"/>
        <w:ind w:firstLine="640" w:firstLineChars="200"/>
        <w:rPr>
          <w:rFonts w:ascii="黑体" w:hAnsi="黑体" w:eastAsia="黑体"/>
          <w:kern w:val="44"/>
          <w:sz w:val="32"/>
          <w:szCs w:val="44"/>
        </w:rPr>
      </w:pPr>
    </w:p>
    <w:p>
      <w:pPr>
        <w:spacing w:line="440" w:lineRule="exact"/>
        <w:jc w:val="right"/>
        <w:rPr>
          <w:rFonts w:ascii="宋体" w:hAnsi="宋体"/>
          <w:szCs w:val="21"/>
        </w:rPr>
      </w:pPr>
    </w:p>
    <w:p>
      <w:pPr>
        <w:spacing w:line="440" w:lineRule="exact"/>
        <w:jc w:val="right"/>
        <w:rPr>
          <w:rFonts w:ascii="宋体" w:hAnsi="宋体"/>
          <w:szCs w:val="21"/>
        </w:rPr>
      </w:pPr>
    </w:p>
    <w:p>
      <w:pPr>
        <w:spacing w:line="440" w:lineRule="exact"/>
        <w:jc w:val="right"/>
        <w:rPr>
          <w:rFonts w:ascii="宋体" w:hAnsi="宋体"/>
          <w:szCs w:val="21"/>
        </w:rPr>
      </w:pPr>
    </w:p>
    <w:p>
      <w:pPr>
        <w:spacing w:line="440" w:lineRule="exact"/>
        <w:jc w:val="right"/>
        <w:rPr>
          <w:rFonts w:ascii="宋体" w:hAnsi="宋体"/>
          <w:szCs w:val="21"/>
        </w:rPr>
      </w:pPr>
    </w:p>
    <w:p>
      <w:pPr>
        <w:spacing w:line="440" w:lineRule="exact"/>
        <w:jc w:val="right"/>
        <w:rPr>
          <w:rFonts w:ascii="宋体" w:hAnsi="宋体"/>
          <w:szCs w:val="21"/>
        </w:rPr>
      </w:pPr>
    </w:p>
    <w:p>
      <w:pPr>
        <w:spacing w:line="440" w:lineRule="exact"/>
        <w:ind w:right="420"/>
        <w:rPr>
          <w:rFonts w:ascii="宋体" w:hAnsi="宋体"/>
          <w:szCs w:val="21"/>
        </w:rPr>
      </w:pPr>
    </w:p>
    <w:p>
      <w:pPr>
        <w:spacing w:line="440" w:lineRule="exact"/>
        <w:ind w:right="420"/>
        <w:rPr>
          <w:rFonts w:ascii="宋体" w:hAnsi="宋体"/>
          <w:szCs w:val="21"/>
        </w:rPr>
      </w:pPr>
    </w:p>
    <w:p>
      <w:pPr>
        <w:spacing w:line="440" w:lineRule="exact"/>
        <w:ind w:right="420"/>
        <w:rPr>
          <w:rFonts w:ascii="宋体" w:hAnsi="宋体"/>
          <w:szCs w:val="21"/>
        </w:rPr>
      </w:pPr>
    </w:p>
    <w:p>
      <w:pPr>
        <w:spacing w:line="440" w:lineRule="exact"/>
        <w:ind w:right="420"/>
        <w:rPr>
          <w:rFonts w:ascii="宋体" w:hAnsi="宋体"/>
          <w:szCs w:val="21"/>
        </w:rPr>
      </w:pPr>
    </w:p>
    <w:p>
      <w:pPr>
        <w:spacing w:line="440" w:lineRule="exact"/>
        <w:ind w:right="420"/>
        <w:rPr>
          <w:rFonts w:ascii="宋体" w:hAnsi="宋体"/>
          <w:szCs w:val="21"/>
        </w:rPr>
      </w:pPr>
    </w:p>
    <w:p>
      <w:pPr>
        <w:spacing w:line="440" w:lineRule="exact"/>
        <w:ind w:right="420"/>
        <w:rPr>
          <w:rFonts w:ascii="宋体" w:hAnsi="宋体"/>
          <w:szCs w:val="21"/>
        </w:rPr>
      </w:pPr>
      <w:r>
        <w:rPr>
          <w:rFonts w:hint="eastAsia" w:ascii="宋体" w:hAnsi="宋体"/>
          <w:szCs w:val="21"/>
        </w:rPr>
        <w:t>注：如需要表格自行设计</w:t>
      </w:r>
    </w:p>
    <w:p>
      <w:pPr>
        <w:spacing w:line="440" w:lineRule="exact"/>
        <w:jc w:val="right"/>
        <w:rPr>
          <w:rFonts w:ascii="宋体" w:hAnsi="宋体"/>
          <w:szCs w:val="21"/>
        </w:rPr>
      </w:pPr>
    </w:p>
    <w:p>
      <w:pPr>
        <w:spacing w:line="440" w:lineRule="exact"/>
        <w:jc w:val="center"/>
        <w:rPr>
          <w:rFonts w:ascii="宋体"/>
          <w:szCs w:val="21"/>
        </w:rPr>
      </w:pPr>
      <w:r>
        <w:rPr>
          <w:rFonts w:hint="eastAsia" w:ascii="宋体" w:hAnsi="宋体"/>
          <w:szCs w:val="21"/>
        </w:rPr>
        <w:t xml:space="preserve">                              投标人：</w:t>
      </w:r>
      <w:r>
        <w:rPr>
          <w:rFonts w:ascii="宋体" w:hAnsi="宋体"/>
          <w:szCs w:val="21"/>
          <w:u w:val="single"/>
        </w:rPr>
        <w:t xml:space="preserve">                             </w:t>
      </w:r>
      <w:r>
        <w:rPr>
          <w:rFonts w:hint="eastAsia" w:ascii="宋体" w:hAnsi="宋体"/>
          <w:szCs w:val="21"/>
        </w:rPr>
        <w:t>（电子签章）</w:t>
      </w:r>
    </w:p>
    <w:p>
      <w:pPr>
        <w:spacing w:line="440" w:lineRule="exact"/>
        <w:jc w:val="right"/>
        <w:rPr>
          <w:rFonts w:asci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（签字或盖章）</w:t>
      </w:r>
    </w:p>
    <w:p>
      <w:pPr>
        <w:topLinePunct/>
        <w:spacing w:line="440" w:lineRule="exact"/>
        <w:jc w:val="right"/>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tabs>
          <w:tab w:val="left" w:pos="720"/>
        </w:tabs>
        <w:spacing w:line="440" w:lineRule="exact"/>
        <w:ind w:firstLine="640" w:firstLineChars="200"/>
        <w:rPr>
          <w:rFonts w:ascii="黑体" w:hAnsi="黑体" w:eastAsia="黑体"/>
          <w:kern w:val="44"/>
          <w:sz w:val="32"/>
          <w:szCs w:val="44"/>
        </w:rPr>
      </w:pPr>
      <w:r>
        <w:rPr>
          <w:rFonts w:ascii="黑体" w:hAnsi="黑体" w:eastAsia="黑体"/>
          <w:kern w:val="44"/>
          <w:sz w:val="32"/>
          <w:szCs w:val="44"/>
        </w:rPr>
        <w:br w:type="page"/>
      </w:r>
    </w:p>
    <w:p>
      <w:pPr>
        <w:pStyle w:val="29"/>
        <w:jc w:val="center"/>
      </w:pPr>
      <w:bookmarkStart w:id="148" w:name="_Toc490675712"/>
      <w:bookmarkStart w:id="149" w:name="_Toc417478631"/>
      <w:r>
        <w:rPr>
          <w:rFonts w:hint="eastAsia"/>
        </w:rPr>
        <w:t>七、其他材料</w:t>
      </w:r>
      <w:bookmarkEnd w:id="148"/>
      <w:bookmarkEnd w:id="149"/>
    </w:p>
    <w:p/>
    <w:p/>
    <w:p>
      <w:pPr>
        <w:numPr>
          <w:ilvl w:val="0"/>
          <w:numId w:val="9"/>
        </w:numPr>
        <w:rPr>
          <w:rFonts w:ascii="宋体" w:hAnsi="宋体"/>
          <w:szCs w:val="21"/>
        </w:rPr>
      </w:pPr>
      <w:r>
        <w:rPr>
          <w:rFonts w:hint="eastAsia" w:ascii="宋体" w:hAnsi="宋体"/>
          <w:szCs w:val="21"/>
        </w:rPr>
        <w:t>监理大纲及其他内容</w:t>
      </w:r>
    </w:p>
    <w:p>
      <w:pPr>
        <w:rPr>
          <w:rFonts w:ascii="宋体" w:hAnsi="宋体"/>
          <w:szCs w:val="21"/>
        </w:rPr>
      </w:pPr>
    </w:p>
    <w:p>
      <w:pPr>
        <w:rPr>
          <w:rFonts w:ascii="宋体" w:hAnsi="宋体"/>
          <w:szCs w:val="21"/>
        </w:rPr>
      </w:pPr>
      <w:r>
        <w:rPr>
          <w:rFonts w:hint="eastAsia" w:ascii="宋体" w:hAnsi="宋体"/>
          <w:szCs w:val="21"/>
        </w:rPr>
        <w:t>（</w:t>
      </w:r>
      <w:r>
        <w:rPr>
          <w:rFonts w:hint="eastAsia"/>
        </w:rPr>
        <w:t>提示：建议投标人根据招标文件中的评标办法和</w:t>
      </w:r>
      <w:r>
        <w:t>监理任务范围及监理大纲</w:t>
      </w:r>
      <w:r>
        <w:rPr>
          <w:rFonts w:hint="eastAsia"/>
        </w:rPr>
        <w:t>所描述的内容进行编制</w:t>
      </w:r>
      <w:r>
        <w:rPr>
          <w:rFonts w:hint="eastAsia" w:ascii="宋体" w:hAnsi="宋体"/>
          <w:szCs w:val="21"/>
        </w:rPr>
        <w:t>）</w:t>
      </w:r>
    </w:p>
    <w:p/>
    <w:p/>
    <w:p/>
    <w:p/>
    <w:p/>
    <w:p/>
    <w:p/>
    <w:p/>
    <w:p/>
    <w:p/>
    <w:p/>
    <w:p/>
    <w:p/>
    <w:p/>
    <w:p>
      <w:pPr>
        <w:spacing w:line="440" w:lineRule="exact"/>
        <w:jc w:val="right"/>
        <w:rPr>
          <w:rFonts w:ascii="宋体" w:hAnsi="宋体"/>
          <w:szCs w:val="21"/>
        </w:rPr>
      </w:pPr>
    </w:p>
    <w:p>
      <w:pPr>
        <w:spacing w:line="440" w:lineRule="exact"/>
        <w:jc w:val="right"/>
        <w:rPr>
          <w:rFonts w:ascii="宋体" w:hAnsi="宋体"/>
          <w:szCs w:val="21"/>
        </w:rPr>
      </w:pPr>
    </w:p>
    <w:p>
      <w:pPr>
        <w:spacing w:line="440" w:lineRule="exact"/>
        <w:jc w:val="right"/>
        <w:rPr>
          <w:rFonts w:ascii="宋体" w:hAnsi="宋体"/>
          <w:szCs w:val="21"/>
        </w:rPr>
      </w:pPr>
    </w:p>
    <w:p>
      <w:pPr>
        <w:spacing w:line="440" w:lineRule="exact"/>
        <w:jc w:val="right"/>
        <w:rPr>
          <w:rFonts w:ascii="宋体" w:hAnsi="宋体"/>
          <w:szCs w:val="21"/>
        </w:rPr>
      </w:pPr>
    </w:p>
    <w:p>
      <w:pPr>
        <w:spacing w:line="440" w:lineRule="exact"/>
        <w:jc w:val="right"/>
        <w:rPr>
          <w:rFonts w:ascii="宋体" w:hAnsi="宋体"/>
          <w:szCs w:val="21"/>
        </w:rPr>
      </w:pPr>
    </w:p>
    <w:p>
      <w:pPr>
        <w:spacing w:line="440" w:lineRule="exact"/>
        <w:jc w:val="right"/>
        <w:rPr>
          <w:rFonts w:asci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（电子签章）</w:t>
      </w:r>
    </w:p>
    <w:p>
      <w:pPr>
        <w:spacing w:line="440" w:lineRule="exact"/>
        <w:jc w:val="right"/>
        <w:rPr>
          <w:rFonts w:asci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（签字或盖章）</w:t>
      </w:r>
    </w:p>
    <w:p>
      <w:pPr>
        <w:topLinePunct/>
        <w:spacing w:line="440" w:lineRule="exact"/>
        <w:jc w:val="right"/>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rPr>
          <w:rFonts w:ascii="宋体" w:hAnsi="宋体"/>
          <w:szCs w:val="21"/>
        </w:rPr>
      </w:pPr>
    </w:p>
    <w:p/>
    <w:p/>
    <w:p/>
    <w:p/>
    <w:sectPr>
      <w:footerReference r:id="rId4"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decorative"/>
    <w:pitch w:val="default"/>
    <w:sig w:usb0="00000000" w:usb1="00000000" w:usb2="00000010" w:usb3="00000000" w:csb0="00040000" w:csb1="00000000"/>
  </w:font>
  <w:font w:name="Microsoft Yahei Font">
    <w:altName w:val="Segoe Print"/>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TimesNewRomanPSMT">
    <w:altName w:val="Times New Roman"/>
    <w:panose1 w:val="00000000000000000000"/>
    <w:charset w:val="00"/>
    <w:family w:val="swiss"/>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76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76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59BA3"/>
    <w:multiLevelType w:val="singleLevel"/>
    <w:tmpl w:val="8BF59BA3"/>
    <w:lvl w:ilvl="0" w:tentative="0">
      <w:start w:val="1"/>
      <w:numFmt w:val="decimal"/>
      <w:suff w:val="nothing"/>
      <w:lvlText w:val="%1、"/>
      <w:lvlJc w:val="left"/>
    </w:lvl>
  </w:abstractNum>
  <w:abstractNum w:abstractNumId="1">
    <w:nsid w:val="0000000E"/>
    <w:multiLevelType w:val="multilevel"/>
    <w:tmpl w:val="0000000E"/>
    <w:lvl w:ilvl="0" w:tentative="0">
      <w:start w:val="1"/>
      <w:numFmt w:val="decimal"/>
      <w:lvlText w:val="%1."/>
      <w:lvlJc w:val="left"/>
      <w:pPr>
        <w:tabs>
          <w:tab w:val="left" w:pos="425"/>
        </w:tabs>
        <w:ind w:left="425" w:hanging="425"/>
      </w:pPr>
      <w:rPr>
        <w:rFonts w:hint="eastAsia"/>
        <w:b/>
        <w:i w:val="0"/>
      </w:rPr>
    </w:lvl>
    <w:lvl w:ilvl="1" w:tentative="0">
      <w:start w:val="1"/>
      <w:numFmt w:val="decimal"/>
      <w:lvlText w:val="%1.%2."/>
      <w:lvlJc w:val="left"/>
      <w:pPr>
        <w:tabs>
          <w:tab w:val="left" w:pos="170"/>
        </w:tabs>
        <w:ind w:left="170" w:hanging="170"/>
      </w:pPr>
      <w:rPr>
        <w:rFonts w:hint="eastAsia"/>
        <w:b/>
      </w:rPr>
    </w:lvl>
    <w:lvl w:ilvl="2" w:tentative="0">
      <w:start w:val="1"/>
      <w:numFmt w:val="decimal"/>
      <w:lvlText w:val="%1.%2.%3."/>
      <w:lvlJc w:val="left"/>
      <w:pPr>
        <w:tabs>
          <w:tab w:val="left" w:pos="340"/>
        </w:tabs>
        <w:ind w:left="340" w:hanging="170"/>
      </w:pPr>
      <w:rPr>
        <w:rFonts w:hint="eastAsia"/>
        <w:b w:val="0"/>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18"/>
    <w:multiLevelType w:val="multilevel"/>
    <w:tmpl w:val="00000018"/>
    <w:lvl w:ilvl="0" w:tentative="0">
      <w:start w:val="1"/>
      <w:numFmt w:val="decimal"/>
      <w:pStyle w:val="23"/>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EF7F3B6"/>
    <w:multiLevelType w:val="singleLevel"/>
    <w:tmpl w:val="5EF7F3B6"/>
    <w:lvl w:ilvl="0" w:tentative="0">
      <w:start w:val="1"/>
      <w:numFmt w:val="chineseCounting"/>
      <w:suff w:val="nothing"/>
      <w:lvlText w:val="%1、"/>
      <w:lvlJc w:val="left"/>
    </w:lvl>
  </w:abstractNum>
  <w:abstractNum w:abstractNumId="4">
    <w:nsid w:val="5F1F95F7"/>
    <w:multiLevelType w:val="singleLevel"/>
    <w:tmpl w:val="5F1F95F7"/>
    <w:lvl w:ilvl="0" w:tentative="0">
      <w:start w:val="6"/>
      <w:numFmt w:val="decimal"/>
      <w:suff w:val="nothing"/>
      <w:lvlText w:val="%1、"/>
      <w:lvlJc w:val="left"/>
    </w:lvl>
  </w:abstractNum>
  <w:abstractNum w:abstractNumId="5">
    <w:nsid w:val="60D19678"/>
    <w:multiLevelType w:val="singleLevel"/>
    <w:tmpl w:val="60D19678"/>
    <w:lvl w:ilvl="0" w:tentative="0">
      <w:start w:val="7"/>
      <w:numFmt w:val="chineseCounting"/>
      <w:suff w:val="nothing"/>
      <w:lvlText w:val="%1、"/>
      <w:lvlJc w:val="left"/>
    </w:lvl>
  </w:abstractNum>
  <w:abstractNum w:abstractNumId="6">
    <w:nsid w:val="60D1A4EB"/>
    <w:multiLevelType w:val="singleLevel"/>
    <w:tmpl w:val="60D1A4EB"/>
    <w:lvl w:ilvl="0" w:tentative="0">
      <w:start w:val="10"/>
      <w:numFmt w:val="decimal"/>
      <w:suff w:val="space"/>
      <w:lvlText w:val="%1."/>
      <w:lvlJc w:val="left"/>
    </w:lvl>
  </w:abstractNum>
  <w:abstractNum w:abstractNumId="7">
    <w:nsid w:val="65FBAD14"/>
    <w:multiLevelType w:val="singleLevel"/>
    <w:tmpl w:val="65FBAD14"/>
    <w:lvl w:ilvl="0" w:tentative="0">
      <w:start w:val="1"/>
      <w:numFmt w:val="decimal"/>
      <w:suff w:val="nothing"/>
      <w:lvlText w:val="%1、"/>
      <w:lvlJc w:val="left"/>
    </w:lvl>
  </w:abstractNum>
  <w:abstractNum w:abstractNumId="8">
    <w:nsid w:val="7CA50E5D"/>
    <w:multiLevelType w:val="singleLevel"/>
    <w:tmpl w:val="7CA50E5D"/>
    <w:lvl w:ilvl="0" w:tentative="0">
      <w:start w:val="1"/>
      <w:numFmt w:val="chineseCounting"/>
      <w:suff w:val="space"/>
      <w:lvlText w:val="第%1章"/>
      <w:lvlJc w:val="left"/>
      <w:rPr>
        <w:rFonts w:hint="eastAsia"/>
      </w:rPr>
    </w:lvl>
  </w:abstractNum>
  <w:num w:numId="1">
    <w:abstractNumId w:val="2"/>
  </w:num>
  <w:num w:numId="2">
    <w:abstractNumId w:val="8"/>
  </w:num>
  <w:num w:numId="3">
    <w:abstractNumId w:val="3"/>
  </w:num>
  <w:num w:numId="4">
    <w:abstractNumId w:val="4"/>
  </w:num>
  <w:num w:numId="5">
    <w:abstractNumId w:val="5"/>
  </w:num>
  <w:num w:numId="6">
    <w:abstractNumId w:val="7"/>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OGIzOTFmZTdmYjZjM2I3ZDE5ZjZiOWE5ODMyMzYifQ=="/>
  </w:docVars>
  <w:rsids>
    <w:rsidRoot w:val="307A1059"/>
    <w:rsid w:val="00160FB9"/>
    <w:rsid w:val="00226396"/>
    <w:rsid w:val="002E7FD0"/>
    <w:rsid w:val="003A1871"/>
    <w:rsid w:val="004D3EAC"/>
    <w:rsid w:val="005C6261"/>
    <w:rsid w:val="009C74A9"/>
    <w:rsid w:val="009E2EF5"/>
    <w:rsid w:val="00A47FF6"/>
    <w:rsid w:val="00C03347"/>
    <w:rsid w:val="00C15051"/>
    <w:rsid w:val="00C7769B"/>
    <w:rsid w:val="00CC2E7E"/>
    <w:rsid w:val="00CF4B51"/>
    <w:rsid w:val="00E67D65"/>
    <w:rsid w:val="00F72C0D"/>
    <w:rsid w:val="00FE4157"/>
    <w:rsid w:val="01163D3B"/>
    <w:rsid w:val="01572B9D"/>
    <w:rsid w:val="01847A14"/>
    <w:rsid w:val="01B35069"/>
    <w:rsid w:val="01E87E77"/>
    <w:rsid w:val="020A1D34"/>
    <w:rsid w:val="026437DC"/>
    <w:rsid w:val="03483A7B"/>
    <w:rsid w:val="038C30DD"/>
    <w:rsid w:val="03BB50FD"/>
    <w:rsid w:val="0417009E"/>
    <w:rsid w:val="04316334"/>
    <w:rsid w:val="044B5F52"/>
    <w:rsid w:val="047069D4"/>
    <w:rsid w:val="04AF049D"/>
    <w:rsid w:val="05547ED2"/>
    <w:rsid w:val="05913961"/>
    <w:rsid w:val="05D00DFD"/>
    <w:rsid w:val="05EF365B"/>
    <w:rsid w:val="06144C9F"/>
    <w:rsid w:val="06220215"/>
    <w:rsid w:val="06760FC5"/>
    <w:rsid w:val="06B1793D"/>
    <w:rsid w:val="06DA01E3"/>
    <w:rsid w:val="080B0C92"/>
    <w:rsid w:val="086A39A9"/>
    <w:rsid w:val="08962417"/>
    <w:rsid w:val="08E212D4"/>
    <w:rsid w:val="093C74AB"/>
    <w:rsid w:val="097A1D56"/>
    <w:rsid w:val="09A378C0"/>
    <w:rsid w:val="09B422C3"/>
    <w:rsid w:val="0A2458BE"/>
    <w:rsid w:val="0A7B3540"/>
    <w:rsid w:val="0BBF713F"/>
    <w:rsid w:val="0BC87925"/>
    <w:rsid w:val="0C101B72"/>
    <w:rsid w:val="0C1D0E4E"/>
    <w:rsid w:val="0C3022D0"/>
    <w:rsid w:val="0C3A24C0"/>
    <w:rsid w:val="0CAA0BCF"/>
    <w:rsid w:val="0CD555CA"/>
    <w:rsid w:val="0CD60532"/>
    <w:rsid w:val="0D236810"/>
    <w:rsid w:val="0D7B1F66"/>
    <w:rsid w:val="0DCC23B9"/>
    <w:rsid w:val="0DF8206F"/>
    <w:rsid w:val="0E0055A9"/>
    <w:rsid w:val="0E140BE9"/>
    <w:rsid w:val="0EF862D3"/>
    <w:rsid w:val="0F612441"/>
    <w:rsid w:val="0FC92493"/>
    <w:rsid w:val="0FE75EB4"/>
    <w:rsid w:val="0FE81546"/>
    <w:rsid w:val="10013E4B"/>
    <w:rsid w:val="100D5FA6"/>
    <w:rsid w:val="100E21F2"/>
    <w:rsid w:val="101740FB"/>
    <w:rsid w:val="105C1FA1"/>
    <w:rsid w:val="10B135E7"/>
    <w:rsid w:val="10D1400C"/>
    <w:rsid w:val="10F00345"/>
    <w:rsid w:val="1160692B"/>
    <w:rsid w:val="11FC36B5"/>
    <w:rsid w:val="122707DE"/>
    <w:rsid w:val="12962208"/>
    <w:rsid w:val="12AC68CE"/>
    <w:rsid w:val="12DC1C24"/>
    <w:rsid w:val="12EC036C"/>
    <w:rsid w:val="14052DCB"/>
    <w:rsid w:val="144B714D"/>
    <w:rsid w:val="144E0142"/>
    <w:rsid w:val="14B05C8F"/>
    <w:rsid w:val="14E571BE"/>
    <w:rsid w:val="15546BFF"/>
    <w:rsid w:val="169B4488"/>
    <w:rsid w:val="187D52D6"/>
    <w:rsid w:val="18BB5B39"/>
    <w:rsid w:val="18DC3D30"/>
    <w:rsid w:val="18FD724F"/>
    <w:rsid w:val="19655D42"/>
    <w:rsid w:val="19E82444"/>
    <w:rsid w:val="19EB3B5F"/>
    <w:rsid w:val="19F76574"/>
    <w:rsid w:val="1A2E6B71"/>
    <w:rsid w:val="1A3350C7"/>
    <w:rsid w:val="1AFD5DDC"/>
    <w:rsid w:val="1BDA178C"/>
    <w:rsid w:val="1BED15FE"/>
    <w:rsid w:val="1C042964"/>
    <w:rsid w:val="1C0D2960"/>
    <w:rsid w:val="1CA26F8A"/>
    <w:rsid w:val="1CF106B2"/>
    <w:rsid w:val="1D0E0D07"/>
    <w:rsid w:val="1D2F46F7"/>
    <w:rsid w:val="1D360D8D"/>
    <w:rsid w:val="1D6A1ABD"/>
    <w:rsid w:val="1D9E11ED"/>
    <w:rsid w:val="1E5F1BB7"/>
    <w:rsid w:val="1EC912EC"/>
    <w:rsid w:val="20245147"/>
    <w:rsid w:val="203950AD"/>
    <w:rsid w:val="20CA0CE7"/>
    <w:rsid w:val="21081CBF"/>
    <w:rsid w:val="210B3E4D"/>
    <w:rsid w:val="21143B8D"/>
    <w:rsid w:val="21317506"/>
    <w:rsid w:val="213D1117"/>
    <w:rsid w:val="22310F94"/>
    <w:rsid w:val="22C47DF2"/>
    <w:rsid w:val="22CD7543"/>
    <w:rsid w:val="23544897"/>
    <w:rsid w:val="239B6FF8"/>
    <w:rsid w:val="23D976AB"/>
    <w:rsid w:val="23E30330"/>
    <w:rsid w:val="23F5074B"/>
    <w:rsid w:val="24482C2F"/>
    <w:rsid w:val="2549146A"/>
    <w:rsid w:val="262B21E4"/>
    <w:rsid w:val="266C0DAA"/>
    <w:rsid w:val="267070AC"/>
    <w:rsid w:val="268019D8"/>
    <w:rsid w:val="268C6B2B"/>
    <w:rsid w:val="26BE429E"/>
    <w:rsid w:val="27437533"/>
    <w:rsid w:val="27912085"/>
    <w:rsid w:val="27B25814"/>
    <w:rsid w:val="27DE45AE"/>
    <w:rsid w:val="27DF3E05"/>
    <w:rsid w:val="280E1EC8"/>
    <w:rsid w:val="285F0754"/>
    <w:rsid w:val="28B43532"/>
    <w:rsid w:val="28D10183"/>
    <w:rsid w:val="28F0238C"/>
    <w:rsid w:val="295F2974"/>
    <w:rsid w:val="2963591C"/>
    <w:rsid w:val="29D33430"/>
    <w:rsid w:val="29EE01A8"/>
    <w:rsid w:val="2A557F75"/>
    <w:rsid w:val="2AFE23BA"/>
    <w:rsid w:val="2C1F1633"/>
    <w:rsid w:val="2C281AE1"/>
    <w:rsid w:val="2D0E2F46"/>
    <w:rsid w:val="2D55672F"/>
    <w:rsid w:val="2DCA6769"/>
    <w:rsid w:val="2E3F31A2"/>
    <w:rsid w:val="2E4819A7"/>
    <w:rsid w:val="2E722EF4"/>
    <w:rsid w:val="2EB752CB"/>
    <w:rsid w:val="2FB37838"/>
    <w:rsid w:val="30174D9B"/>
    <w:rsid w:val="307A1059"/>
    <w:rsid w:val="307F7F15"/>
    <w:rsid w:val="31030431"/>
    <w:rsid w:val="3106030E"/>
    <w:rsid w:val="31454CDB"/>
    <w:rsid w:val="319D36CB"/>
    <w:rsid w:val="320E605B"/>
    <w:rsid w:val="32274767"/>
    <w:rsid w:val="322A256F"/>
    <w:rsid w:val="32B53563"/>
    <w:rsid w:val="330412DF"/>
    <w:rsid w:val="3343564F"/>
    <w:rsid w:val="33451A87"/>
    <w:rsid w:val="33A87ECF"/>
    <w:rsid w:val="33C91CCE"/>
    <w:rsid w:val="33DE02AB"/>
    <w:rsid w:val="3415781A"/>
    <w:rsid w:val="348866A7"/>
    <w:rsid w:val="34B03E94"/>
    <w:rsid w:val="350D0E53"/>
    <w:rsid w:val="3552782C"/>
    <w:rsid w:val="358B5181"/>
    <w:rsid w:val="35C51963"/>
    <w:rsid w:val="35DD6708"/>
    <w:rsid w:val="35F90A81"/>
    <w:rsid w:val="36027D64"/>
    <w:rsid w:val="36582F89"/>
    <w:rsid w:val="366E47ED"/>
    <w:rsid w:val="36765E78"/>
    <w:rsid w:val="36AA44C1"/>
    <w:rsid w:val="36C45608"/>
    <w:rsid w:val="37193D2F"/>
    <w:rsid w:val="373339AE"/>
    <w:rsid w:val="37651CC7"/>
    <w:rsid w:val="37A55C98"/>
    <w:rsid w:val="37B8023B"/>
    <w:rsid w:val="37E107D5"/>
    <w:rsid w:val="38611052"/>
    <w:rsid w:val="38FD2E04"/>
    <w:rsid w:val="39176186"/>
    <w:rsid w:val="395C7E1C"/>
    <w:rsid w:val="39AC1791"/>
    <w:rsid w:val="3B063777"/>
    <w:rsid w:val="3B4C145C"/>
    <w:rsid w:val="3B9F2352"/>
    <w:rsid w:val="3C85124C"/>
    <w:rsid w:val="3CA44A98"/>
    <w:rsid w:val="3D7E5467"/>
    <w:rsid w:val="3D91567F"/>
    <w:rsid w:val="3DB1258A"/>
    <w:rsid w:val="3E1A3984"/>
    <w:rsid w:val="3E5227D7"/>
    <w:rsid w:val="3E7C642E"/>
    <w:rsid w:val="3EA44464"/>
    <w:rsid w:val="3EC323A3"/>
    <w:rsid w:val="3EE85A5F"/>
    <w:rsid w:val="3F625DB9"/>
    <w:rsid w:val="3F7276D3"/>
    <w:rsid w:val="406D67EB"/>
    <w:rsid w:val="407E385A"/>
    <w:rsid w:val="40851437"/>
    <w:rsid w:val="40A47461"/>
    <w:rsid w:val="40D337DD"/>
    <w:rsid w:val="41D22AB9"/>
    <w:rsid w:val="41E8746D"/>
    <w:rsid w:val="41F06E02"/>
    <w:rsid w:val="41F918B1"/>
    <w:rsid w:val="42003419"/>
    <w:rsid w:val="4212678A"/>
    <w:rsid w:val="421B1845"/>
    <w:rsid w:val="42F4576B"/>
    <w:rsid w:val="43531352"/>
    <w:rsid w:val="43627BDA"/>
    <w:rsid w:val="445621F0"/>
    <w:rsid w:val="447D0B00"/>
    <w:rsid w:val="4492577A"/>
    <w:rsid w:val="44EE0C0A"/>
    <w:rsid w:val="450535E5"/>
    <w:rsid w:val="454574F1"/>
    <w:rsid w:val="45484E2F"/>
    <w:rsid w:val="45F32A17"/>
    <w:rsid w:val="46160936"/>
    <w:rsid w:val="46561B8D"/>
    <w:rsid w:val="46F415E1"/>
    <w:rsid w:val="47FE755B"/>
    <w:rsid w:val="48252783"/>
    <w:rsid w:val="486B2D31"/>
    <w:rsid w:val="48F278B8"/>
    <w:rsid w:val="495742CD"/>
    <w:rsid w:val="499541C1"/>
    <w:rsid w:val="4A2944C3"/>
    <w:rsid w:val="4ABB6EF3"/>
    <w:rsid w:val="4ADE546B"/>
    <w:rsid w:val="4B28550F"/>
    <w:rsid w:val="4B313124"/>
    <w:rsid w:val="4B3C2AA0"/>
    <w:rsid w:val="4B691D1F"/>
    <w:rsid w:val="4BEA5FC9"/>
    <w:rsid w:val="4C1D2C17"/>
    <w:rsid w:val="4C732C22"/>
    <w:rsid w:val="4D6E69C1"/>
    <w:rsid w:val="4DBB6578"/>
    <w:rsid w:val="4DE377D6"/>
    <w:rsid w:val="4E282F1A"/>
    <w:rsid w:val="4E4A7CFB"/>
    <w:rsid w:val="4E4E458A"/>
    <w:rsid w:val="4EB50DB2"/>
    <w:rsid w:val="4ED66F27"/>
    <w:rsid w:val="4F2C5BB0"/>
    <w:rsid w:val="4FC86809"/>
    <w:rsid w:val="4FD0538B"/>
    <w:rsid w:val="508E5E39"/>
    <w:rsid w:val="50A10894"/>
    <w:rsid w:val="511A334E"/>
    <w:rsid w:val="512F6C0E"/>
    <w:rsid w:val="513D199E"/>
    <w:rsid w:val="51940FEC"/>
    <w:rsid w:val="51D952A7"/>
    <w:rsid w:val="51E960D5"/>
    <w:rsid w:val="521064A6"/>
    <w:rsid w:val="52116529"/>
    <w:rsid w:val="52370DA8"/>
    <w:rsid w:val="5262136F"/>
    <w:rsid w:val="52744BCA"/>
    <w:rsid w:val="52F515A8"/>
    <w:rsid w:val="533D08DC"/>
    <w:rsid w:val="53B82797"/>
    <w:rsid w:val="53BA4146"/>
    <w:rsid w:val="54311767"/>
    <w:rsid w:val="54596825"/>
    <w:rsid w:val="54DB0B96"/>
    <w:rsid w:val="54E928F2"/>
    <w:rsid w:val="55245FAC"/>
    <w:rsid w:val="553A1CE5"/>
    <w:rsid w:val="55936DD9"/>
    <w:rsid w:val="55940C45"/>
    <w:rsid w:val="55E3600C"/>
    <w:rsid w:val="569A2084"/>
    <w:rsid w:val="56E80676"/>
    <w:rsid w:val="57B01A81"/>
    <w:rsid w:val="57B24687"/>
    <w:rsid w:val="57BE7315"/>
    <w:rsid w:val="58710C50"/>
    <w:rsid w:val="58DB6380"/>
    <w:rsid w:val="58EC2B3B"/>
    <w:rsid w:val="591F133F"/>
    <w:rsid w:val="5A2F2D7B"/>
    <w:rsid w:val="5A390316"/>
    <w:rsid w:val="5A7E2C18"/>
    <w:rsid w:val="5ADA7895"/>
    <w:rsid w:val="5B2D6C94"/>
    <w:rsid w:val="5B33456D"/>
    <w:rsid w:val="5D1E505D"/>
    <w:rsid w:val="5E06223D"/>
    <w:rsid w:val="5E8E65F2"/>
    <w:rsid w:val="5E9228CE"/>
    <w:rsid w:val="5E972781"/>
    <w:rsid w:val="5FA16C56"/>
    <w:rsid w:val="5FCF2646"/>
    <w:rsid w:val="5FDC390A"/>
    <w:rsid w:val="5FEC6A22"/>
    <w:rsid w:val="602F1899"/>
    <w:rsid w:val="60BA4003"/>
    <w:rsid w:val="60BC2E02"/>
    <w:rsid w:val="60E81C1A"/>
    <w:rsid w:val="61F72FBD"/>
    <w:rsid w:val="626F7496"/>
    <w:rsid w:val="62EC076F"/>
    <w:rsid w:val="63A47188"/>
    <w:rsid w:val="63AC4BB7"/>
    <w:rsid w:val="642A1739"/>
    <w:rsid w:val="6484042A"/>
    <w:rsid w:val="655C3416"/>
    <w:rsid w:val="65C94D98"/>
    <w:rsid w:val="65C94EFA"/>
    <w:rsid w:val="664153FB"/>
    <w:rsid w:val="66881FEE"/>
    <w:rsid w:val="66C76BD3"/>
    <w:rsid w:val="66C9501D"/>
    <w:rsid w:val="674F5329"/>
    <w:rsid w:val="67C06B28"/>
    <w:rsid w:val="68214E38"/>
    <w:rsid w:val="682727E4"/>
    <w:rsid w:val="68667FD2"/>
    <w:rsid w:val="68687DA8"/>
    <w:rsid w:val="687B189E"/>
    <w:rsid w:val="68BC12C3"/>
    <w:rsid w:val="68DB2650"/>
    <w:rsid w:val="68E4335B"/>
    <w:rsid w:val="690606EE"/>
    <w:rsid w:val="691B1F02"/>
    <w:rsid w:val="6939048E"/>
    <w:rsid w:val="699C3C35"/>
    <w:rsid w:val="69C86498"/>
    <w:rsid w:val="6A864DCA"/>
    <w:rsid w:val="6AD2646C"/>
    <w:rsid w:val="6AF8730E"/>
    <w:rsid w:val="6AF876D8"/>
    <w:rsid w:val="6B0879D4"/>
    <w:rsid w:val="6BC9241C"/>
    <w:rsid w:val="6D4E4C7C"/>
    <w:rsid w:val="6DF45059"/>
    <w:rsid w:val="6E1203E0"/>
    <w:rsid w:val="6E3426EC"/>
    <w:rsid w:val="6EB60C04"/>
    <w:rsid w:val="6EC746EE"/>
    <w:rsid w:val="6EF7172C"/>
    <w:rsid w:val="6F370045"/>
    <w:rsid w:val="6F6C3E15"/>
    <w:rsid w:val="6F716D01"/>
    <w:rsid w:val="6FB531D5"/>
    <w:rsid w:val="70484720"/>
    <w:rsid w:val="70A12DCC"/>
    <w:rsid w:val="70B02E0D"/>
    <w:rsid w:val="70DD1386"/>
    <w:rsid w:val="718446F9"/>
    <w:rsid w:val="7243605B"/>
    <w:rsid w:val="729A0077"/>
    <w:rsid w:val="72AC4DFB"/>
    <w:rsid w:val="72F119F5"/>
    <w:rsid w:val="73421A21"/>
    <w:rsid w:val="7356737B"/>
    <w:rsid w:val="73A41274"/>
    <w:rsid w:val="747B1548"/>
    <w:rsid w:val="74AF26DD"/>
    <w:rsid w:val="74B01FA2"/>
    <w:rsid w:val="755A1776"/>
    <w:rsid w:val="75A80788"/>
    <w:rsid w:val="75B776E6"/>
    <w:rsid w:val="76091745"/>
    <w:rsid w:val="764B4D62"/>
    <w:rsid w:val="7664267B"/>
    <w:rsid w:val="76714327"/>
    <w:rsid w:val="76EB699D"/>
    <w:rsid w:val="76F01D4F"/>
    <w:rsid w:val="77B7592D"/>
    <w:rsid w:val="77F44824"/>
    <w:rsid w:val="79220259"/>
    <w:rsid w:val="79A93886"/>
    <w:rsid w:val="7A0E6C09"/>
    <w:rsid w:val="7A407ECD"/>
    <w:rsid w:val="7A892959"/>
    <w:rsid w:val="7A9A2DE8"/>
    <w:rsid w:val="7AB24C38"/>
    <w:rsid w:val="7B07011A"/>
    <w:rsid w:val="7B184121"/>
    <w:rsid w:val="7B4273DD"/>
    <w:rsid w:val="7B514A22"/>
    <w:rsid w:val="7B8945CF"/>
    <w:rsid w:val="7BBD4E51"/>
    <w:rsid w:val="7BFE37CC"/>
    <w:rsid w:val="7C7C4FEC"/>
    <w:rsid w:val="7CA82FF4"/>
    <w:rsid w:val="7CEA204A"/>
    <w:rsid w:val="7D1D6793"/>
    <w:rsid w:val="7DA46CDB"/>
    <w:rsid w:val="7DD51CE6"/>
    <w:rsid w:val="7EA152A5"/>
    <w:rsid w:val="7EA31263"/>
    <w:rsid w:val="7EA77C13"/>
    <w:rsid w:val="7F5A6ED1"/>
    <w:rsid w:val="7FCA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lang w:val="zh-CN"/>
    </w:rPr>
  </w:style>
  <w:style w:type="paragraph" w:styleId="7">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lang w:val="zh-CN"/>
    </w:rPr>
  </w:style>
  <w:style w:type="paragraph" w:styleId="8">
    <w:name w:val="heading 3"/>
    <w:basedOn w:val="1"/>
    <w:next w:val="1"/>
    <w:unhideWhenUsed/>
    <w:qFormat/>
    <w:uiPriority w:val="0"/>
    <w:pPr>
      <w:keepNext/>
      <w:keepLines/>
      <w:spacing w:before="260" w:after="260" w:line="416" w:lineRule="auto"/>
      <w:outlineLvl w:val="2"/>
    </w:pPr>
    <w:rPr>
      <w:rFonts w:ascii="Times New Roman" w:hAnsi="Times New Roman"/>
      <w:b/>
      <w:bCs/>
      <w:sz w:val="32"/>
      <w:szCs w:val="32"/>
      <w:lang w:val="zh-CN"/>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3">
    <w:name w:val="大标题"/>
    <w:basedOn w:val="1"/>
    <w:next w:val="4"/>
    <w:autoRedefine/>
    <w:qFormat/>
    <w:uiPriority w:val="0"/>
    <w:pPr>
      <w:jc w:val="center"/>
    </w:pPr>
    <w:rPr>
      <w:rFonts w:ascii="Arial" w:hAnsi="Arial"/>
      <w:b/>
      <w:sz w:val="28"/>
    </w:rPr>
  </w:style>
  <w:style w:type="paragraph" w:styleId="4">
    <w:name w:val="Body Text First Indent 2"/>
    <w:basedOn w:val="5"/>
    <w:next w:val="1"/>
    <w:autoRedefine/>
    <w:qFormat/>
    <w:uiPriority w:val="0"/>
    <w:pPr>
      <w:tabs>
        <w:tab w:val="left" w:pos="945"/>
        <w:tab w:val="left" w:pos="1155"/>
      </w:tabs>
      <w:ind w:firstLine="420" w:firstLineChars="200"/>
    </w:pPr>
    <w:rPr>
      <w:rFonts w:ascii="Times New Roman"/>
      <w:kern w:val="0"/>
      <w:szCs w:val="21"/>
    </w:rPr>
  </w:style>
  <w:style w:type="paragraph" w:styleId="5">
    <w:name w:val="Body Text Indent"/>
    <w:basedOn w:val="1"/>
    <w:autoRedefine/>
    <w:qFormat/>
    <w:uiPriority w:val="0"/>
    <w:pPr>
      <w:spacing w:after="120"/>
      <w:ind w:left="420" w:leftChars="200"/>
    </w:pPr>
  </w:style>
  <w:style w:type="paragraph" w:styleId="9">
    <w:name w:val="Body Text"/>
    <w:basedOn w:val="1"/>
    <w:next w:val="1"/>
    <w:autoRedefine/>
    <w:qFormat/>
    <w:uiPriority w:val="0"/>
    <w:pPr>
      <w:spacing w:after="120"/>
    </w:pPr>
  </w:style>
  <w:style w:type="paragraph" w:styleId="10">
    <w:name w:val="Plain Text"/>
    <w:basedOn w:val="1"/>
    <w:autoRedefine/>
    <w:qFormat/>
    <w:uiPriority w:val="0"/>
    <w:rPr>
      <w:rFonts w:ascii="宋体" w:hAnsi="Courier New" w:cs="Courier New"/>
      <w:szCs w:val="21"/>
    </w:rPr>
  </w:style>
  <w:style w:type="paragraph" w:styleId="11">
    <w:name w:val="Balloon Text"/>
    <w:basedOn w:val="1"/>
    <w:autoRedefine/>
    <w:qFormat/>
    <w:uiPriority w:val="0"/>
    <w:rPr>
      <w:rFonts w:ascii="Times New Roman" w:hAnsi="Times New Roman"/>
      <w:sz w:val="18"/>
      <w:szCs w:val="18"/>
    </w:rPr>
  </w:style>
  <w:style w:type="paragraph" w:styleId="12">
    <w:name w:val="footer"/>
    <w:basedOn w:val="1"/>
    <w:autoRedefine/>
    <w:qFormat/>
    <w:uiPriority w:val="0"/>
    <w:pPr>
      <w:tabs>
        <w:tab w:val="center" w:pos="4153"/>
        <w:tab w:val="right" w:pos="8306"/>
      </w:tabs>
      <w:snapToGrid w:val="0"/>
      <w:jc w:val="left"/>
    </w:pPr>
    <w:rPr>
      <w:rFonts w:ascii="Times New Roman" w:hAnsi="Times New Roman"/>
      <w:sz w:val="18"/>
      <w:szCs w:val="18"/>
    </w:rPr>
  </w:style>
  <w:style w:type="paragraph" w:styleId="13">
    <w:name w:val="header"/>
    <w:basedOn w:val="1"/>
    <w:link w:val="37"/>
    <w:autoRedefine/>
    <w:qFormat/>
    <w:uiPriority w:val="0"/>
    <w:pPr>
      <w:tabs>
        <w:tab w:val="center" w:pos="4153"/>
        <w:tab w:val="right" w:pos="8306"/>
      </w:tabs>
      <w:snapToGrid w:val="0"/>
      <w:jc w:val="center"/>
    </w:pPr>
    <w:rPr>
      <w:sz w:val="18"/>
      <w:szCs w:val="18"/>
    </w:rPr>
  </w:style>
  <w:style w:type="paragraph" w:styleId="14">
    <w:name w:val="Body Text 2"/>
    <w:basedOn w:val="1"/>
    <w:autoRedefine/>
    <w:qFormat/>
    <w:uiPriority w:val="0"/>
    <w:pPr>
      <w:spacing w:after="120" w:line="480" w:lineRule="auto"/>
    </w:pPr>
  </w:style>
  <w:style w:type="paragraph" w:styleId="15">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6">
    <w:name w:val="Body Text First Indent"/>
    <w:basedOn w:val="9"/>
    <w:next w:val="4"/>
    <w:autoRedefine/>
    <w:qFormat/>
    <w:uiPriority w:val="0"/>
    <w:pPr>
      <w:ind w:firstLine="420" w:firstLineChars="1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autoRedefine/>
    <w:qFormat/>
    <w:uiPriority w:val="0"/>
    <w:rPr>
      <w:color w:val="444444"/>
      <w:sz w:val="21"/>
      <w:szCs w:val="21"/>
      <w:u w:val="none"/>
    </w:rPr>
  </w:style>
  <w:style w:type="character" w:styleId="21">
    <w:name w:val="Hyperlink"/>
    <w:basedOn w:val="19"/>
    <w:autoRedefine/>
    <w:qFormat/>
    <w:uiPriority w:val="0"/>
    <w:rPr>
      <w:color w:val="0000FF"/>
      <w:u w:val="single"/>
    </w:rPr>
  </w:style>
  <w:style w:type="paragraph" w:customStyle="1" w:styleId="22">
    <w:name w:val="*正文"/>
    <w:basedOn w:val="1"/>
    <w:autoRedefine/>
    <w:qFormat/>
    <w:uiPriority w:val="0"/>
    <w:pPr>
      <w:keepNext/>
      <w:keepLines/>
      <w:spacing w:line="360" w:lineRule="auto"/>
      <w:ind w:firstLine="200" w:firstLineChars="200"/>
    </w:pPr>
    <w:rPr>
      <w:rFonts w:ascii="宋体" w:hAnsi="宋体"/>
    </w:rPr>
  </w:style>
  <w:style w:type="paragraph" w:customStyle="1" w:styleId="23">
    <w:name w:val="标题3-1"/>
    <w:basedOn w:val="1"/>
    <w:autoRedefine/>
    <w:qFormat/>
    <w:uiPriority w:val="0"/>
    <w:pPr>
      <w:keepNext/>
      <w:keepLines/>
      <w:numPr>
        <w:ilvl w:val="0"/>
        <w:numId w:val="1"/>
      </w:numPr>
      <w:tabs>
        <w:tab w:val="left" w:pos="425"/>
      </w:tabs>
      <w:spacing w:before="260" w:after="260" w:line="413" w:lineRule="auto"/>
      <w:outlineLvl w:val="2"/>
    </w:pPr>
    <w:rPr>
      <w:rFonts w:ascii="Times New Roman" w:hAnsi="Times New Roman"/>
      <w:b/>
      <w:sz w:val="24"/>
      <w:szCs w:val="20"/>
    </w:rPr>
  </w:style>
  <w:style w:type="paragraph" w:customStyle="1" w:styleId="24">
    <w:name w:val="正文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标题 31"/>
    <w:basedOn w:val="26"/>
    <w:next w:val="26"/>
    <w:autoRedefine/>
    <w:qFormat/>
    <w:uiPriority w:val="0"/>
    <w:pPr>
      <w:keepNext/>
      <w:keepLines/>
      <w:spacing w:line="360" w:lineRule="auto"/>
      <w:outlineLvl w:val="2"/>
    </w:pPr>
    <w:rPr>
      <w:b/>
      <w:bCs/>
      <w:sz w:val="24"/>
      <w:szCs w:val="32"/>
    </w:rPr>
  </w:style>
  <w:style w:type="paragraph" w:customStyle="1" w:styleId="26">
    <w:name w:val="正文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文本块 New"/>
    <w:basedOn w:val="1"/>
    <w:autoRedefine/>
    <w:qFormat/>
    <w:uiPriority w:val="0"/>
    <w:pPr>
      <w:spacing w:line="240" w:lineRule="atLeast"/>
      <w:ind w:left="360" w:right="100" w:rightChars="100" w:firstLine="678" w:firstLineChars="212"/>
    </w:pPr>
    <w:rPr>
      <w:rFonts w:ascii="Times New Roman" w:hAnsi="Times New Roman"/>
      <w:sz w:val="32"/>
      <w:szCs w:val="20"/>
    </w:rPr>
  </w:style>
  <w:style w:type="paragraph" w:customStyle="1" w:styleId="28">
    <w:name w:val="标题 2 New"/>
    <w:basedOn w:val="24"/>
    <w:next w:val="24"/>
    <w:autoRedefine/>
    <w:qFormat/>
    <w:uiPriority w:val="0"/>
    <w:pPr>
      <w:keepNext/>
      <w:keepLines/>
      <w:tabs>
        <w:tab w:val="left" w:pos="425"/>
      </w:tabs>
      <w:spacing w:before="260" w:after="260" w:line="413" w:lineRule="auto"/>
      <w:ind w:left="425" w:hanging="425"/>
      <w:outlineLvl w:val="1"/>
    </w:pPr>
    <w:rPr>
      <w:rFonts w:ascii="Arial" w:hAnsi="Arial" w:eastAsia="黑体"/>
      <w:b/>
      <w:sz w:val="32"/>
    </w:rPr>
  </w:style>
  <w:style w:type="paragraph" w:customStyle="1" w:styleId="29">
    <w:name w:val="样式 标题 2 + Times New Roman 四号 非加粗 段前: 5 磅 段后: 0 磅 行距: 固定值 20..."/>
    <w:basedOn w:val="7"/>
    <w:autoRedefine/>
    <w:qFormat/>
    <w:uiPriority w:val="0"/>
    <w:pPr>
      <w:spacing w:before="100" w:after="0" w:line="400" w:lineRule="exact"/>
    </w:pPr>
    <w:rPr>
      <w:rFonts w:ascii="Times New Roman" w:hAnsi="Times New Roman" w:cs="宋体"/>
      <w:b w:val="0"/>
      <w:bCs w:val="0"/>
      <w:sz w:val="28"/>
      <w:szCs w:val="20"/>
      <w:lang w:val="en-US"/>
    </w:rPr>
  </w:style>
  <w:style w:type="paragraph" w:customStyle="1" w:styleId="30">
    <w:name w:val="样式 标题 3 + (中文) 黑体 小四 非加粗 段前: 7.8 磅 段后: 0 磅 行距: 固定值 20 磅"/>
    <w:basedOn w:val="8"/>
    <w:next w:val="11"/>
    <w:autoRedefine/>
    <w:qFormat/>
    <w:uiPriority w:val="0"/>
    <w:pPr>
      <w:spacing w:before="0" w:after="0" w:line="400" w:lineRule="exact"/>
    </w:pPr>
    <w:rPr>
      <w:rFonts w:eastAsia="黑体" w:cs="宋体"/>
      <w:b w:val="0"/>
      <w:bCs w:val="0"/>
      <w:sz w:val="24"/>
      <w:szCs w:val="20"/>
      <w:lang w:val="en-US"/>
    </w:rPr>
  </w:style>
  <w:style w:type="paragraph" w:customStyle="1" w:styleId="31">
    <w:name w:val="Table Paragraph"/>
    <w:basedOn w:val="1"/>
    <w:autoRedefine/>
    <w:qFormat/>
    <w:uiPriority w:val="1"/>
    <w:pPr>
      <w:autoSpaceDE w:val="0"/>
      <w:autoSpaceDN w:val="0"/>
      <w:jc w:val="left"/>
    </w:pPr>
    <w:rPr>
      <w:rFonts w:ascii="宋体" w:hAnsi="宋体" w:cs="宋体"/>
      <w:kern w:val="0"/>
      <w:sz w:val="22"/>
      <w:lang w:val="zh-CN" w:bidi="zh-CN"/>
    </w:rPr>
  </w:style>
  <w:style w:type="character" w:customStyle="1" w:styleId="32">
    <w:name w:val="hover18"/>
    <w:basedOn w:val="19"/>
    <w:autoRedefine/>
    <w:qFormat/>
    <w:uiPriority w:val="0"/>
  </w:style>
  <w:style w:type="character" w:customStyle="1" w:styleId="33">
    <w:name w:val="hover14"/>
    <w:basedOn w:val="19"/>
    <w:autoRedefine/>
    <w:qFormat/>
    <w:uiPriority w:val="0"/>
  </w:style>
  <w:style w:type="character" w:customStyle="1" w:styleId="34">
    <w:name w:val="hover15"/>
    <w:basedOn w:val="19"/>
    <w:autoRedefine/>
    <w:qFormat/>
    <w:uiPriority w:val="0"/>
  </w:style>
  <w:style w:type="character" w:customStyle="1" w:styleId="35">
    <w:name w:val="hover17"/>
    <w:basedOn w:val="19"/>
    <w:autoRedefine/>
    <w:qFormat/>
    <w:uiPriority w:val="0"/>
  </w:style>
  <w:style w:type="character" w:customStyle="1" w:styleId="36">
    <w:name w:val="hover16"/>
    <w:basedOn w:val="19"/>
    <w:autoRedefine/>
    <w:qFormat/>
    <w:uiPriority w:val="0"/>
  </w:style>
  <w:style w:type="character" w:customStyle="1" w:styleId="37">
    <w:name w:val="页眉 字符"/>
    <w:basedOn w:val="19"/>
    <w:link w:val="13"/>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63</Pages>
  <Words>4815</Words>
  <Characters>27449</Characters>
  <Lines>228</Lines>
  <Paragraphs>64</Paragraphs>
  <TotalTime>111</TotalTime>
  <ScaleCrop>false</ScaleCrop>
  <LinksUpToDate>false</LinksUpToDate>
  <CharactersWithSpaces>32200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2021-06-18T02:11:00Z</dcterms:created>
  <dc:creator>国泰信华工程咨询有限公司:胡延芳</dc:creator>
  <cp:lastModifiedBy>yang。。。！</cp:lastModifiedBy>
  <cp:lastPrinted>2021-06-22T08:57:00Z</cp:lastPrinted>
  <dcterms:modified xsi:type="dcterms:W3CDTF">2024-04-02T06:28:25Z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9E998C1F748B450BA447FAA3BB543889</vt:lpwstr>
  </property>
</Properties>
</file>