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55FF6">
      <w:pPr>
        <w:keepNext w:val="0"/>
        <w:keepLines w:val="0"/>
        <w:pageBreakBefore w:val="0"/>
        <w:widowControl w:val="0"/>
        <w:shd w:val="clear" w:color="auto" w:fill="auto"/>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第三章 评标办法</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3.2 详细评审</w:t>
      </w:r>
    </w:p>
    <w:tbl>
      <w:tblPr>
        <w:tblStyle w:val="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77"/>
        <w:gridCol w:w="6725"/>
      </w:tblGrid>
      <w:tr w14:paraId="6D7E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9403" w:type="dxa"/>
            <w:gridSpan w:val="3"/>
            <w:noWrap w:val="0"/>
            <w:vAlign w:val="center"/>
          </w:tcPr>
          <w:p w14:paraId="516DD629">
            <w:pPr>
              <w:keepNext w:val="0"/>
              <w:keepLines w:val="0"/>
              <w:pageBreakBefore w:val="0"/>
              <w:widowControl w:val="0"/>
              <w:shd w:val="clear" w:color="auto" w:fill="auto"/>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评分因素与评分标准</w:t>
            </w:r>
          </w:p>
        </w:tc>
      </w:tr>
      <w:tr w14:paraId="4AC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01" w:type="dxa"/>
            <w:noWrap w:val="0"/>
            <w:vAlign w:val="center"/>
          </w:tcPr>
          <w:p w14:paraId="4FF3D997">
            <w:pPr>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w:t>
            </w:r>
          </w:p>
        </w:tc>
        <w:tc>
          <w:tcPr>
            <w:tcW w:w="1577" w:type="dxa"/>
            <w:noWrap w:val="0"/>
            <w:vAlign w:val="center"/>
          </w:tcPr>
          <w:p w14:paraId="434ADC98">
            <w:pPr>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评分因素及分值</w:t>
            </w:r>
          </w:p>
        </w:tc>
        <w:tc>
          <w:tcPr>
            <w:tcW w:w="6725" w:type="dxa"/>
            <w:noWrap w:val="0"/>
            <w:vAlign w:val="center"/>
          </w:tcPr>
          <w:p w14:paraId="2B9849C4">
            <w:pPr>
              <w:shd w:val="clear" w:color="auto" w:fill="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2B0E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1" w:type="dxa"/>
            <w:noWrap w:val="0"/>
            <w:vAlign w:val="center"/>
          </w:tcPr>
          <w:p w14:paraId="68CB1DA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投标报价20</w:t>
            </w:r>
            <w:r>
              <w:rPr>
                <w:rFonts w:hint="eastAsia" w:ascii="宋体" w:hAnsi="宋体" w:eastAsia="宋体" w:cs="宋体"/>
                <w:color w:val="auto"/>
                <w:sz w:val="21"/>
                <w:szCs w:val="21"/>
                <w:highlight w:val="none"/>
              </w:rPr>
              <w:t>分</w:t>
            </w:r>
          </w:p>
        </w:tc>
        <w:tc>
          <w:tcPr>
            <w:tcW w:w="1577" w:type="dxa"/>
            <w:noWrap w:val="0"/>
            <w:vAlign w:val="center"/>
          </w:tcPr>
          <w:p w14:paraId="74E84EF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w:t>
            </w:r>
          </w:p>
          <w:p w14:paraId="4ABAE49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725" w:type="dxa"/>
            <w:noWrap w:val="0"/>
            <w:vAlign w:val="center"/>
          </w:tcPr>
          <w:p w14:paraId="39D9590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统一采用低价优先法计算，即满足招标文件要求且投标价格最低的投标报价为评标基准价，其价格分为满分。其他供应商的价格分统一按照下列公式计算：投标报价得分=（评标基准价/投标报价）×20</w:t>
            </w:r>
          </w:p>
          <w:p w14:paraId="09DEA6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注：1.投标报价得分四舍五入至小数点后两位。</w:t>
            </w:r>
          </w:p>
          <w:p w14:paraId="3DD62BC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根据《政府采购促进中小企业发展管理办法》(财库[2020]46号)文、《关于进一步加大政府采购支持中小企业力度的通知》（财库[2022]19号]）和《开封市财政局文件》（汴财购[2022]3号）文的规定，对符合规定的小微企业报价给予20%的扣除，用扣除后的价格参与评审，小微企业必须提供《中小企业声明函》，否则评审时不予认可。（监狱、残疾人福利性企业视同小微企业，价格扣除优惠只享受一次，不得重复享受。）   </w:t>
            </w:r>
          </w:p>
        </w:tc>
      </w:tr>
      <w:tr w14:paraId="54E9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restart"/>
            <w:noWrap w:val="0"/>
            <w:vAlign w:val="center"/>
          </w:tcPr>
          <w:p w14:paraId="28EFFDE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技术部分60分</w:t>
            </w:r>
          </w:p>
        </w:tc>
        <w:tc>
          <w:tcPr>
            <w:tcW w:w="1577" w:type="dxa"/>
            <w:noWrap w:val="0"/>
            <w:vAlign w:val="center"/>
          </w:tcPr>
          <w:p w14:paraId="5061494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走航监测服务方案</w:t>
            </w:r>
          </w:p>
          <w:p w14:paraId="15355E2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725" w:type="dxa"/>
            <w:noWrap w:val="0"/>
            <w:vAlign w:val="center"/>
          </w:tcPr>
          <w:p w14:paraId="6246E8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制定的臭氧及VOCs特征污染物走航监测服务进行综合评分，走航路线设计、走航时间规划、走航数据分析、保障措施及应对措施，内容非常全面、科学合理、保障非常完善得10分，内容比较全面、科学合理、保障完善得7分，内容基本全面、科学合理、保障完善得4分，内容一般全面、科学合理得1分，未提供的得0分。</w:t>
            </w:r>
          </w:p>
        </w:tc>
      </w:tr>
      <w:tr w14:paraId="5B7B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14B5CF6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77" w:type="dxa"/>
            <w:noWrap w:val="0"/>
            <w:vAlign w:val="center"/>
          </w:tcPr>
          <w:p w14:paraId="64B0A61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管控服务方案</w:t>
            </w:r>
          </w:p>
          <w:p w14:paraId="0F95B81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725" w:type="dxa"/>
            <w:noWrap w:val="0"/>
            <w:vAlign w:val="center"/>
          </w:tcPr>
          <w:p w14:paraId="4A07CEF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制定的管控服务方案进行综合评分，管控服务路线、服务流程、服务内容、技术服务能力，内容非常全面、科学合理、保障非常完善得10分，内容比较全面、科学合理、保障完善得7分，内容基本全面、科学合理、保障完善得4分，内容一般全面、科学合理得1分，未提供的得0分。</w:t>
            </w:r>
          </w:p>
        </w:tc>
      </w:tr>
      <w:tr w14:paraId="5D4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71B9CA3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77" w:type="dxa"/>
            <w:noWrap w:val="0"/>
            <w:vAlign w:val="center"/>
          </w:tcPr>
          <w:p w14:paraId="1301C5B0">
            <w:pPr>
              <w:pStyle w:val="10"/>
              <w:jc w:val="center"/>
              <w:rPr>
                <w:rFonts w:hint="eastAsia"/>
                <w:color w:val="auto"/>
                <w:highlight w:val="none"/>
              </w:rPr>
            </w:pPr>
            <w:r>
              <w:rPr>
                <w:rFonts w:hint="eastAsia" w:ascii="宋体" w:hAnsi="宋体" w:eastAsia="宋体" w:cs="宋体"/>
                <w:color w:val="auto"/>
                <w:sz w:val="21"/>
                <w:szCs w:val="21"/>
                <w:highlight w:val="none"/>
              </w:rPr>
              <w:t>数据研判分析报告编制计划</w:t>
            </w:r>
          </w:p>
          <w:p w14:paraId="35DF28BA">
            <w:pPr>
              <w:pStyle w:val="10"/>
              <w:jc w:val="center"/>
              <w:rPr>
                <w:rFonts w:hint="eastAsia" w:ascii="宋体" w:hAnsi="宋体" w:eastAsia="宋体" w:cs="宋体"/>
                <w:color w:val="auto"/>
                <w:sz w:val="21"/>
                <w:szCs w:val="21"/>
                <w:highlight w:val="none"/>
                <w:lang w:val="en-US" w:eastAsia="zh-CN"/>
              </w:rPr>
            </w:pP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6725" w:type="dxa"/>
            <w:noWrap w:val="0"/>
            <w:vAlign w:val="center"/>
          </w:tcPr>
          <w:p w14:paraId="3E690220">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根据投标人</w:t>
            </w:r>
            <w:r>
              <w:rPr>
                <w:rFonts w:hint="eastAsia" w:ascii="宋体" w:hAnsi="宋体" w:eastAsia="宋体" w:cs="宋体"/>
                <w:color w:val="auto"/>
                <w:sz w:val="21"/>
                <w:szCs w:val="21"/>
                <w:highlight w:val="none"/>
              </w:rPr>
              <w:t>提供的数据研判分析报告编制计划进行评价，报告编制方案是否详实合理可行进行综合评分。</w:t>
            </w:r>
          </w:p>
          <w:p w14:paraId="36BC291E">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的报告编制方案内容详实，考虑周全，方案科学、合理，具有很好的针对性、适用性、可操作性和可扩展性</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w:t>
            </w:r>
          </w:p>
          <w:p w14:paraId="402572A3">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的报告编制方案内容完整，基本考虑周全，方案基本科学、合理、具有较好的针对性、适用性、可操作性和可扩展性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得7分；</w:t>
            </w:r>
          </w:p>
          <w:p w14:paraId="6B4A4224">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的报告编制方案内容基本完整，方案在科学、合理性方面一般，针对性、适用性、可操作性和扩展性不强的得4分；</w:t>
            </w:r>
          </w:p>
          <w:p w14:paraId="2AC77B3E">
            <w:pPr>
              <w:pStyle w:val="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无此项内容不得分。</w:t>
            </w:r>
          </w:p>
        </w:tc>
      </w:tr>
      <w:tr w14:paraId="1826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5FB7B1F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77" w:type="dxa"/>
            <w:noWrap w:val="0"/>
            <w:vAlign w:val="center"/>
          </w:tcPr>
          <w:p w14:paraId="07F19374">
            <w:pPr>
              <w:pStyle w:val="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大气污染防治机制建立健全计划</w:t>
            </w:r>
          </w:p>
          <w:p w14:paraId="1548C09C">
            <w:pPr>
              <w:pStyle w:val="10"/>
              <w:jc w:val="center"/>
              <w:rPr>
                <w:rFonts w:hint="eastAsia" w:ascii="宋体" w:hAnsi="宋体" w:eastAsia="宋体" w:cs="宋体"/>
                <w:color w:val="auto"/>
                <w:sz w:val="21"/>
                <w:szCs w:val="21"/>
                <w:highlight w:val="none"/>
                <w:lang w:val="en-US" w:eastAsia="zh-CN"/>
              </w:rPr>
            </w:pPr>
            <w:r>
              <w:rPr>
                <w:rFonts w:hint="eastAsia"/>
                <w:color w:val="auto"/>
                <w:highlight w:val="none"/>
              </w:rPr>
              <w:t>（10分）</w:t>
            </w:r>
          </w:p>
        </w:tc>
        <w:tc>
          <w:tcPr>
            <w:tcW w:w="6725" w:type="dxa"/>
            <w:noWrap w:val="0"/>
            <w:vAlign w:val="center"/>
          </w:tcPr>
          <w:p w14:paraId="338F2705">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根据投标人</w:t>
            </w:r>
            <w:r>
              <w:rPr>
                <w:rFonts w:hint="eastAsia" w:ascii="宋体" w:hAnsi="宋体" w:eastAsia="宋体" w:cs="宋体"/>
                <w:color w:val="auto"/>
                <w:sz w:val="21"/>
                <w:szCs w:val="21"/>
                <w:highlight w:val="none"/>
              </w:rPr>
              <w:t>提供的数据研判分析报告编制计划进行评价，报告编制方案是否详实合理可行进行综合评分。</w:t>
            </w:r>
          </w:p>
          <w:p w14:paraId="40C48098">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的报告编制方案内容详实，考虑周全，方案科学、合理，具有很好的针对性、适用性、可操作性和可扩展性</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w:t>
            </w:r>
          </w:p>
          <w:p w14:paraId="09537A25">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的报告编制方案内容完整，基本考虑周全，方案基本科学、合理、具有较好的针对性、适用性、可操作性和可扩展性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得7分；</w:t>
            </w:r>
          </w:p>
          <w:p w14:paraId="4F877957">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的报告编制方案内容基本完整，方案在科学、合理性方面一般，针对性、适用性、可操作性和扩展性不强的得4分；</w:t>
            </w:r>
          </w:p>
          <w:p w14:paraId="7E590CA9">
            <w:pPr>
              <w:pStyle w:val="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无此项内容不得分。</w:t>
            </w:r>
          </w:p>
        </w:tc>
      </w:tr>
      <w:tr w14:paraId="490C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4FB2B28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77" w:type="dxa"/>
            <w:noWrap w:val="0"/>
            <w:vAlign w:val="center"/>
          </w:tcPr>
          <w:p w14:paraId="5EA12619">
            <w:pPr>
              <w:pStyle w:val="10"/>
              <w:jc w:val="center"/>
              <w:rPr>
                <w:rFonts w:hint="eastAsia"/>
                <w:color w:val="auto"/>
                <w:highlight w:val="none"/>
              </w:rPr>
            </w:pPr>
            <w:r>
              <w:rPr>
                <w:rFonts w:hint="eastAsia"/>
                <w:color w:val="auto"/>
                <w:highlight w:val="none"/>
              </w:rPr>
              <w:t>重污染天气预警管控</w:t>
            </w:r>
          </w:p>
          <w:p w14:paraId="7B136342">
            <w:pPr>
              <w:pStyle w:val="10"/>
              <w:jc w:val="center"/>
              <w:rPr>
                <w:rFonts w:hint="eastAsia" w:ascii="宋体" w:hAnsi="宋体" w:eastAsia="宋体" w:cs="宋体"/>
                <w:color w:val="auto"/>
                <w:sz w:val="21"/>
                <w:szCs w:val="21"/>
                <w:highlight w:val="none"/>
                <w:lang w:val="en-US" w:eastAsia="zh-CN"/>
              </w:rPr>
            </w:pPr>
            <w:r>
              <w:rPr>
                <w:rFonts w:hint="eastAsia"/>
                <w:color w:val="auto"/>
                <w:highlight w:val="none"/>
              </w:rPr>
              <w:t>（1</w:t>
            </w:r>
            <w:r>
              <w:rPr>
                <w:rFonts w:hint="eastAsia"/>
                <w:color w:val="auto"/>
                <w:highlight w:val="none"/>
                <w:lang w:val="en-US" w:eastAsia="zh-CN"/>
              </w:rPr>
              <w:t>0</w:t>
            </w:r>
            <w:r>
              <w:rPr>
                <w:rFonts w:hint="eastAsia"/>
                <w:color w:val="auto"/>
                <w:highlight w:val="none"/>
              </w:rPr>
              <w:t>分）</w:t>
            </w:r>
          </w:p>
        </w:tc>
        <w:tc>
          <w:tcPr>
            <w:tcW w:w="6725" w:type="dxa"/>
            <w:noWrap w:val="0"/>
            <w:vAlign w:val="center"/>
          </w:tcPr>
          <w:p w14:paraId="0437B008">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根据投标人</w:t>
            </w:r>
            <w:r>
              <w:rPr>
                <w:rFonts w:hint="eastAsia" w:ascii="宋体" w:hAnsi="宋体" w:eastAsia="宋体" w:cs="宋体"/>
                <w:color w:val="auto"/>
                <w:sz w:val="21"/>
                <w:szCs w:val="21"/>
                <w:highlight w:val="none"/>
              </w:rPr>
              <w:t>提供的重污染天气预警管控进行评价，重污染天气预警管控方案是否详实合理可行进行综合评分。</w:t>
            </w:r>
          </w:p>
          <w:p w14:paraId="6E3E3CFD">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的方案内容详实，考虑周全，方案科学、合理，具有很好的针对性、适用性、可操作性和可扩展性</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w:t>
            </w:r>
          </w:p>
          <w:p w14:paraId="388AEFDB">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的方案内容完整，基本考虑周全，方案基本科学、合理、具有较好的针对性、适用性、可操作性和可扩展性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得7分；</w:t>
            </w:r>
          </w:p>
          <w:p w14:paraId="39811964">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的方案内容基本完整，方案在科学、合理性方面一般，针对性、适用性、可操作性和扩展性不强的得4分；</w:t>
            </w:r>
          </w:p>
          <w:p w14:paraId="0A9C8613">
            <w:pPr>
              <w:pStyle w:val="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无此项内容不得分。</w:t>
            </w:r>
          </w:p>
        </w:tc>
      </w:tr>
      <w:tr w14:paraId="0D2D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14:paraId="3024E1E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77" w:type="dxa"/>
            <w:noWrap w:val="0"/>
            <w:vAlign w:val="center"/>
          </w:tcPr>
          <w:p w14:paraId="638C7770">
            <w:pPr>
              <w:pStyle w:val="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项目实施方案</w:t>
            </w:r>
            <w:r>
              <w:rPr>
                <w:rFonts w:hint="eastAsia"/>
                <w:color w:val="auto"/>
                <w:highlight w:val="none"/>
              </w:rPr>
              <w:t>（1</w:t>
            </w:r>
            <w:r>
              <w:rPr>
                <w:rFonts w:hint="eastAsia"/>
                <w:color w:val="auto"/>
                <w:highlight w:val="none"/>
                <w:lang w:val="en-US" w:eastAsia="zh-CN"/>
              </w:rPr>
              <w:t>0</w:t>
            </w:r>
            <w:r>
              <w:rPr>
                <w:rFonts w:hint="eastAsia"/>
                <w:color w:val="auto"/>
                <w:highlight w:val="none"/>
              </w:rPr>
              <w:t>分）</w:t>
            </w:r>
          </w:p>
        </w:tc>
        <w:tc>
          <w:tcPr>
            <w:tcW w:w="6725" w:type="dxa"/>
            <w:noWrap w:val="0"/>
            <w:vAlign w:val="center"/>
          </w:tcPr>
          <w:p w14:paraId="0BB6B2BC">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根据投标人</w:t>
            </w:r>
            <w:r>
              <w:rPr>
                <w:rFonts w:hint="eastAsia" w:ascii="宋体" w:hAnsi="宋体" w:eastAsia="宋体" w:cs="宋体"/>
                <w:color w:val="auto"/>
                <w:sz w:val="21"/>
                <w:szCs w:val="21"/>
                <w:highlight w:val="none"/>
              </w:rPr>
              <w:t>提供的项目实施方案进行评价，项目实施方案是否详实合理可行进行综合评分。</w:t>
            </w:r>
          </w:p>
          <w:p w14:paraId="2E941C9F">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的方案内容详实，考虑周全，方案科学、合理，具有很好的针对性、适用性、可操作性和可扩展性</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w:t>
            </w:r>
          </w:p>
          <w:p w14:paraId="379730A1">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的方案内容完整，基本考虑周全，方案基本科学、合理、具有较好的针对性、适用性、可操作性和可扩展性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348789E0">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的方案内容基本完整，方案在科学、合理性方面一般，针对性、适用性、可操作性和扩展性不强的得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1DBC20C">
            <w:pPr>
              <w:pStyle w:val="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无此项内容不得分。</w:t>
            </w:r>
          </w:p>
        </w:tc>
      </w:tr>
      <w:tr w14:paraId="6085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01" w:type="dxa"/>
            <w:vMerge w:val="restart"/>
            <w:noWrap w:val="0"/>
            <w:vAlign w:val="center"/>
          </w:tcPr>
          <w:p w14:paraId="4AF31D6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5FE2B25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p>
        </w:tc>
        <w:tc>
          <w:tcPr>
            <w:tcW w:w="1577" w:type="dxa"/>
            <w:noWrap w:val="0"/>
            <w:vAlign w:val="center"/>
          </w:tcPr>
          <w:p w14:paraId="7CFF69E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p w14:paraId="61FA67D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725" w:type="dxa"/>
            <w:noWrap w:val="0"/>
            <w:vAlign w:val="center"/>
          </w:tcPr>
          <w:p w14:paraId="61E2FC8C">
            <w:pPr>
              <w:numPr>
                <w:ilvl w:val="0"/>
                <w:numId w:val="0"/>
              </w:num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投标人根据本项目实际情况，从多维度、多方面进行合理化承诺，承诺合理、完善的得5分；比较合理、比较完善的得3分；基本完善的得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分；缺项不得分。</w:t>
            </w:r>
          </w:p>
          <w:p w14:paraId="59BB08D4">
            <w:pPr>
              <w:numPr>
                <w:ilvl w:val="0"/>
                <w:numId w:val="0"/>
              </w:numPr>
              <w:shd w:val="clear" w:color="auto" w:fill="auto"/>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其他实质性的优惠条件，合理完善的得5分；比较合理、完善的得3分；基本完善的得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分；缺项不得分。</w:t>
            </w:r>
          </w:p>
          <w:p w14:paraId="6A4C10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注：根据项目实际情况和需求，提供切实可行的服务和承诺。</w:t>
            </w:r>
          </w:p>
        </w:tc>
      </w:tr>
      <w:tr w14:paraId="1097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01" w:type="dxa"/>
            <w:vMerge w:val="continue"/>
            <w:noWrap w:val="0"/>
            <w:vAlign w:val="center"/>
          </w:tcPr>
          <w:p w14:paraId="5445EE9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577" w:type="dxa"/>
            <w:noWrap w:val="0"/>
            <w:vAlign w:val="center"/>
          </w:tcPr>
          <w:p w14:paraId="37765C20">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p w14:paraId="5BC527C1">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725" w:type="dxa"/>
            <w:noWrap w:val="0"/>
            <w:vAlign w:val="center"/>
          </w:tcPr>
          <w:p w14:paraId="668E42FA">
            <w:pPr>
              <w:shd w:val="clear" w:color="auto" w:fill="auto"/>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年1月1日以来类似项目业绩，每提供一项得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分。（以合同签订时间为准，提供合同扫描件）</w:t>
            </w:r>
          </w:p>
        </w:tc>
      </w:tr>
      <w:tr w14:paraId="68FE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01" w:type="dxa"/>
            <w:vMerge w:val="continue"/>
            <w:noWrap w:val="0"/>
            <w:vAlign w:val="center"/>
          </w:tcPr>
          <w:p w14:paraId="30CD282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bookmarkStart w:id="0" w:name="_Toc26349814"/>
          </w:p>
        </w:tc>
        <w:tc>
          <w:tcPr>
            <w:tcW w:w="1577" w:type="dxa"/>
            <w:shd w:val="clear" w:color="auto" w:fill="auto"/>
            <w:noWrap w:val="0"/>
            <w:vAlign w:val="center"/>
          </w:tcPr>
          <w:p w14:paraId="298A3561">
            <w:pPr>
              <w:pStyle w:val="6"/>
              <w:pageBreakBefore w:val="0"/>
              <w:kinsoku/>
              <w:wordWrap w:val="0"/>
              <w:overflowPunct/>
              <w:topLinePunct w:val="0"/>
              <w:bidi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人员配置</w:t>
            </w:r>
          </w:p>
          <w:p w14:paraId="4E22A0D9">
            <w:pPr>
              <w:pStyle w:val="6"/>
              <w:pageBreakBefore w:val="0"/>
              <w:kinsoku/>
              <w:wordWrap w:val="0"/>
              <w:overflowPunct/>
              <w:topLinePunct w:val="0"/>
              <w:bidi w:val="0"/>
              <w:spacing w:line="360" w:lineRule="auto"/>
              <w:ind w:left="0" w:leftChars="0" w:firstLine="0" w:firstLineChars="0"/>
              <w:jc w:val="center"/>
              <w:rPr>
                <w:rFonts w:hint="eastAsia" w:ascii="Times New Roman"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（4分）</w:t>
            </w:r>
          </w:p>
        </w:tc>
        <w:tc>
          <w:tcPr>
            <w:tcW w:w="6725" w:type="dxa"/>
            <w:shd w:val="clear" w:color="auto" w:fill="auto"/>
            <w:noWrap w:val="0"/>
            <w:vAlign w:val="center"/>
          </w:tcPr>
          <w:p w14:paraId="01CCA9AB">
            <w:pPr>
              <w:pStyle w:val="6"/>
              <w:pageBreakBefore w:val="0"/>
              <w:kinsoku/>
              <w:wordWrap w:val="0"/>
              <w:overflowPunct/>
              <w:topLinePunct w:val="0"/>
              <w:bidi w:val="0"/>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拟投入本项目团队的的专业技术人员中具有环保行业中级职称及以上的,每提供一人得2分,最多得</w:t>
            </w:r>
            <w:r>
              <w:rPr>
                <w:rFonts w:hint="eastAsia" w:ascii="宋体" w:hAnsi="宋体" w:cs="宋体"/>
                <w:color w:val="auto"/>
                <w:kern w:val="2"/>
                <w:sz w:val="21"/>
                <w:szCs w:val="21"/>
                <w:highlight w:val="none"/>
                <w:lang w:val="en-US" w:eastAsia="zh-CN" w:bidi="ar-SA"/>
              </w:rPr>
              <w:t>4</w:t>
            </w:r>
            <w:bookmarkStart w:id="2" w:name="_GoBack"/>
            <w:bookmarkEnd w:id="2"/>
            <w:r>
              <w:rPr>
                <w:rFonts w:hint="eastAsia" w:ascii="宋体" w:hAnsi="宋体" w:eastAsia="宋体" w:cs="宋体"/>
                <w:color w:val="auto"/>
                <w:kern w:val="2"/>
                <w:sz w:val="21"/>
                <w:szCs w:val="21"/>
                <w:highlight w:val="none"/>
                <w:lang w:val="en-US" w:eastAsia="zh-CN" w:bidi="ar-SA"/>
              </w:rPr>
              <w:t>分。</w:t>
            </w:r>
          </w:p>
          <w:p w14:paraId="5151575A">
            <w:pPr>
              <w:pStyle w:val="6"/>
              <w:pageBreakBefore w:val="0"/>
              <w:kinsoku/>
              <w:wordWrap w:val="0"/>
              <w:overflowPunct/>
              <w:topLinePunct w:val="0"/>
              <w:bidi w:val="0"/>
              <w:spacing w:line="360" w:lineRule="auto"/>
              <w:ind w:left="0" w:leftChars="0" w:firstLine="0" w:firstLineChars="0"/>
              <w:rPr>
                <w:rFonts w:hint="eastAsia" w:ascii="Times New Roman"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(注：标书中附职称证书扫描件)</w:t>
            </w:r>
          </w:p>
        </w:tc>
      </w:tr>
      <w:tr w14:paraId="037F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9403" w:type="dxa"/>
            <w:gridSpan w:val="3"/>
            <w:noWrap w:val="0"/>
            <w:vAlign w:val="center"/>
          </w:tcPr>
          <w:p w14:paraId="003A1A5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bookmarkEnd w:id="0"/>
            <w:r>
              <w:rPr>
                <w:rFonts w:hint="eastAsia" w:ascii="宋体" w:hAnsi="宋体" w:eastAsia="宋体" w:cs="Times New Roman"/>
                <w:caps w:val="0"/>
                <w:color w:val="auto"/>
                <w:spacing w:val="0"/>
                <w:w w:val="100"/>
                <w:kern w:val="0"/>
                <w:position w:val="0"/>
                <w:highlight w:val="none"/>
              </w:rPr>
              <w:t>本办法计算过程中分值按四舍五入保留两位小数，最终结果为评标委员会所有成员计算出的各供应商综合评估得分的算术平均值，按四舍五入保留两位小数。</w:t>
            </w:r>
          </w:p>
        </w:tc>
      </w:tr>
    </w:tbl>
    <w:p w14:paraId="39DCC3B7">
      <w:r>
        <w:br w:type="page"/>
      </w:r>
    </w:p>
    <w:p w14:paraId="44CCCFA1">
      <w:pPr>
        <w:numPr>
          <w:ilvl w:val="0"/>
          <w:numId w:val="0"/>
        </w:numPr>
        <w:shd w:val="clear" w:color="auto" w:fill="auto"/>
        <w:jc w:val="center"/>
        <w:rPr>
          <w:rFonts w:hint="eastAsia" w:ascii="宋体" w:hAnsi="宋体" w:cs="宋体"/>
          <w:b/>
          <w:bCs/>
          <w:color w:val="auto"/>
          <w:sz w:val="32"/>
          <w:szCs w:val="32"/>
          <w:highlight w:val="none"/>
          <w:lang w:val="en-US" w:eastAsia="zh-CN"/>
        </w:rPr>
      </w:pPr>
      <w:r>
        <w:rPr>
          <w:rFonts w:hint="eastAsia" w:ascii="宋体" w:hAnsi="宋体" w:eastAsia="宋体" w:cs="宋体"/>
          <w:b/>
          <w:bCs/>
          <w:color w:val="auto"/>
          <w:sz w:val="32"/>
          <w:szCs w:val="32"/>
          <w:lang w:val="en-US" w:eastAsia="zh-CN" w:bidi="ar-SA"/>
        </w:rPr>
        <w:t>第五章</w:t>
      </w:r>
      <w:r>
        <w:rPr>
          <w:rFonts w:hint="eastAsia" w:ascii="宋体" w:hAnsi="宋体" w:cs="宋体"/>
          <w:b/>
          <w:bCs/>
          <w:color w:val="auto"/>
          <w:sz w:val="32"/>
          <w:szCs w:val="32"/>
          <w:lang w:val="en-US" w:eastAsia="zh-CN" w:bidi="ar-SA"/>
        </w:rPr>
        <w:t xml:space="preserve"> </w:t>
      </w:r>
      <w:r>
        <w:rPr>
          <w:rFonts w:hint="eastAsia" w:ascii="宋体" w:hAnsi="宋体" w:cs="宋体"/>
          <w:b/>
          <w:bCs/>
          <w:color w:val="auto"/>
          <w:sz w:val="32"/>
          <w:szCs w:val="32"/>
          <w:highlight w:val="none"/>
          <w:lang w:val="en-US" w:eastAsia="zh-CN"/>
        </w:rPr>
        <w:t>服务内容及技术要求</w:t>
      </w:r>
    </w:p>
    <w:p w14:paraId="492E993F">
      <w:pPr>
        <w:pStyle w:val="3"/>
        <w:numPr>
          <w:ilvl w:val="0"/>
          <w:numId w:val="1"/>
        </w:numPr>
        <w:shd w:val="clear" w:color="auto" w:fill="auto"/>
        <w:spacing w:before="0" w:after="0" w:line="24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项目服务内容</w:t>
      </w:r>
    </w:p>
    <w:p w14:paraId="70AB99DA">
      <w:pPr>
        <w:shd w:val="clear" w:color="auto" w:fill="auto"/>
        <w:spacing w:line="24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项目服务清单如下：</w:t>
      </w:r>
    </w:p>
    <w:tbl>
      <w:tblPr>
        <w:tblStyle w:val="8"/>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400"/>
        <w:gridCol w:w="2899"/>
        <w:gridCol w:w="931"/>
        <w:gridCol w:w="1506"/>
      </w:tblGrid>
      <w:tr w14:paraId="1EB3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noWrap w:val="0"/>
            <w:vAlign w:val="center"/>
          </w:tcPr>
          <w:p w14:paraId="1FCF64C9">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438" w:type="pct"/>
            <w:noWrap w:val="0"/>
            <w:vAlign w:val="center"/>
          </w:tcPr>
          <w:p w14:paraId="461E086A">
            <w:pPr>
              <w:shd w:val="clear" w:color="auto" w:fill="auto"/>
              <w:jc w:val="center"/>
              <w:rPr>
                <w:rFonts w:ascii="宋体" w:hAnsi="宋体" w:eastAsia="宋体" w:cs="宋体"/>
                <w:color w:val="auto"/>
                <w:kern w:val="0"/>
                <w:sz w:val="21"/>
                <w:szCs w:val="21"/>
                <w:highlight w:val="none"/>
              </w:rPr>
            </w:pPr>
            <w:r>
              <w:rPr>
                <w:rFonts w:ascii="宋体" w:hAnsi="宋体" w:eastAsia="宋体" w:cs="Times New Roman"/>
                <w:color w:val="auto"/>
                <w:kern w:val="0"/>
                <w:sz w:val="21"/>
                <w:szCs w:val="21"/>
                <w:highlight w:val="none"/>
                <w:lang w:bidi="ar"/>
              </w:rPr>
              <w:t>功能模块</w:t>
            </w:r>
          </w:p>
        </w:tc>
        <w:tc>
          <w:tcPr>
            <w:tcW w:w="1737" w:type="pct"/>
            <w:noWrap w:val="0"/>
            <w:vAlign w:val="center"/>
          </w:tcPr>
          <w:p w14:paraId="69506942">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产品配置</w:t>
            </w:r>
          </w:p>
        </w:tc>
        <w:tc>
          <w:tcPr>
            <w:tcW w:w="558" w:type="pct"/>
            <w:noWrap w:val="0"/>
            <w:vAlign w:val="center"/>
          </w:tcPr>
          <w:p w14:paraId="0C85DA7A">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902" w:type="pct"/>
            <w:noWrap w:val="0"/>
            <w:vAlign w:val="center"/>
          </w:tcPr>
          <w:p w14:paraId="530403AE">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ED6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restart"/>
            <w:noWrap w:val="0"/>
            <w:vAlign w:val="center"/>
          </w:tcPr>
          <w:p w14:paraId="10548B50">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38" w:type="pct"/>
            <w:vMerge w:val="restart"/>
            <w:noWrap w:val="0"/>
            <w:vAlign w:val="center"/>
          </w:tcPr>
          <w:p w14:paraId="2556662E">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六参数&amp;TVOC 走航监测服务 </w:t>
            </w:r>
          </w:p>
        </w:tc>
        <w:tc>
          <w:tcPr>
            <w:tcW w:w="1737" w:type="pct"/>
            <w:noWrap w:val="0"/>
            <w:vAlign w:val="center"/>
          </w:tcPr>
          <w:p w14:paraId="5161B860">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大气VOCs走航监测系统</w:t>
            </w:r>
          </w:p>
        </w:tc>
        <w:tc>
          <w:tcPr>
            <w:tcW w:w="558" w:type="pct"/>
            <w:noWrap w:val="0"/>
            <w:vAlign w:val="center"/>
          </w:tcPr>
          <w:p w14:paraId="411E2007">
            <w:pPr>
              <w:shd w:val="clear" w:color="auto" w:fill="auto"/>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1套</w:t>
            </w:r>
          </w:p>
        </w:tc>
        <w:tc>
          <w:tcPr>
            <w:tcW w:w="902" w:type="pct"/>
            <w:vMerge w:val="restart"/>
            <w:noWrap w:val="0"/>
            <w:vAlign w:val="center"/>
          </w:tcPr>
          <w:p w14:paraId="71270DEE">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w:t>
            </w:r>
            <w:r>
              <w:rPr>
                <w:rFonts w:ascii="宋体" w:hAnsi="宋体" w:eastAsia="宋体" w:cs="宋体"/>
                <w:color w:val="auto"/>
                <w:kern w:val="0"/>
                <w:sz w:val="21"/>
                <w:szCs w:val="21"/>
                <w:highlight w:val="none"/>
              </w:rPr>
              <w:t>时间</w:t>
            </w:r>
            <w:r>
              <w:rPr>
                <w:rFonts w:hint="eastAsia" w:ascii="宋体" w:hAnsi="宋体" w:eastAsia="宋体" w:cs="宋体"/>
                <w:color w:val="auto"/>
                <w:kern w:val="0"/>
                <w:sz w:val="21"/>
                <w:szCs w:val="21"/>
                <w:highlight w:val="none"/>
              </w:rPr>
              <w:t>4</w:t>
            </w:r>
            <w:r>
              <w:rPr>
                <w:rFonts w:ascii="宋体" w:hAnsi="宋体" w:eastAsia="宋体" w:cs="宋体"/>
                <w:color w:val="auto"/>
                <w:kern w:val="0"/>
                <w:sz w:val="21"/>
                <w:szCs w:val="21"/>
                <w:highlight w:val="none"/>
              </w:rPr>
              <w:t>0天</w:t>
            </w:r>
          </w:p>
        </w:tc>
      </w:tr>
      <w:tr w14:paraId="28F7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continue"/>
            <w:noWrap w:val="0"/>
            <w:vAlign w:val="center"/>
          </w:tcPr>
          <w:p w14:paraId="69EAB85F">
            <w:pPr>
              <w:shd w:val="clear" w:color="auto" w:fill="auto"/>
              <w:jc w:val="center"/>
              <w:rPr>
                <w:rFonts w:ascii="宋体" w:hAnsi="宋体" w:eastAsia="宋体" w:cs="宋体"/>
                <w:color w:val="auto"/>
                <w:kern w:val="0"/>
                <w:sz w:val="21"/>
                <w:szCs w:val="21"/>
                <w:highlight w:val="none"/>
              </w:rPr>
            </w:pPr>
          </w:p>
        </w:tc>
        <w:tc>
          <w:tcPr>
            <w:tcW w:w="1438" w:type="pct"/>
            <w:vMerge w:val="continue"/>
            <w:noWrap w:val="0"/>
            <w:vAlign w:val="center"/>
          </w:tcPr>
          <w:p w14:paraId="6A1B94DE">
            <w:pPr>
              <w:shd w:val="clear" w:color="auto" w:fill="auto"/>
              <w:jc w:val="center"/>
              <w:rPr>
                <w:rFonts w:ascii="宋体" w:hAnsi="宋体" w:eastAsia="宋体" w:cs="宋体"/>
                <w:color w:val="auto"/>
                <w:kern w:val="0"/>
                <w:sz w:val="21"/>
                <w:szCs w:val="21"/>
                <w:highlight w:val="none"/>
              </w:rPr>
            </w:pPr>
          </w:p>
        </w:tc>
        <w:tc>
          <w:tcPr>
            <w:tcW w:w="1737" w:type="pct"/>
            <w:noWrap w:val="0"/>
            <w:vAlign w:val="center"/>
          </w:tcPr>
          <w:p w14:paraId="614AB110">
            <w:pPr>
              <w:widowControl/>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气象仪</w:t>
            </w:r>
          </w:p>
        </w:tc>
        <w:tc>
          <w:tcPr>
            <w:tcW w:w="558" w:type="pct"/>
            <w:noWrap w:val="0"/>
            <w:vAlign w:val="center"/>
          </w:tcPr>
          <w:p w14:paraId="2CA7EF0B">
            <w:pPr>
              <w:shd w:val="clear" w:color="auto" w:fill="auto"/>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1个</w:t>
            </w:r>
          </w:p>
        </w:tc>
        <w:tc>
          <w:tcPr>
            <w:tcW w:w="902" w:type="pct"/>
            <w:vMerge w:val="continue"/>
            <w:noWrap w:val="0"/>
            <w:vAlign w:val="center"/>
          </w:tcPr>
          <w:p w14:paraId="4AC5AB3E">
            <w:pPr>
              <w:shd w:val="clear" w:color="auto" w:fill="auto"/>
              <w:jc w:val="center"/>
              <w:rPr>
                <w:rFonts w:ascii="宋体" w:hAnsi="宋体" w:eastAsia="宋体" w:cs="宋体"/>
                <w:color w:val="auto"/>
                <w:kern w:val="0"/>
                <w:sz w:val="21"/>
                <w:szCs w:val="21"/>
                <w:highlight w:val="none"/>
              </w:rPr>
            </w:pPr>
          </w:p>
        </w:tc>
      </w:tr>
      <w:tr w14:paraId="47BB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continue"/>
            <w:noWrap w:val="0"/>
            <w:vAlign w:val="center"/>
          </w:tcPr>
          <w:p w14:paraId="1F3891B9">
            <w:pPr>
              <w:shd w:val="clear" w:color="auto" w:fill="auto"/>
              <w:jc w:val="center"/>
              <w:rPr>
                <w:rFonts w:ascii="宋体" w:hAnsi="宋体" w:eastAsia="宋体" w:cs="宋体"/>
                <w:color w:val="auto"/>
                <w:kern w:val="0"/>
                <w:sz w:val="21"/>
                <w:szCs w:val="21"/>
                <w:highlight w:val="none"/>
              </w:rPr>
            </w:pPr>
          </w:p>
        </w:tc>
        <w:tc>
          <w:tcPr>
            <w:tcW w:w="1438" w:type="pct"/>
            <w:vMerge w:val="continue"/>
            <w:noWrap w:val="0"/>
            <w:vAlign w:val="center"/>
          </w:tcPr>
          <w:p w14:paraId="0DEC4507">
            <w:pPr>
              <w:shd w:val="clear" w:color="auto" w:fill="auto"/>
              <w:jc w:val="center"/>
              <w:rPr>
                <w:rFonts w:ascii="宋体" w:hAnsi="宋体" w:eastAsia="宋体" w:cs="宋体"/>
                <w:color w:val="auto"/>
                <w:kern w:val="0"/>
                <w:sz w:val="21"/>
                <w:szCs w:val="21"/>
                <w:highlight w:val="none"/>
              </w:rPr>
            </w:pPr>
          </w:p>
        </w:tc>
        <w:tc>
          <w:tcPr>
            <w:tcW w:w="1737" w:type="pct"/>
            <w:noWrap w:val="0"/>
            <w:vAlign w:val="center"/>
          </w:tcPr>
          <w:p w14:paraId="040A3B0B">
            <w:pPr>
              <w:widowControl/>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走航车</w:t>
            </w:r>
          </w:p>
        </w:tc>
        <w:tc>
          <w:tcPr>
            <w:tcW w:w="558" w:type="pct"/>
            <w:noWrap w:val="0"/>
            <w:vAlign w:val="center"/>
          </w:tcPr>
          <w:p w14:paraId="6CBA8C58">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1辆</w:t>
            </w:r>
          </w:p>
        </w:tc>
        <w:tc>
          <w:tcPr>
            <w:tcW w:w="902" w:type="pct"/>
            <w:vMerge w:val="continue"/>
            <w:noWrap w:val="0"/>
            <w:vAlign w:val="center"/>
          </w:tcPr>
          <w:p w14:paraId="36490706">
            <w:pPr>
              <w:shd w:val="clear" w:color="auto" w:fill="auto"/>
              <w:jc w:val="center"/>
              <w:rPr>
                <w:rFonts w:ascii="宋体" w:hAnsi="宋体" w:eastAsia="宋体" w:cs="宋体"/>
                <w:color w:val="auto"/>
                <w:kern w:val="0"/>
                <w:sz w:val="21"/>
                <w:szCs w:val="21"/>
                <w:highlight w:val="none"/>
              </w:rPr>
            </w:pPr>
          </w:p>
        </w:tc>
      </w:tr>
      <w:tr w14:paraId="731B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continue"/>
            <w:noWrap w:val="0"/>
            <w:vAlign w:val="center"/>
          </w:tcPr>
          <w:p w14:paraId="0E30136C">
            <w:pPr>
              <w:shd w:val="clear" w:color="auto" w:fill="auto"/>
              <w:jc w:val="center"/>
              <w:rPr>
                <w:rFonts w:ascii="宋体" w:hAnsi="宋体" w:eastAsia="宋体" w:cs="宋体"/>
                <w:color w:val="auto"/>
                <w:kern w:val="0"/>
                <w:sz w:val="21"/>
                <w:szCs w:val="21"/>
                <w:highlight w:val="none"/>
              </w:rPr>
            </w:pPr>
          </w:p>
        </w:tc>
        <w:tc>
          <w:tcPr>
            <w:tcW w:w="1438" w:type="pct"/>
            <w:vMerge w:val="continue"/>
            <w:noWrap w:val="0"/>
            <w:vAlign w:val="center"/>
          </w:tcPr>
          <w:p w14:paraId="744BA8F2">
            <w:pPr>
              <w:shd w:val="clear" w:color="auto" w:fill="auto"/>
              <w:jc w:val="center"/>
              <w:rPr>
                <w:rFonts w:ascii="宋体" w:hAnsi="宋体" w:eastAsia="宋体" w:cs="宋体"/>
                <w:color w:val="auto"/>
                <w:kern w:val="0"/>
                <w:sz w:val="21"/>
                <w:szCs w:val="21"/>
                <w:highlight w:val="none"/>
              </w:rPr>
            </w:pPr>
          </w:p>
        </w:tc>
        <w:tc>
          <w:tcPr>
            <w:tcW w:w="1737" w:type="pct"/>
            <w:noWrap w:val="0"/>
            <w:vAlign w:val="center"/>
          </w:tcPr>
          <w:p w14:paraId="7CE7E07C">
            <w:pPr>
              <w:widowControl/>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走航软件平台</w:t>
            </w:r>
          </w:p>
        </w:tc>
        <w:tc>
          <w:tcPr>
            <w:tcW w:w="558" w:type="pct"/>
            <w:noWrap w:val="0"/>
            <w:vAlign w:val="center"/>
          </w:tcPr>
          <w:p w14:paraId="19BCBACE">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1套</w:t>
            </w:r>
          </w:p>
        </w:tc>
        <w:tc>
          <w:tcPr>
            <w:tcW w:w="902" w:type="pct"/>
            <w:vMerge w:val="continue"/>
            <w:noWrap w:val="0"/>
            <w:vAlign w:val="center"/>
          </w:tcPr>
          <w:p w14:paraId="38BE49DF">
            <w:pPr>
              <w:shd w:val="clear" w:color="auto" w:fill="auto"/>
              <w:jc w:val="center"/>
              <w:rPr>
                <w:rFonts w:ascii="宋体" w:hAnsi="宋体" w:eastAsia="宋体" w:cs="宋体"/>
                <w:color w:val="auto"/>
                <w:kern w:val="0"/>
                <w:sz w:val="21"/>
                <w:szCs w:val="21"/>
                <w:highlight w:val="none"/>
              </w:rPr>
            </w:pPr>
          </w:p>
        </w:tc>
      </w:tr>
      <w:tr w14:paraId="3625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restart"/>
            <w:noWrap w:val="0"/>
            <w:vAlign w:val="center"/>
          </w:tcPr>
          <w:p w14:paraId="189A36C5">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38" w:type="pct"/>
            <w:vMerge w:val="restart"/>
            <w:noWrap w:val="0"/>
            <w:vAlign w:val="center"/>
          </w:tcPr>
          <w:p w14:paraId="13A3BB12">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精细化扬尘管控服务</w:t>
            </w:r>
          </w:p>
        </w:tc>
        <w:tc>
          <w:tcPr>
            <w:tcW w:w="1737" w:type="pct"/>
            <w:noWrap w:val="0"/>
            <w:vAlign w:val="center"/>
          </w:tcPr>
          <w:p w14:paraId="5CDB19DA">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积尘负荷走航监测车</w:t>
            </w:r>
          </w:p>
        </w:tc>
        <w:tc>
          <w:tcPr>
            <w:tcW w:w="558" w:type="pct"/>
            <w:noWrap w:val="0"/>
            <w:vAlign w:val="center"/>
          </w:tcPr>
          <w:p w14:paraId="506CED43">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1台</w:t>
            </w:r>
          </w:p>
        </w:tc>
        <w:tc>
          <w:tcPr>
            <w:tcW w:w="902" w:type="pct"/>
            <w:vMerge w:val="restart"/>
            <w:noWrap w:val="0"/>
            <w:vAlign w:val="center"/>
          </w:tcPr>
          <w:p w14:paraId="5726E43A">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服务时间1年</w:t>
            </w:r>
          </w:p>
        </w:tc>
      </w:tr>
      <w:tr w14:paraId="1CBF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continue"/>
            <w:noWrap w:val="0"/>
            <w:vAlign w:val="center"/>
          </w:tcPr>
          <w:p w14:paraId="044F1636">
            <w:pPr>
              <w:shd w:val="clear" w:color="auto" w:fill="auto"/>
              <w:jc w:val="center"/>
              <w:rPr>
                <w:rFonts w:ascii="宋体" w:hAnsi="宋体" w:eastAsia="宋体" w:cs="宋体"/>
                <w:color w:val="auto"/>
                <w:kern w:val="0"/>
                <w:sz w:val="21"/>
                <w:szCs w:val="21"/>
                <w:highlight w:val="none"/>
              </w:rPr>
            </w:pPr>
          </w:p>
        </w:tc>
        <w:tc>
          <w:tcPr>
            <w:tcW w:w="1438" w:type="pct"/>
            <w:vMerge w:val="continue"/>
            <w:noWrap w:val="0"/>
            <w:vAlign w:val="center"/>
          </w:tcPr>
          <w:p w14:paraId="25F0FC0B">
            <w:pPr>
              <w:shd w:val="clear" w:color="auto" w:fill="auto"/>
              <w:jc w:val="center"/>
              <w:rPr>
                <w:rFonts w:ascii="宋体" w:hAnsi="宋体" w:eastAsia="宋体" w:cs="宋体"/>
                <w:color w:val="auto"/>
                <w:kern w:val="0"/>
                <w:sz w:val="21"/>
                <w:szCs w:val="21"/>
                <w:highlight w:val="none"/>
                <w:lang w:bidi="ar"/>
              </w:rPr>
            </w:pPr>
          </w:p>
        </w:tc>
        <w:tc>
          <w:tcPr>
            <w:tcW w:w="1737" w:type="pct"/>
            <w:noWrap w:val="0"/>
            <w:vAlign w:val="center"/>
          </w:tcPr>
          <w:p w14:paraId="1886C941">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高精度GPS模块</w:t>
            </w:r>
          </w:p>
        </w:tc>
        <w:tc>
          <w:tcPr>
            <w:tcW w:w="558" w:type="pct"/>
            <w:noWrap w:val="0"/>
            <w:vAlign w:val="center"/>
          </w:tcPr>
          <w:p w14:paraId="1B00070A">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w:t>
            </w:r>
          </w:p>
        </w:tc>
        <w:tc>
          <w:tcPr>
            <w:tcW w:w="902" w:type="pct"/>
            <w:vMerge w:val="continue"/>
            <w:noWrap w:val="0"/>
            <w:vAlign w:val="center"/>
          </w:tcPr>
          <w:p w14:paraId="06ECE34F">
            <w:pPr>
              <w:shd w:val="clear" w:color="auto" w:fill="auto"/>
              <w:jc w:val="center"/>
              <w:rPr>
                <w:rFonts w:ascii="宋体" w:hAnsi="宋体" w:eastAsia="宋体" w:cs="宋体"/>
                <w:color w:val="auto"/>
                <w:kern w:val="0"/>
                <w:sz w:val="21"/>
                <w:szCs w:val="21"/>
                <w:highlight w:val="none"/>
              </w:rPr>
            </w:pPr>
          </w:p>
        </w:tc>
      </w:tr>
      <w:tr w14:paraId="56EE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continue"/>
            <w:noWrap w:val="0"/>
            <w:vAlign w:val="center"/>
          </w:tcPr>
          <w:p w14:paraId="2632E50E">
            <w:pPr>
              <w:shd w:val="clear" w:color="auto" w:fill="auto"/>
              <w:jc w:val="center"/>
              <w:rPr>
                <w:rFonts w:ascii="宋体" w:hAnsi="宋体" w:eastAsia="宋体" w:cs="宋体"/>
                <w:color w:val="auto"/>
                <w:kern w:val="0"/>
                <w:sz w:val="21"/>
                <w:szCs w:val="21"/>
                <w:highlight w:val="none"/>
              </w:rPr>
            </w:pPr>
          </w:p>
        </w:tc>
        <w:tc>
          <w:tcPr>
            <w:tcW w:w="1438" w:type="pct"/>
            <w:vMerge w:val="continue"/>
            <w:noWrap w:val="0"/>
            <w:vAlign w:val="center"/>
          </w:tcPr>
          <w:p w14:paraId="50FE8A64">
            <w:pPr>
              <w:shd w:val="clear" w:color="auto" w:fill="auto"/>
              <w:jc w:val="center"/>
              <w:rPr>
                <w:rFonts w:ascii="宋体" w:hAnsi="宋体" w:eastAsia="宋体" w:cs="宋体"/>
                <w:color w:val="auto"/>
                <w:kern w:val="0"/>
                <w:sz w:val="21"/>
                <w:szCs w:val="21"/>
                <w:highlight w:val="none"/>
                <w:lang w:bidi="ar"/>
              </w:rPr>
            </w:pPr>
          </w:p>
        </w:tc>
        <w:tc>
          <w:tcPr>
            <w:tcW w:w="1737" w:type="pct"/>
            <w:noWrap w:val="0"/>
            <w:vAlign w:val="center"/>
          </w:tcPr>
          <w:p w14:paraId="7B02BDF9">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数据传输和处理系统</w:t>
            </w:r>
          </w:p>
        </w:tc>
        <w:tc>
          <w:tcPr>
            <w:tcW w:w="558" w:type="pct"/>
            <w:noWrap w:val="0"/>
            <w:vAlign w:val="center"/>
          </w:tcPr>
          <w:p w14:paraId="1D918916">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1套</w:t>
            </w:r>
          </w:p>
        </w:tc>
        <w:tc>
          <w:tcPr>
            <w:tcW w:w="902" w:type="pct"/>
            <w:vMerge w:val="continue"/>
            <w:noWrap w:val="0"/>
            <w:vAlign w:val="center"/>
          </w:tcPr>
          <w:p w14:paraId="4BFC7CAC">
            <w:pPr>
              <w:shd w:val="clear" w:color="auto" w:fill="auto"/>
              <w:jc w:val="center"/>
              <w:rPr>
                <w:rFonts w:ascii="宋体" w:hAnsi="宋体" w:eastAsia="宋体" w:cs="宋体"/>
                <w:color w:val="auto"/>
                <w:kern w:val="0"/>
                <w:sz w:val="21"/>
                <w:szCs w:val="21"/>
                <w:highlight w:val="none"/>
              </w:rPr>
            </w:pPr>
          </w:p>
        </w:tc>
      </w:tr>
      <w:tr w14:paraId="4F19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restart"/>
            <w:noWrap w:val="0"/>
            <w:vAlign w:val="center"/>
          </w:tcPr>
          <w:p w14:paraId="60C2A01E">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38" w:type="pct"/>
            <w:vMerge w:val="restart"/>
            <w:noWrap w:val="0"/>
            <w:vAlign w:val="center"/>
          </w:tcPr>
          <w:p w14:paraId="50A748C4">
            <w:pPr>
              <w:shd w:val="clear" w:color="auto" w:fill="auto"/>
              <w:jc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数据管控及污染排查</w:t>
            </w:r>
          </w:p>
        </w:tc>
        <w:tc>
          <w:tcPr>
            <w:tcW w:w="1737" w:type="pct"/>
            <w:noWrap w:val="0"/>
            <w:vAlign w:val="center"/>
          </w:tcPr>
          <w:p w14:paraId="486C0F4B">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数据监控分析与效果评估</w:t>
            </w:r>
          </w:p>
        </w:tc>
        <w:tc>
          <w:tcPr>
            <w:tcW w:w="558" w:type="pct"/>
            <w:noWrap w:val="0"/>
            <w:vAlign w:val="center"/>
          </w:tcPr>
          <w:p w14:paraId="247C909F">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902" w:type="pct"/>
            <w:vMerge w:val="restart"/>
            <w:noWrap w:val="0"/>
            <w:vAlign w:val="center"/>
          </w:tcPr>
          <w:p w14:paraId="1B75F43B">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详见招标文件技术要求</w:t>
            </w:r>
          </w:p>
        </w:tc>
      </w:tr>
      <w:tr w14:paraId="4C74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vMerge w:val="continue"/>
            <w:noWrap w:val="0"/>
            <w:vAlign w:val="center"/>
          </w:tcPr>
          <w:p w14:paraId="7F9EEFB9">
            <w:pPr>
              <w:shd w:val="clear" w:color="auto" w:fill="auto"/>
              <w:jc w:val="center"/>
              <w:rPr>
                <w:rFonts w:ascii="宋体" w:hAnsi="宋体" w:eastAsia="宋体" w:cs="宋体"/>
                <w:color w:val="auto"/>
                <w:kern w:val="0"/>
                <w:sz w:val="21"/>
                <w:szCs w:val="21"/>
                <w:highlight w:val="none"/>
              </w:rPr>
            </w:pPr>
          </w:p>
        </w:tc>
        <w:tc>
          <w:tcPr>
            <w:tcW w:w="1438" w:type="pct"/>
            <w:vMerge w:val="continue"/>
            <w:noWrap w:val="0"/>
            <w:vAlign w:val="center"/>
          </w:tcPr>
          <w:p w14:paraId="395948C5">
            <w:pPr>
              <w:shd w:val="clear" w:color="auto" w:fill="auto"/>
              <w:jc w:val="center"/>
              <w:rPr>
                <w:rFonts w:ascii="宋体" w:hAnsi="宋体" w:eastAsia="宋体" w:cs="宋体"/>
                <w:color w:val="auto"/>
                <w:kern w:val="0"/>
                <w:sz w:val="21"/>
                <w:szCs w:val="21"/>
                <w:highlight w:val="none"/>
                <w:lang w:bidi="ar"/>
              </w:rPr>
            </w:pPr>
          </w:p>
        </w:tc>
        <w:tc>
          <w:tcPr>
            <w:tcW w:w="1737" w:type="pct"/>
            <w:noWrap w:val="0"/>
            <w:vAlign w:val="center"/>
          </w:tcPr>
          <w:p w14:paraId="7CC6C2E6">
            <w:pPr>
              <w:shd w:val="clear" w:color="auto" w:fill="auto"/>
              <w:jc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污染巡查</w:t>
            </w:r>
          </w:p>
        </w:tc>
        <w:tc>
          <w:tcPr>
            <w:tcW w:w="558" w:type="pct"/>
            <w:noWrap w:val="0"/>
            <w:vAlign w:val="center"/>
          </w:tcPr>
          <w:p w14:paraId="4E1C6F41">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902" w:type="pct"/>
            <w:vMerge w:val="continue"/>
            <w:noWrap w:val="0"/>
            <w:vAlign w:val="center"/>
          </w:tcPr>
          <w:p w14:paraId="1F94FF1D">
            <w:pPr>
              <w:shd w:val="clear" w:color="auto" w:fill="auto"/>
              <w:jc w:val="center"/>
              <w:rPr>
                <w:rFonts w:ascii="宋体" w:hAnsi="宋体" w:eastAsia="宋体" w:cs="宋体"/>
                <w:color w:val="auto"/>
                <w:kern w:val="0"/>
                <w:sz w:val="21"/>
                <w:szCs w:val="21"/>
                <w:highlight w:val="none"/>
              </w:rPr>
            </w:pPr>
          </w:p>
        </w:tc>
      </w:tr>
      <w:tr w14:paraId="2B1B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noWrap w:val="0"/>
            <w:vAlign w:val="center"/>
          </w:tcPr>
          <w:p w14:paraId="0CDD887E">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38" w:type="pct"/>
            <w:noWrap w:val="0"/>
            <w:vAlign w:val="center"/>
          </w:tcPr>
          <w:p w14:paraId="031BA46F">
            <w:pPr>
              <w:shd w:val="clear" w:color="auto" w:fill="auto"/>
              <w:jc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空气质量预警预报服务 </w:t>
            </w:r>
          </w:p>
        </w:tc>
        <w:tc>
          <w:tcPr>
            <w:tcW w:w="1737" w:type="pct"/>
            <w:noWrap w:val="0"/>
            <w:vAlign w:val="center"/>
          </w:tcPr>
          <w:p w14:paraId="6EA54043">
            <w:pPr>
              <w:shd w:val="clear" w:color="auto" w:fill="auto"/>
              <w:jc w:val="center"/>
              <w:rPr>
                <w:rFonts w:hint="default" w:ascii="宋体" w:hAnsi="宋体" w:eastAsia="宋体" w:cs="宋体"/>
                <w:strike/>
                <w:color w:val="auto"/>
                <w:kern w:val="0"/>
                <w:sz w:val="21"/>
                <w:szCs w:val="21"/>
                <w:highlight w:val="none"/>
                <w:lang w:val="en-US" w:eastAsia="zh-CN"/>
              </w:rPr>
            </w:pPr>
            <w:r>
              <w:rPr>
                <w:rFonts w:hint="eastAsia" w:ascii="宋体" w:hAnsi="宋体" w:eastAsia="宋体" w:cs="宋体"/>
                <w:strike w:val="0"/>
                <w:color w:val="auto"/>
                <w:kern w:val="0"/>
                <w:sz w:val="21"/>
                <w:szCs w:val="21"/>
                <w:highlight w:val="none"/>
                <w:lang w:val="en-US" w:eastAsia="zh-CN"/>
              </w:rPr>
              <w:t>未来气象条件研判服务</w:t>
            </w:r>
          </w:p>
        </w:tc>
        <w:tc>
          <w:tcPr>
            <w:tcW w:w="558" w:type="pct"/>
            <w:noWrap w:val="0"/>
            <w:vAlign w:val="center"/>
          </w:tcPr>
          <w:p w14:paraId="5863EEC5">
            <w:pPr>
              <w:shd w:val="clear" w:color="auto" w:fill="auto"/>
              <w:jc w:val="center"/>
              <w:rPr>
                <w:rFonts w:hint="default" w:ascii="宋体" w:hAnsi="宋体" w:eastAsia="宋体" w:cs="宋体"/>
                <w:strike/>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1年</w:t>
            </w:r>
          </w:p>
        </w:tc>
        <w:tc>
          <w:tcPr>
            <w:tcW w:w="902" w:type="pct"/>
            <w:noWrap w:val="0"/>
            <w:vAlign w:val="center"/>
          </w:tcPr>
          <w:p w14:paraId="1A377920">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详见招标文件技术要求</w:t>
            </w:r>
          </w:p>
        </w:tc>
      </w:tr>
      <w:tr w14:paraId="4EA5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noWrap w:val="0"/>
            <w:vAlign w:val="center"/>
          </w:tcPr>
          <w:p w14:paraId="18B81CAE">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38" w:type="pct"/>
            <w:noWrap w:val="0"/>
            <w:vAlign w:val="center"/>
          </w:tcPr>
          <w:p w14:paraId="19E852E4">
            <w:pPr>
              <w:shd w:val="clear" w:color="auto" w:fill="auto"/>
              <w:jc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lang w:val="en-US" w:eastAsia="zh-CN"/>
              </w:rPr>
              <w:t>秋冬季重污染天气应急攻坚服务</w:t>
            </w:r>
          </w:p>
        </w:tc>
        <w:tc>
          <w:tcPr>
            <w:tcW w:w="1737" w:type="pct"/>
            <w:noWrap w:val="0"/>
            <w:vAlign w:val="center"/>
          </w:tcPr>
          <w:p w14:paraId="7F0AB452">
            <w:pPr>
              <w:shd w:val="clear" w:color="auto" w:fill="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重污染天气应急管控服务</w:t>
            </w:r>
          </w:p>
        </w:tc>
        <w:tc>
          <w:tcPr>
            <w:tcW w:w="558" w:type="pct"/>
            <w:noWrap w:val="0"/>
            <w:vAlign w:val="center"/>
          </w:tcPr>
          <w:p w14:paraId="1B9EBC90">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902" w:type="pct"/>
            <w:noWrap w:val="0"/>
            <w:vAlign w:val="center"/>
          </w:tcPr>
          <w:p w14:paraId="2BC1D5A2">
            <w:pPr>
              <w:shd w:val="clear" w:color="auto" w:fill="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详见招标文件技术要求</w:t>
            </w:r>
          </w:p>
        </w:tc>
      </w:tr>
      <w:tr w14:paraId="53EF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62" w:type="pct"/>
            <w:noWrap w:val="0"/>
            <w:vAlign w:val="center"/>
          </w:tcPr>
          <w:p w14:paraId="639E7A02">
            <w:pPr>
              <w:shd w:val="clear" w:color="auto" w:fill="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438" w:type="pct"/>
            <w:noWrap w:val="0"/>
            <w:vAlign w:val="center"/>
          </w:tcPr>
          <w:p w14:paraId="4F979545">
            <w:pPr>
              <w:shd w:val="clear" w:color="auto" w:fill="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年度评估及指导服务</w:t>
            </w:r>
          </w:p>
        </w:tc>
        <w:tc>
          <w:tcPr>
            <w:tcW w:w="1737" w:type="pct"/>
            <w:noWrap w:val="0"/>
            <w:vAlign w:val="center"/>
          </w:tcPr>
          <w:p w14:paraId="03C5A876">
            <w:pPr>
              <w:shd w:val="clear" w:color="auto" w:fill="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rPr>
              <w:t>2025年大气污染防治工作计划</w:t>
            </w:r>
          </w:p>
        </w:tc>
        <w:tc>
          <w:tcPr>
            <w:tcW w:w="558" w:type="pct"/>
            <w:shd w:val="clear" w:color="auto" w:fill="auto"/>
            <w:noWrap w:val="0"/>
            <w:vAlign w:val="center"/>
          </w:tcPr>
          <w:p w14:paraId="0DCD43FA">
            <w:pPr>
              <w:shd w:val="clear" w:color="auto" w:fill="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份</w:t>
            </w:r>
          </w:p>
        </w:tc>
        <w:tc>
          <w:tcPr>
            <w:tcW w:w="902" w:type="pct"/>
            <w:shd w:val="clear" w:color="auto" w:fill="auto"/>
            <w:noWrap w:val="0"/>
            <w:vAlign w:val="center"/>
          </w:tcPr>
          <w:p w14:paraId="0F4A97B7">
            <w:pPr>
              <w:shd w:val="clear" w:color="auto" w:fill="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详见招标文件技术要求</w:t>
            </w:r>
          </w:p>
        </w:tc>
      </w:tr>
    </w:tbl>
    <w:p w14:paraId="072AEE6C">
      <w:pPr>
        <w:pStyle w:val="3"/>
        <w:numPr>
          <w:ilvl w:val="0"/>
          <w:numId w:val="1"/>
        </w:numPr>
        <w:shd w:val="clear" w:color="auto" w:fill="auto"/>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项目服务技术要求</w:t>
      </w:r>
    </w:p>
    <w:p w14:paraId="19EA234C">
      <w:pPr>
        <w:pStyle w:val="4"/>
        <w:numPr>
          <w:ilvl w:val="0"/>
          <w:numId w:val="2"/>
        </w:numPr>
        <w:shd w:val="clear" w:color="auto" w:fill="auto"/>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六参数&amp;TVOC 走航监测服务 </w:t>
      </w:r>
    </w:p>
    <w:p w14:paraId="236DEAC3">
      <w:pPr>
        <w:shd w:val="clear" w:color="auto" w:fill="auto"/>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走航观测工作包括驻点观测和移动走航观测，全年走航有效时间要求不少于</w:t>
      </w:r>
      <w:r>
        <w:rPr>
          <w:rFonts w:ascii="宋体" w:hAnsi="宋体" w:eastAsia="宋体" w:cs="Times New Roman"/>
          <w:color w:val="auto"/>
          <w:sz w:val="21"/>
          <w:szCs w:val="21"/>
          <w:highlight w:val="none"/>
        </w:rPr>
        <w:t>40</w:t>
      </w:r>
      <w:r>
        <w:rPr>
          <w:rFonts w:hint="eastAsia" w:ascii="宋体" w:hAnsi="宋体" w:eastAsia="宋体" w:cs="Times New Roman"/>
          <w:color w:val="auto"/>
          <w:sz w:val="21"/>
          <w:szCs w:val="21"/>
          <w:highlight w:val="none"/>
        </w:rPr>
        <w:t>天。投标时须提供详细的走航服务方案，包括走航时间规划、走航路线设计、走航数据分析等内容。</w:t>
      </w:r>
    </w:p>
    <w:p w14:paraId="60D1941C">
      <w:pPr>
        <w:shd w:val="clear" w:color="auto" w:fill="auto"/>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走航服务内容包括：</w:t>
      </w:r>
    </w:p>
    <w:p w14:paraId="01B1F084">
      <w:pPr>
        <w:numPr>
          <w:ilvl w:val="0"/>
          <w:numId w:val="3"/>
        </w:numPr>
        <w:shd w:val="clear" w:color="auto" w:fill="auto"/>
        <w:spacing w:line="360" w:lineRule="auto"/>
        <w:ind w:firstLine="420" w:firstLineChars="200"/>
        <w:rPr>
          <w:rFonts w:ascii="宋体" w:hAnsi="宋体" w:eastAsia="宋体" w:cs="Times New Roman"/>
          <w:color w:val="auto"/>
          <w:kern w:val="0"/>
          <w:sz w:val="21"/>
          <w:szCs w:val="21"/>
          <w:highlight w:val="none"/>
          <w:lang w:bidi="ar"/>
        </w:rPr>
      </w:pPr>
      <w:r>
        <w:rPr>
          <w:rFonts w:hint="eastAsia" w:ascii="宋体" w:hAnsi="宋体" w:eastAsia="宋体" w:cs="Times New Roman"/>
          <w:color w:val="auto"/>
          <w:kern w:val="0"/>
          <w:sz w:val="21"/>
          <w:szCs w:val="21"/>
          <w:highlight w:val="none"/>
          <w:lang w:bidi="ar"/>
        </w:rPr>
        <w:t>整体区域走航监测：通过走航监测，描绘辖区污染地图，全面、快速诊断V</w:t>
      </w:r>
      <w:r>
        <w:rPr>
          <w:rFonts w:ascii="宋体" w:hAnsi="宋体" w:eastAsia="宋体" w:cs="Times New Roman"/>
          <w:color w:val="auto"/>
          <w:kern w:val="0"/>
          <w:sz w:val="21"/>
          <w:szCs w:val="21"/>
          <w:highlight w:val="none"/>
          <w:lang w:bidi="ar"/>
        </w:rPr>
        <w:t>OC</w:t>
      </w:r>
      <w:r>
        <w:rPr>
          <w:rFonts w:hint="eastAsia" w:ascii="宋体" w:hAnsi="宋体" w:eastAsia="宋体" w:cs="Times New Roman"/>
          <w:color w:val="auto"/>
          <w:kern w:val="0"/>
          <w:sz w:val="21"/>
          <w:szCs w:val="21"/>
          <w:highlight w:val="none"/>
          <w:lang w:bidi="ar"/>
        </w:rPr>
        <w:t>s等污染的整体分布情况，锁定污染高值路段及重点区域；</w:t>
      </w:r>
    </w:p>
    <w:p w14:paraId="2F9479AB">
      <w:pPr>
        <w:numPr>
          <w:ilvl w:val="0"/>
          <w:numId w:val="3"/>
        </w:numPr>
        <w:shd w:val="clear" w:color="auto" w:fill="auto"/>
        <w:spacing w:line="360" w:lineRule="auto"/>
        <w:ind w:firstLine="420" w:firstLineChars="200"/>
        <w:rPr>
          <w:rFonts w:ascii="宋体" w:hAnsi="宋体" w:eastAsia="宋体" w:cs="Times New Roman"/>
          <w:color w:val="auto"/>
          <w:kern w:val="0"/>
          <w:sz w:val="21"/>
          <w:szCs w:val="21"/>
          <w:highlight w:val="none"/>
          <w:lang w:bidi="ar"/>
        </w:rPr>
      </w:pPr>
      <w:r>
        <w:rPr>
          <w:rFonts w:hint="eastAsia" w:ascii="宋体" w:hAnsi="宋体" w:eastAsia="宋体" w:cs="Times New Roman"/>
          <w:color w:val="auto"/>
          <w:kern w:val="0"/>
          <w:sz w:val="21"/>
          <w:szCs w:val="21"/>
          <w:highlight w:val="none"/>
          <w:lang w:bidi="ar"/>
        </w:rPr>
        <w:t>各区域污染分布走航监测：由内到外进行各区加密走航，分析区域空间污染及近地面V</w:t>
      </w:r>
      <w:r>
        <w:rPr>
          <w:rFonts w:ascii="宋体" w:hAnsi="宋体" w:eastAsia="宋体" w:cs="Times New Roman"/>
          <w:color w:val="auto"/>
          <w:kern w:val="0"/>
          <w:sz w:val="21"/>
          <w:szCs w:val="21"/>
          <w:highlight w:val="none"/>
          <w:lang w:bidi="ar"/>
        </w:rPr>
        <w:t>OC</w:t>
      </w:r>
      <w:r>
        <w:rPr>
          <w:rFonts w:hint="eastAsia" w:ascii="宋体" w:hAnsi="宋体" w:eastAsia="宋体" w:cs="Times New Roman"/>
          <w:color w:val="auto"/>
          <w:kern w:val="0"/>
          <w:sz w:val="21"/>
          <w:szCs w:val="21"/>
          <w:highlight w:val="none"/>
          <w:lang w:bidi="ar"/>
        </w:rPr>
        <w:t>s等污染分布；</w:t>
      </w:r>
    </w:p>
    <w:p w14:paraId="4CA79A86">
      <w:pPr>
        <w:numPr>
          <w:ilvl w:val="0"/>
          <w:numId w:val="3"/>
        </w:numPr>
        <w:shd w:val="clear" w:color="auto" w:fill="auto"/>
        <w:spacing w:line="360" w:lineRule="auto"/>
        <w:ind w:firstLine="420" w:firstLineChars="200"/>
        <w:rPr>
          <w:rFonts w:ascii="宋体" w:hAnsi="宋体" w:eastAsia="宋体" w:cs="Times New Roman"/>
          <w:color w:val="auto"/>
          <w:kern w:val="0"/>
          <w:sz w:val="21"/>
          <w:szCs w:val="21"/>
          <w:highlight w:val="none"/>
          <w:lang w:bidi="ar"/>
        </w:rPr>
      </w:pPr>
      <w:r>
        <w:rPr>
          <w:rFonts w:hint="eastAsia" w:ascii="宋体" w:hAnsi="宋体" w:eastAsia="宋体" w:cs="Times New Roman"/>
          <w:color w:val="auto"/>
          <w:kern w:val="0"/>
          <w:sz w:val="21"/>
          <w:szCs w:val="21"/>
          <w:highlight w:val="none"/>
          <w:lang w:bidi="ar"/>
        </w:rPr>
        <w:t>重点园区污染排查：对辖区重点园区及企业集中地带进行小尺度网格化走航，识别重点排污企业，锁定问题工段；</w:t>
      </w:r>
    </w:p>
    <w:p w14:paraId="05E06980">
      <w:pPr>
        <w:numPr>
          <w:ilvl w:val="0"/>
          <w:numId w:val="3"/>
        </w:numPr>
        <w:shd w:val="clear" w:color="auto" w:fill="auto"/>
        <w:spacing w:line="360" w:lineRule="auto"/>
        <w:ind w:firstLine="420" w:firstLineChars="200"/>
        <w:rPr>
          <w:rFonts w:ascii="宋体" w:hAnsi="宋体" w:eastAsia="宋体" w:cs="Times New Roman"/>
          <w:color w:val="auto"/>
          <w:kern w:val="0"/>
          <w:sz w:val="21"/>
          <w:szCs w:val="21"/>
          <w:highlight w:val="none"/>
          <w:lang w:bidi="ar"/>
        </w:rPr>
      </w:pPr>
      <w:r>
        <w:rPr>
          <w:rFonts w:hint="eastAsia" w:ascii="宋体" w:hAnsi="宋体" w:eastAsia="宋体" w:cs="Times New Roman"/>
          <w:color w:val="auto"/>
          <w:kern w:val="0"/>
          <w:sz w:val="21"/>
          <w:szCs w:val="21"/>
          <w:highlight w:val="none"/>
          <w:lang w:bidi="ar"/>
        </w:rPr>
        <w:t>重点区域周边走航监测：以重点管控区域为中心，对其周边</w:t>
      </w:r>
      <w:r>
        <w:rPr>
          <w:rFonts w:ascii="宋体" w:hAnsi="宋体" w:eastAsia="宋体" w:cs="Times New Roman"/>
          <w:color w:val="auto"/>
          <w:kern w:val="0"/>
          <w:sz w:val="21"/>
          <w:szCs w:val="21"/>
          <w:highlight w:val="none"/>
          <w:lang w:bidi="ar"/>
        </w:rPr>
        <w:t>1-3km</w:t>
      </w:r>
      <w:r>
        <w:rPr>
          <w:rFonts w:hint="eastAsia" w:ascii="宋体" w:hAnsi="宋体" w:eastAsia="宋体" w:cs="Times New Roman"/>
          <w:color w:val="auto"/>
          <w:kern w:val="0"/>
          <w:sz w:val="21"/>
          <w:szCs w:val="21"/>
          <w:highlight w:val="none"/>
          <w:lang w:bidi="ar"/>
        </w:rPr>
        <w:t>范围内进行走航监测，快速发现异常排放情况，及时采取措施；</w:t>
      </w:r>
    </w:p>
    <w:p w14:paraId="63120BD0">
      <w:pPr>
        <w:numPr>
          <w:ilvl w:val="0"/>
          <w:numId w:val="3"/>
        </w:numPr>
        <w:shd w:val="clear" w:color="auto" w:fill="auto"/>
        <w:spacing w:line="360" w:lineRule="auto"/>
        <w:ind w:firstLine="420" w:firstLineChars="200"/>
        <w:rPr>
          <w:rFonts w:ascii="宋体" w:hAnsi="宋体" w:eastAsia="宋体" w:cs="Times New Roman"/>
          <w:color w:val="auto"/>
          <w:kern w:val="0"/>
          <w:sz w:val="21"/>
          <w:szCs w:val="21"/>
          <w:highlight w:val="none"/>
          <w:lang w:bidi="ar"/>
        </w:rPr>
      </w:pPr>
      <w:r>
        <w:rPr>
          <w:rFonts w:hint="eastAsia" w:ascii="宋体" w:hAnsi="宋体" w:eastAsia="宋体" w:cs="Times New Roman"/>
          <w:color w:val="auto"/>
          <w:kern w:val="0"/>
          <w:sz w:val="21"/>
          <w:szCs w:val="21"/>
          <w:highlight w:val="none"/>
          <w:lang w:bidi="ar"/>
        </w:rPr>
        <w:t>高值路段走航监测：根据区域走航初筛结果，对高值路段进行监测，判断物种特征、摸清具体来源、实现精准溯源，科学管控；</w:t>
      </w:r>
    </w:p>
    <w:p w14:paraId="6270F8A9">
      <w:pPr>
        <w:numPr>
          <w:ilvl w:val="0"/>
          <w:numId w:val="3"/>
        </w:numPr>
        <w:shd w:val="clear" w:color="auto" w:fill="auto"/>
        <w:spacing w:line="360" w:lineRule="auto"/>
        <w:ind w:firstLine="420" w:firstLineChars="200"/>
        <w:rPr>
          <w:rFonts w:ascii="宋体" w:hAnsi="宋体" w:eastAsia="宋体" w:cs="Times New Roman"/>
          <w:color w:val="auto"/>
          <w:kern w:val="0"/>
          <w:sz w:val="21"/>
          <w:szCs w:val="21"/>
          <w:highlight w:val="none"/>
          <w:lang w:bidi="ar"/>
        </w:rPr>
      </w:pPr>
      <w:r>
        <w:rPr>
          <w:rFonts w:hint="eastAsia" w:ascii="宋体" w:hAnsi="宋体" w:eastAsia="宋体" w:cs="Times New Roman"/>
          <w:color w:val="auto"/>
          <w:kern w:val="0"/>
          <w:sz w:val="21"/>
          <w:szCs w:val="21"/>
          <w:highlight w:val="none"/>
          <w:lang w:bidi="ar"/>
        </w:rPr>
        <w:t>污染天气条件下应急响应：当发生臭氧污染事件时，走航服务能快速的响应并且投入到对重点区域的巡查中，对异常点位快速进行诊断分析，排查潜在污染源。</w:t>
      </w:r>
    </w:p>
    <w:p w14:paraId="5E092439">
      <w:pPr>
        <w:pStyle w:val="4"/>
        <w:numPr>
          <w:ilvl w:val="0"/>
          <w:numId w:val="2"/>
        </w:numPr>
        <w:shd w:val="clear" w:color="auto" w:fill="auto"/>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精细化扬尘管控服务 </w:t>
      </w:r>
    </w:p>
    <w:p w14:paraId="12D47281">
      <w:pPr>
        <w:shd w:val="clear" w:color="auto" w:fill="auto"/>
        <w:kinsoku w:val="0"/>
        <w:overflowPunct w:val="0"/>
        <w:spacing w:line="360" w:lineRule="auto"/>
        <w:ind w:firstLine="420" w:firstLineChars="200"/>
        <w:rPr>
          <w:rFonts w:hint="eastAsia"/>
        </w:rPr>
      </w:pPr>
      <w:r>
        <w:rPr>
          <w:rFonts w:hint="eastAsia" w:ascii="宋体" w:hAnsi="宋体" w:eastAsia="宋体" w:cs="宋体"/>
          <w:color w:val="auto"/>
          <w:sz w:val="21"/>
          <w:szCs w:val="21"/>
          <w:highlight w:val="none"/>
        </w:rPr>
        <w:t>利用积尘负荷走航监测车，集成积尘负荷、在线地图、实时数据处理、分路段统计积尘负荷等功能，实现在不影响交通、正常行驶过程中对积尘负荷数据的自动监测，使道路积尘结果清晰可视，为道路积尘精细化管控提供技术支持。</w:t>
      </w:r>
    </w:p>
    <w:p w14:paraId="134C50D2">
      <w:pPr>
        <w:pStyle w:val="4"/>
        <w:numPr>
          <w:ilvl w:val="0"/>
          <w:numId w:val="2"/>
        </w:numPr>
        <w:shd w:val="clear" w:color="auto" w:fill="auto"/>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数据管控及污染排查</w:t>
      </w:r>
    </w:p>
    <w:p w14:paraId="6FBB5227">
      <w:pPr>
        <w:pStyle w:val="5"/>
        <w:numPr>
          <w:ilvl w:val="0"/>
          <w:numId w:val="0"/>
        </w:numPr>
        <w:shd w:val="clear" w:color="auto" w:fill="auto"/>
        <w:spacing w:before="0" w:after="0" w:line="360" w:lineRule="auto"/>
        <w:ind w:left="420" w:leftChars="0" w:hanging="420" w:firstLineChars="0"/>
        <w:rPr>
          <w:rFonts w:hint="eastAsia" w:ascii="宋体" w:hAnsi="宋体" w:eastAsia="宋体" w:cs="宋体"/>
          <w:color w:val="auto"/>
          <w:sz w:val="21"/>
          <w:szCs w:val="21"/>
          <w:highlight w:val="none"/>
        </w:rPr>
      </w:pPr>
      <w:r>
        <w:rPr>
          <w:rFonts w:hint="eastAsia" w:ascii="仿宋" w:hAnsi="仿宋" w:eastAsia="仿宋" w:cs="宋体"/>
          <w:b/>
          <w:color w:val="auto"/>
          <w:sz w:val="21"/>
          <w:szCs w:val="21"/>
          <w:lang w:val="en-US" w:eastAsia="zh-CN" w:bidi="ar-SA"/>
        </w:rPr>
        <w:t>1.1</w:t>
      </w:r>
      <w:r>
        <w:rPr>
          <w:rFonts w:hint="eastAsia" w:ascii="宋体" w:hAnsi="宋体" w:eastAsia="宋体" w:cs="宋体"/>
          <w:color w:val="auto"/>
          <w:sz w:val="21"/>
          <w:szCs w:val="21"/>
          <w:highlight w:val="none"/>
        </w:rPr>
        <w:t>数据监控分析与效果评估</w:t>
      </w:r>
    </w:p>
    <w:p w14:paraId="26FC1EF7">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bookmarkStart w:id="1" w:name="_Hlk88481934"/>
      <w:r>
        <w:rPr>
          <w:rFonts w:hint="eastAsia" w:ascii="宋体" w:hAnsi="宋体" w:eastAsia="宋体" w:cs="宋体"/>
          <w:color w:val="auto"/>
          <w:sz w:val="21"/>
          <w:szCs w:val="21"/>
          <w:highlight w:val="none"/>
        </w:rPr>
        <w:t>团队每天对空气质量状况进行实时监控、研判，及时、快速拟定应对措施，抓住重点源，通过微信群、平台或APP下达指令，做好调度及反馈记录。</w:t>
      </w:r>
    </w:p>
    <w:p w14:paraId="41DE5B3B">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空气质量监测数据进行实时监控，及时发现点位数据缺数、突高等异常情况进行报告，快速分析各污染物在时间和空间上的分布特点，掌握各污染物的变化规律，快速、准确的分析污染原因、污染事件及分布特点。</w:t>
      </w:r>
    </w:p>
    <w:p w14:paraId="219DF031">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在污染特征分析的基础上，根据污染物各自的特点结合气象状况，污染源状况、周边情况，综合研判出污染成因及对策。</w:t>
      </w:r>
    </w:p>
    <w:p w14:paraId="48981A6E">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空气质量日分析：对开封城乡一体示范区截至前一日全年、当月、特殊时段（夏季、冬防等）数据统计计算。对前一日各类空气质量监测数据、污染源监测数据、气象数据进行综合关联分析，查明问题，提出分辨率较高，具有针对性和可操作性的管控措施。对前一日调度指令下达、反馈情况，措施执行及效果进行评估。</w:t>
      </w:r>
    </w:p>
    <w:p w14:paraId="37663D7E">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空气质量周分析：对开封城乡一体示范区一周以来的空气质量情况及调度指令执行情况、工作开展情况进行汇总，对本周督查整改反馈情况进行整理，通过一周监测数据的变化及对督查问题的整改完成情况，对管控效果进行量化分析评估，将目前管理工作中存在的问题更为直观地进行评估。</w:t>
      </w:r>
    </w:p>
    <w:p w14:paraId="4F0CFE03">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空气质量月分析：对上月开封城乡一体示范区污染物数据及排名情况和指挥中心指令落实完成情况进行阶段性分析，评估调度管控效果。将本地污染物变化情况与周边县区情况进行对比，综合各类数据，采取科学分析手段，通过差异查找问题。</w:t>
      </w:r>
    </w:p>
    <w:p w14:paraId="57F6DCF4">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（4）空气质量季度分析：对上季度开封城乡一体示范区污染物数据及排名情况进行阶段性分析及各类措施和管控效果评估，确定下季度空气质量目标值和大气污染主要特征因子，提出针对性的管控方向。</w:t>
      </w:r>
    </w:p>
    <w:p w14:paraId="6EE8A849">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空气质量半年度分析：主要对半年的城市环境空气质量进行系统性分析、指挥调度情况汇总分析，承上启下，对前半年的工作进行评价，对工作取得的成效及不足进行详实科学的分析评估，通过对前半年数据及目标完成情况的深入分析，挖掘减排潜力空间，测算各类措施预期空气质量改善效果，供决策使用。以更有针对性地指导下一步工作，为之后半年工作的谋划提供技术支撑。</w:t>
      </w:r>
    </w:p>
    <w:p w14:paraId="28657E06">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空气质量年度分析：通过对开封城乡一体示范区近几年空气质量数据、污染源情况、社会发展等资料的深入细致分析，诊断全市及不同区域存在的问题，给出未来不同阶段有针对性、操作性的工作重点方向及措施预期效果评估。根据下一年度目标将目标分解到每个月，并基于大气污染治理方案和大气污染防治年度实施计划，评估年度目标的可达性，协助制定相关考核制度。后期每个月根据前期目标完成情况，动态调整治理方案。同时对已施行的方案进行事后评估，对防治工作进行经验总结和对今后的空气质量改善提供启示。</w:t>
      </w:r>
    </w:p>
    <w:p w14:paraId="500C1FEB">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全年空气质量数据、空气质量排名、空气质量特征因子、污染物时空分布、气象因素的影响程度、各个站点之间的差异等各个方面进行综合分析，对全年工作中取得的重点成效、不足进行总结，为新一年更好地开展大气污染防治工作提供一个良好的理论指导及技术支撑。</w:t>
      </w:r>
    </w:p>
    <w:p w14:paraId="37C35523">
      <w:pPr>
        <w:shd w:val="clear" w:color="auto" w:fill="auto"/>
        <w:kinsoku w:val="0"/>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（7）实时发布管控建议：针对出现的数据突高等异常现象，团队根据科学分析及时推送可操作性的管控建议、指令，调度人员进行污染排查，并采取相关措施。必要时辅助以走航等科技手段予以验证。</w:t>
      </w:r>
      <w:bookmarkEnd w:id="1"/>
    </w:p>
    <w:p w14:paraId="54DE1CE8">
      <w:pPr>
        <w:pStyle w:val="5"/>
        <w:numPr>
          <w:ilvl w:val="0"/>
          <w:numId w:val="0"/>
        </w:numPr>
        <w:shd w:val="clear" w:color="auto" w:fill="auto"/>
        <w:spacing w:before="0" w:after="0" w:line="360" w:lineRule="auto"/>
        <w:ind w:left="420" w:leftChars="0" w:hanging="420" w:firstLineChars="0"/>
        <w:rPr>
          <w:rFonts w:hint="eastAsia" w:ascii="宋体" w:hAnsi="宋体" w:eastAsia="宋体" w:cs="宋体"/>
          <w:color w:val="auto"/>
          <w:sz w:val="21"/>
          <w:szCs w:val="21"/>
          <w:highlight w:val="none"/>
        </w:rPr>
      </w:pPr>
      <w:r>
        <w:rPr>
          <w:rFonts w:hint="eastAsia" w:ascii="仿宋" w:hAnsi="仿宋" w:eastAsia="仿宋" w:cs="宋体"/>
          <w:b/>
          <w:color w:val="auto"/>
          <w:sz w:val="21"/>
          <w:szCs w:val="21"/>
          <w:lang w:val="en-US" w:eastAsia="zh-CN" w:bidi="ar-SA"/>
        </w:rPr>
        <w:t>1.2</w:t>
      </w:r>
      <w:r>
        <w:rPr>
          <w:rFonts w:hint="eastAsia" w:ascii="宋体" w:hAnsi="宋体" w:eastAsia="宋体" w:cs="宋体"/>
          <w:color w:val="auto"/>
          <w:sz w:val="21"/>
          <w:szCs w:val="21"/>
          <w:highlight w:val="none"/>
        </w:rPr>
        <w:t>污染巡查服务</w:t>
      </w:r>
    </w:p>
    <w:p w14:paraId="4B07C155">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围绕开封城乡一体化示范区环境质量考核点的重点管控区域(国、省控站点周边3公里内)，安排专业巡查人员与区生态环境局、巡查组组建联合检查组，对工业企业、工地、餐饮、加油站、站点周边等重点区域进行巡查：针对工业企业、施工工地、餐饮油烟、散煤燃烧、农业源等调研走访，并针对调查发现的问题提出整改建议。</w:t>
      </w:r>
    </w:p>
    <w:p w14:paraId="217AC4F1">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用无人机、手持式设备等监测设备,进行日常巡查工作，及时发现污染源并取证，由巡查组迅速通报到相关部门或各镇、办,监督责任单位限期整改。同时，根据重污染预报和市生态环境局要求，提供相应的大气污染防治应急监测服务。同时驻场监测数据盯守人员发现异常数据，排除仪器故障、数据传输等原因后，立即派遣污染巡查人员前往污染发生地周边进行污染排查，查找污染源头并拍照取证，及时汇报，通知相关部门采取有效管控措施。报告数量根据实际情况而定。</w:t>
      </w:r>
    </w:p>
    <w:p w14:paraId="4055DEDD">
      <w:pPr>
        <w:pStyle w:val="4"/>
        <w:numPr>
          <w:ilvl w:val="0"/>
          <w:numId w:val="2"/>
        </w:numPr>
        <w:shd w:val="clear" w:color="auto" w:fill="auto"/>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空气质量预警预报服务 </w:t>
      </w:r>
    </w:p>
    <w:p w14:paraId="4FDB0B8B">
      <w:pPr>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对未来 7~10 天的大气扩散条件变化进行预测研判，基于此分析大气污染形势和空气质量变化趋势</w:t>
      </w:r>
      <w:r>
        <w:rPr>
          <w:rFonts w:hint="eastAsia" w:ascii="宋体" w:hAnsi="宋体" w:cs="宋体"/>
          <w:color w:val="auto"/>
          <w:sz w:val="21"/>
          <w:szCs w:val="21"/>
          <w:highlight w:val="none"/>
          <w:lang w:val="en-US" w:eastAsia="zh-CN"/>
        </w:rPr>
        <w:t>，编制</w:t>
      </w:r>
      <w:r>
        <w:rPr>
          <w:rFonts w:hint="eastAsia" w:ascii="宋体" w:hAnsi="宋体" w:eastAsia="宋体" w:cs="宋体"/>
          <w:strike w:val="0"/>
          <w:color w:val="auto"/>
          <w:kern w:val="0"/>
          <w:sz w:val="21"/>
          <w:szCs w:val="21"/>
          <w:highlight w:val="none"/>
          <w:lang w:val="en-US" w:eastAsia="zh-CN"/>
        </w:rPr>
        <w:t>气象条件研判报告</w:t>
      </w:r>
      <w:r>
        <w:rPr>
          <w:rFonts w:hint="eastAsia" w:ascii="宋体" w:hAnsi="宋体" w:eastAsia="宋体" w:cs="宋体"/>
          <w:color w:val="auto"/>
          <w:sz w:val="21"/>
          <w:szCs w:val="21"/>
          <w:highlight w:val="none"/>
          <w:lang w:val="en-US" w:eastAsia="zh-CN"/>
        </w:rPr>
        <w:t>。</w:t>
      </w:r>
    </w:p>
    <w:p w14:paraId="7364516A">
      <w:pPr>
        <w:pStyle w:val="4"/>
        <w:numPr>
          <w:ilvl w:val="0"/>
          <w:numId w:val="2"/>
        </w:numPr>
        <w:shd w:val="clear" w:color="auto" w:fill="auto"/>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秋冬季重污染天气应急攻坚服务 </w:t>
      </w:r>
    </w:p>
    <w:p w14:paraId="248010B0">
      <w:pPr>
        <w:widowControl w:val="0"/>
        <w:kinsoku/>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秋冬防期间，根据实时空气质量数据、湿度、风力、风向、和温度等气象数据，及时对污染过程进行分析研判，对重污染成因进行分析，提出污染源管控建议，做到削峰减值，并对应急管控效果进行评估</w:t>
      </w:r>
      <w:r>
        <w:rPr>
          <w:rFonts w:hint="eastAsia" w:ascii="宋体" w:hAnsi="宋体" w:cs="宋体"/>
          <w:color w:val="auto"/>
          <w:sz w:val="21"/>
          <w:szCs w:val="21"/>
          <w:highlight w:val="none"/>
          <w:lang w:val="en-US" w:eastAsia="zh-CN"/>
        </w:rPr>
        <w:t>，编制</w:t>
      </w:r>
      <w:r>
        <w:rPr>
          <w:rFonts w:hint="eastAsia" w:ascii="宋体" w:hAnsi="宋体" w:eastAsia="宋体" w:cs="宋体"/>
          <w:color w:val="auto"/>
          <w:kern w:val="0"/>
          <w:sz w:val="21"/>
          <w:szCs w:val="21"/>
          <w:highlight w:val="none"/>
          <w:lang w:val="en-US" w:eastAsia="zh-CN"/>
        </w:rPr>
        <w:t>重污染天气应急预案</w:t>
      </w:r>
      <w:r>
        <w:rPr>
          <w:rFonts w:hint="eastAsia" w:ascii="宋体" w:hAnsi="宋体" w:eastAsia="宋体" w:cs="宋体"/>
          <w:color w:val="auto"/>
          <w:sz w:val="21"/>
          <w:szCs w:val="21"/>
          <w:highlight w:val="none"/>
          <w:lang w:val="en-US" w:eastAsia="zh-CN"/>
        </w:rPr>
        <w:t xml:space="preserve">。 </w:t>
      </w:r>
    </w:p>
    <w:p w14:paraId="21A3DBD7">
      <w:pPr>
        <w:pStyle w:val="4"/>
        <w:numPr>
          <w:ilvl w:val="0"/>
          <w:numId w:val="2"/>
        </w:numPr>
        <w:shd w:val="clear" w:color="auto" w:fill="auto"/>
        <w:spacing w:before="0"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年度评估及指导服务 </w:t>
      </w:r>
    </w:p>
    <w:p w14:paraId="327F6D10">
      <w:pPr>
        <w:widowControl w:val="0"/>
        <w:kinsoku/>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w:t>
      </w:r>
      <w:r>
        <w:rPr>
          <w:rFonts w:hint="eastAsia" w:ascii="宋体" w:hAnsi="宋体" w:eastAsia="宋体" w:cs="宋体"/>
          <w:color w:val="auto"/>
          <w:sz w:val="21"/>
          <w:szCs w:val="21"/>
          <w:highlight w:val="none"/>
        </w:rPr>
        <w:t>开封城乡一体示范区</w:t>
      </w:r>
      <w:r>
        <w:rPr>
          <w:rFonts w:hint="eastAsia" w:ascii="宋体" w:hAnsi="宋体" w:eastAsia="宋体" w:cs="宋体"/>
          <w:color w:val="auto"/>
          <w:sz w:val="21"/>
          <w:szCs w:val="21"/>
          <w:highlight w:val="none"/>
          <w:lang w:val="en-US" w:eastAsia="zh-CN"/>
        </w:rPr>
        <w:t>2024 年大气污染防治存在的各项问题，制定2025 年大气污染防治工作计划，提出各项科学防治建议。</w:t>
      </w:r>
    </w:p>
    <w:p w14:paraId="5C73CB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44E7F"/>
    <w:multiLevelType w:val="multilevel"/>
    <w:tmpl w:val="11644E7F"/>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BF63E3"/>
    <w:multiLevelType w:val="multilevel"/>
    <w:tmpl w:val="16BF63E3"/>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D93835"/>
    <w:multiLevelType w:val="multilevel"/>
    <w:tmpl w:val="33D93835"/>
    <w:lvl w:ilvl="0" w:tentative="0">
      <w:start w:val="1"/>
      <w:numFmt w:val="decimal"/>
      <w:suff w:val="nothing"/>
      <w:lvlText w:val="（%1）"/>
      <w:lvlJc w:val="left"/>
      <w:pPr>
        <w:ind w:left="0" w:firstLine="0"/>
      </w:pPr>
      <w:rPr>
        <w:rFonts w:hint="eastAsia" w:eastAsia="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160B6"/>
    <w:rsid w:val="00442987"/>
    <w:rsid w:val="219F0E71"/>
    <w:rsid w:val="3D1160B6"/>
    <w:rsid w:val="7BA9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2"/>
    <w:basedOn w:val="1"/>
    <w:next w:val="1"/>
    <w:qFormat/>
    <w:uiPriority w:val="6"/>
    <w:pPr>
      <w:keepNext/>
      <w:keepLines/>
      <w:spacing w:before="260" w:after="260" w:line="410" w:lineRule="auto"/>
      <w:outlineLvl w:val="1"/>
    </w:pPr>
    <w:rPr>
      <w:rFonts w:ascii="Arial" w:hAnsi="Arial" w:eastAsia="黑体" w:cs="Arial"/>
      <w:b/>
      <w:sz w:val="32"/>
      <w:szCs w:val="32"/>
    </w:rPr>
  </w:style>
  <w:style w:type="paragraph" w:styleId="4">
    <w:name w:val="heading 3"/>
    <w:basedOn w:val="1"/>
    <w:next w:val="1"/>
    <w:qFormat/>
    <w:uiPriority w:val="6"/>
    <w:pPr>
      <w:keepNext/>
      <w:keepLines/>
      <w:spacing w:line="360" w:lineRule="auto"/>
      <w:outlineLvl w:val="2"/>
    </w:pPr>
    <w:rPr>
      <w:b/>
      <w:sz w:val="24"/>
      <w:szCs w:val="32"/>
    </w:rPr>
  </w:style>
  <w:style w:type="paragraph" w:styleId="5">
    <w:name w:val="heading 4"/>
    <w:basedOn w:val="1"/>
    <w:next w:val="1"/>
    <w:qFormat/>
    <w:uiPriority w:val="6"/>
    <w:pPr>
      <w:keepNext/>
      <w:keepLines/>
      <w:spacing w:before="280" w:after="290" w:line="372" w:lineRule="auto"/>
      <w:outlineLvl w:val="3"/>
    </w:pPr>
    <w:rPr>
      <w:rFonts w:ascii="Arial" w:hAnsi="Arial" w:eastAsia="黑体" w:cs="Arial"/>
      <w:b/>
      <w:sz w:val="28"/>
      <w:szCs w:val="28"/>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6"/>
    <w:rPr>
      <w:rFonts w:eastAsia="楷体"/>
      <w:sz w:val="28"/>
    </w:rPr>
  </w:style>
  <w:style w:type="paragraph" w:styleId="6">
    <w:name w:val="Body Text 2"/>
    <w:basedOn w:val="1"/>
    <w:next w:val="2"/>
    <w:qFormat/>
    <w:uiPriority w:val="99"/>
    <w:pPr>
      <w:spacing w:line="360" w:lineRule="auto"/>
    </w:pPr>
    <w:rPr>
      <w:sz w:val="24"/>
    </w:rPr>
  </w:style>
  <w:style w:type="table" w:styleId="8">
    <w:name w:val="Table Grid"/>
    <w:basedOn w:val="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kn无缩0"/>
    <w:basedOn w:val="1"/>
    <w:qFormat/>
    <w:uiPriority w:val="0"/>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4683</Words>
  <Characters>4776</Characters>
  <Lines>0</Lines>
  <Paragraphs>0</Paragraphs>
  <TotalTime>11</TotalTime>
  <ScaleCrop>false</ScaleCrop>
  <LinksUpToDate>false</LinksUpToDate>
  <CharactersWithSpaces>4797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2025-03-04T02:14:00Z</dcterms:created>
  <dc:creator>牛智康</dc:creator>
  <cp:lastModifiedBy>罗锦</cp:lastModifiedBy>
  <dcterms:modified xsi:type="dcterms:W3CDTF">2025-03-05T01:24:32Z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F2822308E7DA433ABF2081A2988F5C89_13</vt:lpwstr>
  </property>
  <property fmtid="{D5CDD505-2E9C-101B-9397-08002B2CF9AE}" pid="4" name="KSOTemplateDocerSaveRecord">
    <vt:lpwstr>eyJoZGlkIjoiYTBmYWYyODE0NThjMzg2NzYxZjg2N2FkY2RhZGFjMWEiLCJ1c2VySWQiOiIzMjEzODY3ODUifQ==</vt:lpwstr>
  </property>
</Properties>
</file>