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FA299">
      <w:pPr>
        <w:keepNext w:val="0"/>
        <w:keepLines w:val="0"/>
        <w:pageBreakBefore w:val="0"/>
        <w:widowControl w:val="0"/>
        <w:kinsoku/>
        <w:wordWrap/>
        <w:overflowPunct/>
        <w:topLinePunct w:val="0"/>
        <w:bidi w:val="0"/>
        <w:snapToGrid/>
        <w:spacing w:line="348" w:lineRule="auto"/>
        <w:jc w:val="center"/>
        <w:textAlignment w:val="auto"/>
        <w:rPr>
          <w:rFonts w:ascii="宋体" w:hAnsi="宋体" w:cs="宋体"/>
          <w:b/>
          <w:bCs/>
          <w:sz w:val="32"/>
          <w:szCs w:val="32"/>
        </w:rPr>
      </w:pPr>
      <w:r>
        <w:rPr>
          <w:rFonts w:hint="eastAsia" w:ascii="宋体" w:hAnsi="宋体" w:cs="宋体"/>
          <w:b/>
          <w:bCs/>
          <w:sz w:val="32"/>
          <w:szCs w:val="32"/>
          <w:lang w:val="en-US" w:eastAsia="zh-CN"/>
        </w:rPr>
        <w:t xml:space="preserve"> </w:t>
      </w:r>
      <w:r>
        <w:rPr>
          <w:rFonts w:hint="eastAsia" w:ascii="宋体" w:hAnsi="宋体" w:cs="宋体"/>
          <w:b/>
          <w:bCs/>
          <w:sz w:val="32"/>
          <w:szCs w:val="32"/>
          <w:lang w:eastAsia="zh-CN"/>
        </w:rPr>
        <w:t>汝州经济技术开发区管理委员会汝州经济技术开发区化工园区地下水污染详细调查和风险评估项目</w:t>
      </w:r>
      <w:r>
        <w:rPr>
          <w:rFonts w:hint="eastAsia" w:ascii="宋体" w:hAnsi="宋体" w:cs="宋体"/>
          <w:b/>
          <w:bCs/>
          <w:sz w:val="32"/>
          <w:szCs w:val="32"/>
        </w:rPr>
        <w:t>招标公告</w:t>
      </w:r>
    </w:p>
    <w:p w14:paraId="7E873B78">
      <w:pPr>
        <w:keepNext w:val="0"/>
        <w:keepLines w:val="0"/>
        <w:pageBreakBefore w:val="0"/>
        <w:widowControl w:val="0"/>
        <w:kinsoku/>
        <w:wordWrap/>
        <w:overflowPunct/>
        <w:topLinePunct w:val="0"/>
        <w:bidi w:val="0"/>
        <w:snapToGrid/>
        <w:spacing w:line="348" w:lineRule="auto"/>
        <w:textAlignment w:val="auto"/>
        <w:rPr>
          <w:sz w:val="21"/>
          <w:szCs w:val="21"/>
        </w:rPr>
      </w:pPr>
      <w:r>
        <w:rPr>
          <w:rFonts w:hint="eastAsia"/>
          <w:sz w:val="21"/>
          <w:szCs w:val="21"/>
        </w:rPr>
        <w:t>项目概况</w:t>
      </w:r>
    </w:p>
    <w:p w14:paraId="775BC41F">
      <w:pPr>
        <w:keepNext w:val="0"/>
        <w:keepLines w:val="0"/>
        <w:pageBreakBefore w:val="0"/>
        <w:widowControl w:val="0"/>
        <w:kinsoku/>
        <w:wordWrap/>
        <w:overflowPunct/>
        <w:topLinePunct w:val="0"/>
        <w:bidi w:val="0"/>
        <w:snapToGrid/>
        <w:spacing w:line="348" w:lineRule="auto"/>
        <w:ind w:firstLine="420" w:firstLineChars="200"/>
        <w:jc w:val="left"/>
        <w:textAlignment w:val="auto"/>
        <w:rPr>
          <w:sz w:val="21"/>
          <w:szCs w:val="21"/>
        </w:rPr>
      </w:pPr>
      <w:r>
        <w:rPr>
          <w:rFonts w:hint="eastAsia"/>
          <w:sz w:val="21"/>
          <w:szCs w:val="21"/>
          <w:lang w:eastAsia="zh-CN"/>
        </w:rPr>
        <w:t xml:space="preserve"> 汝州经济技术开发区管理委员会汝州经济技术开发区化工园区地下水污染详细调查和风险评估项目</w:t>
      </w:r>
      <w:r>
        <w:rPr>
          <w:rFonts w:hint="eastAsia"/>
          <w:sz w:val="21"/>
          <w:szCs w:val="21"/>
        </w:rPr>
        <w:t>的潜在供应商应在全国公共资源交易平台（河南省·汝州市）（http：//www.rzggzy.com）获取招标文件，并于202</w:t>
      </w:r>
      <w:r>
        <w:rPr>
          <w:rFonts w:hint="eastAsia"/>
          <w:sz w:val="21"/>
          <w:szCs w:val="21"/>
          <w:lang w:val="en-US" w:eastAsia="zh-CN"/>
        </w:rPr>
        <w:t>6</w:t>
      </w:r>
      <w:r>
        <w:rPr>
          <w:rFonts w:hint="eastAsia"/>
          <w:sz w:val="21"/>
          <w:szCs w:val="21"/>
        </w:rPr>
        <w:t>年</w:t>
      </w:r>
      <w:r>
        <w:rPr>
          <w:rFonts w:hint="eastAsia"/>
          <w:sz w:val="21"/>
          <w:szCs w:val="21"/>
          <w:lang w:val="en-US" w:eastAsia="zh-CN"/>
        </w:rPr>
        <w:t>1</w:t>
      </w:r>
      <w:r>
        <w:rPr>
          <w:rFonts w:hint="eastAsia"/>
          <w:sz w:val="21"/>
          <w:szCs w:val="21"/>
        </w:rPr>
        <w:t>月</w:t>
      </w:r>
      <w:r>
        <w:rPr>
          <w:rFonts w:hint="eastAsia"/>
          <w:sz w:val="21"/>
          <w:szCs w:val="21"/>
          <w:lang w:val="en-US" w:eastAsia="zh-CN"/>
        </w:rPr>
        <w:t>20</w:t>
      </w:r>
      <w:r>
        <w:rPr>
          <w:rFonts w:hint="eastAsia"/>
          <w:sz w:val="21"/>
          <w:szCs w:val="21"/>
        </w:rPr>
        <w:t>日</w:t>
      </w:r>
      <w:r>
        <w:rPr>
          <w:sz w:val="21"/>
          <w:szCs w:val="21"/>
        </w:rPr>
        <w:t>8</w:t>
      </w:r>
      <w:r>
        <w:rPr>
          <w:rFonts w:hint="eastAsia"/>
          <w:sz w:val="21"/>
          <w:szCs w:val="21"/>
        </w:rPr>
        <w:t>点3</w:t>
      </w:r>
      <w:r>
        <w:rPr>
          <w:sz w:val="21"/>
          <w:szCs w:val="21"/>
        </w:rPr>
        <w:t>0</w:t>
      </w:r>
      <w:r>
        <w:rPr>
          <w:rFonts w:hint="eastAsia"/>
          <w:sz w:val="21"/>
          <w:szCs w:val="21"/>
        </w:rPr>
        <w:t>分（北京时间）前</w:t>
      </w:r>
      <w:r>
        <w:rPr>
          <w:rFonts w:hint="eastAsia"/>
          <w:sz w:val="21"/>
          <w:szCs w:val="21"/>
          <w:lang w:val="en-US" w:eastAsia="zh-CN"/>
        </w:rPr>
        <w:t>递交</w:t>
      </w:r>
      <w:r>
        <w:rPr>
          <w:rFonts w:hint="eastAsia"/>
          <w:sz w:val="21"/>
          <w:szCs w:val="21"/>
        </w:rPr>
        <w:t>投标文件。</w:t>
      </w:r>
    </w:p>
    <w:p w14:paraId="0BFBBA1D">
      <w:pPr>
        <w:keepNext w:val="0"/>
        <w:keepLines w:val="0"/>
        <w:pageBreakBefore w:val="0"/>
        <w:widowControl w:val="0"/>
        <w:kinsoku/>
        <w:wordWrap/>
        <w:overflowPunct/>
        <w:topLinePunct w:val="0"/>
        <w:bidi w:val="0"/>
        <w:snapToGrid/>
        <w:spacing w:line="348" w:lineRule="auto"/>
        <w:textAlignment w:val="auto"/>
        <w:rPr>
          <w:b/>
          <w:bCs/>
          <w:sz w:val="21"/>
          <w:szCs w:val="21"/>
        </w:rPr>
      </w:pPr>
      <w:r>
        <w:rPr>
          <w:rFonts w:hint="eastAsia"/>
          <w:b/>
          <w:bCs/>
          <w:sz w:val="21"/>
          <w:szCs w:val="21"/>
        </w:rPr>
        <w:t>一、项目基本情况</w:t>
      </w:r>
    </w:p>
    <w:p w14:paraId="5AD0B9CE">
      <w:pPr>
        <w:keepNext w:val="0"/>
        <w:keepLines w:val="0"/>
        <w:pageBreakBefore w:val="0"/>
        <w:widowControl w:val="0"/>
        <w:kinsoku/>
        <w:wordWrap/>
        <w:overflowPunct/>
        <w:topLinePunct w:val="0"/>
        <w:bidi w:val="0"/>
        <w:snapToGrid/>
        <w:spacing w:line="348" w:lineRule="auto"/>
        <w:ind w:firstLine="420" w:firstLineChars="200"/>
        <w:textAlignment w:val="auto"/>
        <w:rPr>
          <w:rFonts w:hint="default" w:eastAsia="宋体"/>
          <w:sz w:val="21"/>
          <w:szCs w:val="21"/>
          <w:lang w:val="en-US" w:eastAsia="zh-CN"/>
        </w:rPr>
      </w:pPr>
      <w:r>
        <w:rPr>
          <w:rFonts w:hint="eastAsia"/>
          <w:sz w:val="21"/>
          <w:szCs w:val="21"/>
        </w:rPr>
        <w:t>1、采购项目编号：汝财招标采购-202</w:t>
      </w:r>
      <w:r>
        <w:rPr>
          <w:rFonts w:hint="eastAsia"/>
          <w:sz w:val="21"/>
          <w:szCs w:val="21"/>
          <w:lang w:val="en-US" w:eastAsia="zh-CN"/>
        </w:rPr>
        <w:t>5</w:t>
      </w:r>
      <w:r>
        <w:rPr>
          <w:rFonts w:hint="eastAsia"/>
          <w:sz w:val="21"/>
          <w:szCs w:val="21"/>
        </w:rPr>
        <w:t>-</w:t>
      </w:r>
      <w:r>
        <w:rPr>
          <w:rFonts w:hint="eastAsia"/>
          <w:sz w:val="21"/>
          <w:szCs w:val="21"/>
          <w:lang w:val="en-US" w:eastAsia="zh-CN"/>
        </w:rPr>
        <w:t>61</w:t>
      </w:r>
    </w:p>
    <w:p w14:paraId="7BB93B0D">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eastAsia="宋体"/>
          <w:sz w:val="21"/>
          <w:szCs w:val="21"/>
          <w:lang w:eastAsia="zh-CN"/>
        </w:rPr>
      </w:pPr>
      <w:r>
        <w:rPr>
          <w:rFonts w:hint="eastAsia"/>
          <w:sz w:val="21"/>
          <w:szCs w:val="21"/>
        </w:rPr>
        <w:t>2、采购项目名称：</w:t>
      </w:r>
      <w:r>
        <w:rPr>
          <w:rFonts w:hint="eastAsia"/>
          <w:sz w:val="21"/>
          <w:szCs w:val="21"/>
          <w:lang w:eastAsia="zh-CN"/>
        </w:rPr>
        <w:t xml:space="preserve"> 汝州经济技术开发区管理委员会汝州经济技术开发区化工园区地下水污染详细调查和风险评估项目</w:t>
      </w:r>
    </w:p>
    <w:p w14:paraId="7DEE6932">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3、采购方式：公开招标</w:t>
      </w:r>
    </w:p>
    <w:p w14:paraId="088B85EA">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4、预算金额：</w:t>
      </w:r>
      <w:r>
        <w:rPr>
          <w:rFonts w:hint="eastAsia"/>
          <w:sz w:val="21"/>
          <w:szCs w:val="21"/>
          <w:lang w:eastAsia="zh-CN"/>
        </w:rPr>
        <w:t>5393632.89</w:t>
      </w:r>
      <w:r>
        <w:rPr>
          <w:rFonts w:hint="eastAsia"/>
          <w:sz w:val="21"/>
          <w:szCs w:val="21"/>
        </w:rPr>
        <w:t>元</w:t>
      </w:r>
    </w:p>
    <w:p w14:paraId="4BEAE380">
      <w:pPr>
        <w:keepNext w:val="0"/>
        <w:keepLines w:val="0"/>
        <w:pageBreakBefore w:val="0"/>
        <w:widowControl w:val="0"/>
        <w:kinsoku/>
        <w:wordWrap/>
        <w:overflowPunct/>
        <w:topLinePunct w:val="0"/>
        <w:bidi w:val="0"/>
        <w:snapToGrid/>
        <w:spacing w:line="348" w:lineRule="auto"/>
        <w:ind w:firstLine="840" w:firstLineChars="400"/>
        <w:textAlignment w:val="auto"/>
        <w:rPr>
          <w:sz w:val="21"/>
          <w:szCs w:val="21"/>
        </w:rPr>
      </w:pPr>
      <w:r>
        <w:rPr>
          <w:rFonts w:hint="eastAsia"/>
          <w:sz w:val="21"/>
          <w:szCs w:val="21"/>
        </w:rPr>
        <w:t>最高限价：</w:t>
      </w:r>
      <w:r>
        <w:rPr>
          <w:rFonts w:hint="eastAsia"/>
          <w:sz w:val="21"/>
          <w:szCs w:val="21"/>
          <w:lang w:eastAsia="zh-CN"/>
        </w:rPr>
        <w:t>5393632.89</w:t>
      </w:r>
      <w:r>
        <w:rPr>
          <w:rFonts w:hint="eastAsia"/>
          <w:sz w:val="21"/>
          <w:szCs w:val="21"/>
        </w:rPr>
        <w:t>元</w:t>
      </w:r>
    </w:p>
    <w:tbl>
      <w:tblPr>
        <w:tblStyle w:val="3"/>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750"/>
        <w:gridCol w:w="4038"/>
        <w:gridCol w:w="1610"/>
        <w:gridCol w:w="1780"/>
      </w:tblGrid>
      <w:tr w14:paraId="5412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tcPr>
          <w:p w14:paraId="2C2C78EF">
            <w:pPr>
              <w:pStyle w:val="5"/>
              <w:keepNext w:val="0"/>
              <w:keepLines w:val="0"/>
              <w:pageBreakBefore w:val="0"/>
              <w:widowControl w:val="0"/>
              <w:kinsoku/>
              <w:wordWrap/>
              <w:overflowPunct/>
              <w:topLinePunct w:val="0"/>
              <w:bidi w:val="0"/>
              <w:snapToGrid/>
              <w:spacing w:line="348" w:lineRule="auto"/>
              <w:jc w:val="center"/>
              <w:textAlignment w:val="auto"/>
              <w:rPr>
                <w:sz w:val="21"/>
                <w:szCs w:val="21"/>
              </w:rPr>
            </w:pPr>
            <w:r>
              <w:rPr>
                <w:rFonts w:hint="eastAsia"/>
                <w:sz w:val="21"/>
                <w:szCs w:val="21"/>
              </w:rPr>
              <w:t>序号</w:t>
            </w:r>
          </w:p>
        </w:tc>
        <w:tc>
          <w:tcPr>
            <w:tcW w:w="750" w:type="dxa"/>
          </w:tcPr>
          <w:p w14:paraId="5A2580A3">
            <w:pPr>
              <w:pStyle w:val="5"/>
              <w:keepNext w:val="0"/>
              <w:keepLines w:val="0"/>
              <w:pageBreakBefore w:val="0"/>
              <w:widowControl w:val="0"/>
              <w:kinsoku/>
              <w:wordWrap/>
              <w:overflowPunct/>
              <w:topLinePunct w:val="0"/>
              <w:bidi w:val="0"/>
              <w:snapToGrid/>
              <w:spacing w:line="348" w:lineRule="auto"/>
              <w:jc w:val="center"/>
              <w:textAlignment w:val="auto"/>
              <w:rPr>
                <w:sz w:val="21"/>
                <w:szCs w:val="21"/>
              </w:rPr>
            </w:pPr>
            <w:r>
              <w:rPr>
                <w:rFonts w:hint="eastAsia"/>
                <w:sz w:val="21"/>
                <w:szCs w:val="21"/>
              </w:rPr>
              <w:t>包号</w:t>
            </w:r>
          </w:p>
        </w:tc>
        <w:tc>
          <w:tcPr>
            <w:tcW w:w="4038" w:type="dxa"/>
          </w:tcPr>
          <w:p w14:paraId="068BAA46">
            <w:pPr>
              <w:pStyle w:val="5"/>
              <w:keepNext w:val="0"/>
              <w:keepLines w:val="0"/>
              <w:pageBreakBefore w:val="0"/>
              <w:widowControl w:val="0"/>
              <w:kinsoku/>
              <w:wordWrap/>
              <w:overflowPunct/>
              <w:topLinePunct w:val="0"/>
              <w:bidi w:val="0"/>
              <w:snapToGrid/>
              <w:spacing w:line="348" w:lineRule="auto"/>
              <w:jc w:val="center"/>
              <w:textAlignment w:val="auto"/>
              <w:rPr>
                <w:sz w:val="21"/>
                <w:szCs w:val="21"/>
              </w:rPr>
            </w:pPr>
            <w:r>
              <w:rPr>
                <w:rFonts w:hint="eastAsia"/>
                <w:sz w:val="21"/>
                <w:szCs w:val="21"/>
              </w:rPr>
              <w:t>包名称</w:t>
            </w:r>
          </w:p>
        </w:tc>
        <w:tc>
          <w:tcPr>
            <w:tcW w:w="1610" w:type="dxa"/>
          </w:tcPr>
          <w:p w14:paraId="6C6A5577">
            <w:pPr>
              <w:pStyle w:val="5"/>
              <w:keepNext w:val="0"/>
              <w:keepLines w:val="0"/>
              <w:pageBreakBefore w:val="0"/>
              <w:widowControl w:val="0"/>
              <w:kinsoku/>
              <w:wordWrap/>
              <w:overflowPunct/>
              <w:topLinePunct w:val="0"/>
              <w:bidi w:val="0"/>
              <w:snapToGrid/>
              <w:spacing w:line="348" w:lineRule="auto"/>
              <w:jc w:val="center"/>
              <w:textAlignment w:val="auto"/>
              <w:rPr>
                <w:sz w:val="21"/>
                <w:szCs w:val="21"/>
              </w:rPr>
            </w:pPr>
            <w:r>
              <w:rPr>
                <w:rFonts w:hint="eastAsia"/>
                <w:sz w:val="21"/>
                <w:szCs w:val="21"/>
              </w:rPr>
              <w:t>包预算（元）</w:t>
            </w:r>
          </w:p>
        </w:tc>
        <w:tc>
          <w:tcPr>
            <w:tcW w:w="1780" w:type="dxa"/>
          </w:tcPr>
          <w:p w14:paraId="61663C4B">
            <w:pPr>
              <w:pStyle w:val="5"/>
              <w:keepNext w:val="0"/>
              <w:keepLines w:val="0"/>
              <w:pageBreakBefore w:val="0"/>
              <w:widowControl w:val="0"/>
              <w:kinsoku/>
              <w:wordWrap/>
              <w:overflowPunct/>
              <w:topLinePunct w:val="0"/>
              <w:bidi w:val="0"/>
              <w:snapToGrid/>
              <w:spacing w:line="348" w:lineRule="auto"/>
              <w:jc w:val="center"/>
              <w:textAlignment w:val="auto"/>
              <w:rPr>
                <w:sz w:val="21"/>
                <w:szCs w:val="21"/>
              </w:rPr>
            </w:pPr>
            <w:r>
              <w:rPr>
                <w:rFonts w:hint="eastAsia"/>
                <w:sz w:val="21"/>
                <w:szCs w:val="21"/>
              </w:rPr>
              <w:t>包最高限价（元）</w:t>
            </w:r>
          </w:p>
        </w:tc>
      </w:tr>
      <w:tr w14:paraId="673E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18" w:type="dxa"/>
            <w:vAlign w:val="center"/>
          </w:tcPr>
          <w:p w14:paraId="615D09DC">
            <w:pPr>
              <w:pStyle w:val="5"/>
              <w:keepNext w:val="0"/>
              <w:keepLines w:val="0"/>
              <w:pageBreakBefore w:val="0"/>
              <w:widowControl w:val="0"/>
              <w:kinsoku/>
              <w:wordWrap/>
              <w:overflowPunct/>
              <w:topLinePunct w:val="0"/>
              <w:bidi w:val="0"/>
              <w:snapToGrid/>
              <w:spacing w:line="348" w:lineRule="auto"/>
              <w:jc w:val="center"/>
              <w:textAlignment w:val="auto"/>
              <w:rPr>
                <w:sz w:val="21"/>
                <w:szCs w:val="21"/>
              </w:rPr>
            </w:pPr>
            <w:r>
              <w:rPr>
                <w:rFonts w:hint="eastAsia"/>
                <w:sz w:val="21"/>
                <w:szCs w:val="21"/>
              </w:rPr>
              <w:t>1</w:t>
            </w:r>
          </w:p>
        </w:tc>
        <w:tc>
          <w:tcPr>
            <w:tcW w:w="750" w:type="dxa"/>
            <w:vAlign w:val="center"/>
          </w:tcPr>
          <w:p w14:paraId="57E06445">
            <w:pPr>
              <w:pStyle w:val="5"/>
              <w:keepNext w:val="0"/>
              <w:keepLines w:val="0"/>
              <w:pageBreakBefore w:val="0"/>
              <w:widowControl w:val="0"/>
              <w:kinsoku/>
              <w:wordWrap/>
              <w:overflowPunct/>
              <w:topLinePunct w:val="0"/>
              <w:bidi w:val="0"/>
              <w:snapToGrid/>
              <w:spacing w:line="348" w:lineRule="auto"/>
              <w:jc w:val="center"/>
              <w:textAlignment w:val="auto"/>
              <w:rPr>
                <w:sz w:val="21"/>
                <w:szCs w:val="21"/>
              </w:rPr>
            </w:pPr>
            <w:r>
              <w:rPr>
                <w:rFonts w:hint="eastAsia"/>
                <w:sz w:val="21"/>
                <w:szCs w:val="21"/>
              </w:rPr>
              <w:t>1</w:t>
            </w:r>
          </w:p>
        </w:tc>
        <w:tc>
          <w:tcPr>
            <w:tcW w:w="4038" w:type="dxa"/>
            <w:vAlign w:val="center"/>
          </w:tcPr>
          <w:p w14:paraId="22A86E97">
            <w:pPr>
              <w:pStyle w:val="5"/>
              <w:keepNext w:val="0"/>
              <w:keepLines w:val="0"/>
              <w:pageBreakBefore w:val="0"/>
              <w:widowControl w:val="0"/>
              <w:kinsoku/>
              <w:wordWrap/>
              <w:overflowPunct/>
              <w:topLinePunct w:val="0"/>
              <w:bidi w:val="0"/>
              <w:snapToGrid/>
              <w:spacing w:line="348" w:lineRule="auto"/>
              <w:jc w:val="center"/>
              <w:textAlignment w:val="auto"/>
              <w:rPr>
                <w:rFonts w:hint="default" w:eastAsia="宋体"/>
                <w:sz w:val="21"/>
                <w:szCs w:val="21"/>
                <w:lang w:val="en-US" w:eastAsia="zh-CN"/>
              </w:rPr>
            </w:pPr>
            <w:r>
              <w:rPr>
                <w:rFonts w:hint="eastAsia"/>
                <w:sz w:val="21"/>
                <w:szCs w:val="21"/>
                <w:lang w:eastAsia="zh-CN"/>
              </w:rPr>
              <w:t>汝州经济技术开发区管理委员会汝州经济技术开发区化工园区地下水污染详细调查和风险评估项目</w:t>
            </w:r>
            <w:r>
              <w:rPr>
                <w:rFonts w:hint="eastAsia"/>
                <w:sz w:val="21"/>
                <w:szCs w:val="21"/>
                <w:lang w:val="en-US" w:eastAsia="zh-CN"/>
              </w:rPr>
              <w:t>第一标段</w:t>
            </w:r>
          </w:p>
        </w:tc>
        <w:tc>
          <w:tcPr>
            <w:tcW w:w="1610" w:type="dxa"/>
            <w:vAlign w:val="center"/>
          </w:tcPr>
          <w:p w14:paraId="657B2668">
            <w:pPr>
              <w:pStyle w:val="5"/>
              <w:keepNext w:val="0"/>
              <w:keepLines w:val="0"/>
              <w:pageBreakBefore w:val="0"/>
              <w:widowControl w:val="0"/>
              <w:kinsoku/>
              <w:wordWrap/>
              <w:overflowPunct/>
              <w:topLinePunct w:val="0"/>
              <w:bidi w:val="0"/>
              <w:snapToGrid/>
              <w:spacing w:line="348" w:lineRule="auto"/>
              <w:jc w:val="center"/>
              <w:textAlignment w:val="auto"/>
              <w:rPr>
                <w:rFonts w:hint="eastAsia" w:eastAsia="宋体"/>
                <w:sz w:val="21"/>
                <w:szCs w:val="21"/>
                <w:lang w:eastAsia="zh-CN"/>
              </w:rPr>
            </w:pPr>
            <w:r>
              <w:rPr>
                <w:rFonts w:hint="eastAsia"/>
                <w:sz w:val="21"/>
                <w:szCs w:val="21"/>
                <w:lang w:eastAsia="zh-CN"/>
              </w:rPr>
              <w:t>4903302.63</w:t>
            </w:r>
          </w:p>
        </w:tc>
        <w:tc>
          <w:tcPr>
            <w:tcW w:w="1780" w:type="dxa"/>
            <w:vAlign w:val="center"/>
          </w:tcPr>
          <w:p w14:paraId="40E720FE">
            <w:pPr>
              <w:pStyle w:val="5"/>
              <w:keepNext w:val="0"/>
              <w:keepLines w:val="0"/>
              <w:pageBreakBefore w:val="0"/>
              <w:widowControl w:val="0"/>
              <w:kinsoku/>
              <w:wordWrap/>
              <w:overflowPunct/>
              <w:topLinePunct w:val="0"/>
              <w:bidi w:val="0"/>
              <w:snapToGrid/>
              <w:spacing w:line="348" w:lineRule="auto"/>
              <w:jc w:val="center"/>
              <w:textAlignment w:val="auto"/>
              <w:rPr>
                <w:rFonts w:hint="eastAsia" w:eastAsia="宋体"/>
                <w:sz w:val="21"/>
                <w:szCs w:val="21"/>
                <w:lang w:eastAsia="zh-CN"/>
              </w:rPr>
            </w:pPr>
            <w:r>
              <w:rPr>
                <w:rFonts w:hint="eastAsia"/>
                <w:sz w:val="21"/>
                <w:szCs w:val="21"/>
                <w:lang w:eastAsia="zh-CN"/>
              </w:rPr>
              <w:t>4903302.63</w:t>
            </w:r>
          </w:p>
        </w:tc>
      </w:tr>
      <w:tr w14:paraId="0E77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18" w:type="dxa"/>
            <w:vAlign w:val="center"/>
          </w:tcPr>
          <w:p w14:paraId="6834D938">
            <w:pPr>
              <w:pStyle w:val="5"/>
              <w:keepNext w:val="0"/>
              <w:keepLines w:val="0"/>
              <w:pageBreakBefore w:val="0"/>
              <w:widowControl w:val="0"/>
              <w:kinsoku/>
              <w:wordWrap/>
              <w:overflowPunct/>
              <w:topLinePunct w:val="0"/>
              <w:bidi w:val="0"/>
              <w:snapToGrid/>
              <w:spacing w:line="348" w:lineRule="auto"/>
              <w:jc w:val="center"/>
              <w:textAlignment w:val="auto"/>
              <w:rPr>
                <w:rFonts w:hint="eastAsia" w:eastAsia="宋体"/>
                <w:sz w:val="21"/>
                <w:szCs w:val="21"/>
                <w:lang w:val="en-US" w:eastAsia="zh-CN"/>
              </w:rPr>
            </w:pPr>
            <w:r>
              <w:rPr>
                <w:rFonts w:hint="eastAsia"/>
                <w:sz w:val="21"/>
                <w:szCs w:val="21"/>
                <w:lang w:val="en-US" w:eastAsia="zh-CN"/>
              </w:rPr>
              <w:t>2</w:t>
            </w:r>
          </w:p>
        </w:tc>
        <w:tc>
          <w:tcPr>
            <w:tcW w:w="750" w:type="dxa"/>
            <w:vAlign w:val="center"/>
          </w:tcPr>
          <w:p w14:paraId="03BCA852">
            <w:pPr>
              <w:pStyle w:val="5"/>
              <w:keepNext w:val="0"/>
              <w:keepLines w:val="0"/>
              <w:pageBreakBefore w:val="0"/>
              <w:widowControl w:val="0"/>
              <w:kinsoku/>
              <w:wordWrap/>
              <w:overflowPunct/>
              <w:topLinePunct w:val="0"/>
              <w:bidi w:val="0"/>
              <w:snapToGrid/>
              <w:spacing w:line="348" w:lineRule="auto"/>
              <w:jc w:val="center"/>
              <w:textAlignment w:val="auto"/>
              <w:rPr>
                <w:rFonts w:hint="eastAsia" w:eastAsia="宋体"/>
                <w:sz w:val="21"/>
                <w:szCs w:val="21"/>
                <w:lang w:val="en-US" w:eastAsia="zh-CN"/>
              </w:rPr>
            </w:pPr>
            <w:r>
              <w:rPr>
                <w:rFonts w:hint="eastAsia"/>
                <w:sz w:val="21"/>
                <w:szCs w:val="21"/>
                <w:lang w:val="en-US" w:eastAsia="zh-CN"/>
              </w:rPr>
              <w:t>2</w:t>
            </w:r>
          </w:p>
        </w:tc>
        <w:tc>
          <w:tcPr>
            <w:tcW w:w="4038" w:type="dxa"/>
            <w:vAlign w:val="center"/>
          </w:tcPr>
          <w:p w14:paraId="3675CF35">
            <w:pPr>
              <w:pStyle w:val="5"/>
              <w:keepNext w:val="0"/>
              <w:keepLines w:val="0"/>
              <w:pageBreakBefore w:val="0"/>
              <w:widowControl w:val="0"/>
              <w:kinsoku/>
              <w:wordWrap/>
              <w:overflowPunct/>
              <w:topLinePunct w:val="0"/>
              <w:bidi w:val="0"/>
              <w:snapToGrid/>
              <w:spacing w:line="348" w:lineRule="auto"/>
              <w:jc w:val="center"/>
              <w:textAlignment w:val="auto"/>
              <w:rPr>
                <w:rFonts w:hint="eastAsia"/>
                <w:sz w:val="21"/>
                <w:szCs w:val="21"/>
                <w:lang w:eastAsia="zh-CN"/>
              </w:rPr>
            </w:pPr>
            <w:r>
              <w:rPr>
                <w:rFonts w:hint="eastAsia"/>
                <w:sz w:val="21"/>
                <w:szCs w:val="21"/>
                <w:lang w:eastAsia="zh-CN"/>
              </w:rPr>
              <w:t>汝州经济技术开发区管理委员会汝州经济技术开发区化工园区地下水污染详细调查和风险评估项目</w:t>
            </w:r>
            <w:r>
              <w:rPr>
                <w:rFonts w:hint="eastAsia"/>
                <w:sz w:val="21"/>
                <w:szCs w:val="21"/>
                <w:lang w:val="en-US" w:eastAsia="zh-CN"/>
              </w:rPr>
              <w:t>第二标段</w:t>
            </w:r>
          </w:p>
        </w:tc>
        <w:tc>
          <w:tcPr>
            <w:tcW w:w="1610" w:type="dxa"/>
            <w:vAlign w:val="center"/>
          </w:tcPr>
          <w:p w14:paraId="5D244D0E">
            <w:pPr>
              <w:pStyle w:val="5"/>
              <w:keepNext w:val="0"/>
              <w:keepLines w:val="0"/>
              <w:pageBreakBefore w:val="0"/>
              <w:widowControl w:val="0"/>
              <w:kinsoku/>
              <w:wordWrap/>
              <w:overflowPunct/>
              <w:topLinePunct w:val="0"/>
              <w:bidi w:val="0"/>
              <w:snapToGrid/>
              <w:spacing w:line="348" w:lineRule="auto"/>
              <w:jc w:val="center"/>
              <w:textAlignment w:val="auto"/>
              <w:rPr>
                <w:rFonts w:hint="eastAsia"/>
                <w:sz w:val="21"/>
                <w:szCs w:val="21"/>
                <w:lang w:eastAsia="zh-CN"/>
              </w:rPr>
            </w:pPr>
            <w:r>
              <w:rPr>
                <w:rFonts w:hint="eastAsia"/>
                <w:sz w:val="21"/>
                <w:szCs w:val="21"/>
                <w:lang w:eastAsia="zh-CN"/>
              </w:rPr>
              <w:t>490330.26</w:t>
            </w:r>
          </w:p>
        </w:tc>
        <w:tc>
          <w:tcPr>
            <w:tcW w:w="1780" w:type="dxa"/>
            <w:vAlign w:val="center"/>
          </w:tcPr>
          <w:p w14:paraId="09660952">
            <w:pPr>
              <w:pStyle w:val="5"/>
              <w:keepNext w:val="0"/>
              <w:keepLines w:val="0"/>
              <w:pageBreakBefore w:val="0"/>
              <w:widowControl w:val="0"/>
              <w:kinsoku/>
              <w:wordWrap/>
              <w:overflowPunct/>
              <w:topLinePunct w:val="0"/>
              <w:bidi w:val="0"/>
              <w:snapToGrid/>
              <w:spacing w:line="348" w:lineRule="auto"/>
              <w:jc w:val="center"/>
              <w:textAlignment w:val="auto"/>
              <w:rPr>
                <w:rFonts w:hint="eastAsia"/>
                <w:sz w:val="21"/>
                <w:szCs w:val="21"/>
                <w:lang w:eastAsia="zh-CN"/>
              </w:rPr>
            </w:pPr>
            <w:r>
              <w:rPr>
                <w:rFonts w:hint="eastAsia"/>
                <w:sz w:val="21"/>
                <w:szCs w:val="21"/>
                <w:lang w:eastAsia="zh-CN"/>
              </w:rPr>
              <w:t>490330.26</w:t>
            </w:r>
          </w:p>
        </w:tc>
      </w:tr>
    </w:tbl>
    <w:p w14:paraId="72616657">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5、采购需求（包括但不限于标的的名称、数量、简要技术需求或服务要求等）</w:t>
      </w:r>
    </w:p>
    <w:p w14:paraId="4AD079DC">
      <w:pPr>
        <w:keepNext w:val="0"/>
        <w:keepLines w:val="0"/>
        <w:pageBreakBefore w:val="0"/>
        <w:widowControl w:val="0"/>
        <w:kinsoku/>
        <w:wordWrap/>
        <w:overflowPunct/>
        <w:topLinePunct w:val="0"/>
        <w:bidi w:val="0"/>
        <w:snapToGrid/>
        <w:spacing w:line="348" w:lineRule="auto"/>
        <w:ind w:firstLine="840" w:firstLineChars="400"/>
        <w:textAlignment w:val="auto"/>
        <w:rPr>
          <w:sz w:val="21"/>
          <w:szCs w:val="21"/>
          <w:highlight w:val="none"/>
        </w:rPr>
      </w:pPr>
      <w:r>
        <w:rPr>
          <w:rFonts w:hint="eastAsia"/>
          <w:sz w:val="21"/>
          <w:szCs w:val="21"/>
          <w:highlight w:val="none"/>
        </w:rPr>
        <w:t>5.1采购内容：</w:t>
      </w:r>
      <w:r>
        <w:rPr>
          <w:rFonts w:hint="eastAsia"/>
          <w:sz w:val="21"/>
          <w:szCs w:val="21"/>
          <w:highlight w:val="none"/>
          <w:lang w:val="en-US" w:eastAsia="zh-CN"/>
        </w:rPr>
        <w:t>第一标段：</w:t>
      </w:r>
      <w:r>
        <w:rPr>
          <w:rFonts w:hint="eastAsia"/>
          <w:sz w:val="21"/>
          <w:szCs w:val="21"/>
          <w:highlight w:val="none"/>
        </w:rPr>
        <w:t>对汝州经济技术开发区化工园区地下水污染区域开展详细调查，明确园区地下水污染范围及程度，构建三维数值模型预测园区地下水污染发展趋势，进行地下水污染健康风险评估，为后续开展化工园区地下水污染风险管控提供支撑。</w:t>
      </w:r>
    </w:p>
    <w:p w14:paraId="35EED994">
      <w:pPr>
        <w:keepNext w:val="0"/>
        <w:keepLines w:val="0"/>
        <w:pageBreakBefore w:val="0"/>
        <w:widowControl w:val="0"/>
        <w:kinsoku/>
        <w:wordWrap/>
        <w:overflowPunct/>
        <w:topLinePunct w:val="0"/>
        <w:bidi w:val="0"/>
        <w:snapToGrid/>
        <w:spacing w:line="348" w:lineRule="auto"/>
        <w:ind w:firstLine="840" w:firstLineChars="400"/>
        <w:textAlignment w:val="auto"/>
        <w:rPr>
          <w:rFonts w:hint="default" w:eastAsia="宋体"/>
          <w:sz w:val="21"/>
          <w:szCs w:val="21"/>
          <w:highlight w:val="none"/>
          <w:lang w:val="en-US" w:eastAsia="zh-CN"/>
        </w:rPr>
      </w:pPr>
      <w:r>
        <w:rPr>
          <w:rFonts w:hint="eastAsia"/>
          <w:sz w:val="21"/>
          <w:szCs w:val="21"/>
          <w:highlight w:val="none"/>
          <w:lang w:val="en-US" w:eastAsia="zh-CN"/>
        </w:rPr>
        <w:t>第二标段：对一标段工作进行全过程质量控制。</w:t>
      </w:r>
    </w:p>
    <w:p w14:paraId="5470ABE3">
      <w:pPr>
        <w:keepNext w:val="0"/>
        <w:keepLines w:val="0"/>
        <w:pageBreakBefore w:val="0"/>
        <w:widowControl w:val="0"/>
        <w:kinsoku/>
        <w:wordWrap/>
        <w:overflowPunct/>
        <w:topLinePunct w:val="0"/>
        <w:bidi w:val="0"/>
        <w:snapToGrid/>
        <w:spacing w:line="348" w:lineRule="auto"/>
        <w:ind w:firstLine="840" w:firstLineChars="400"/>
        <w:textAlignment w:val="auto"/>
        <w:rPr>
          <w:rFonts w:hint="default" w:eastAsia="宋体"/>
          <w:sz w:val="21"/>
          <w:szCs w:val="21"/>
          <w:highlight w:val="none"/>
          <w:lang w:val="en-US" w:eastAsia="zh-CN"/>
        </w:rPr>
      </w:pPr>
      <w:r>
        <w:rPr>
          <w:rFonts w:hint="eastAsia"/>
          <w:sz w:val="21"/>
          <w:szCs w:val="21"/>
          <w:highlight w:val="none"/>
        </w:rPr>
        <w:t>5.2资金来源：财政资金</w:t>
      </w:r>
    </w:p>
    <w:p w14:paraId="3834473C">
      <w:pPr>
        <w:keepNext w:val="0"/>
        <w:keepLines w:val="0"/>
        <w:pageBreakBefore w:val="0"/>
        <w:widowControl w:val="0"/>
        <w:kinsoku/>
        <w:wordWrap/>
        <w:overflowPunct/>
        <w:topLinePunct w:val="0"/>
        <w:bidi w:val="0"/>
        <w:snapToGrid/>
        <w:spacing w:line="348" w:lineRule="auto"/>
        <w:ind w:firstLine="840" w:firstLineChars="400"/>
        <w:textAlignment w:val="auto"/>
        <w:rPr>
          <w:sz w:val="21"/>
          <w:szCs w:val="21"/>
          <w:highlight w:val="none"/>
        </w:rPr>
      </w:pPr>
      <w:r>
        <w:rPr>
          <w:rFonts w:hint="eastAsia"/>
          <w:sz w:val="21"/>
          <w:szCs w:val="21"/>
          <w:highlight w:val="none"/>
        </w:rPr>
        <w:t>5.3质量要求：符合国家、行业相关规范标准及采购人要求</w:t>
      </w:r>
    </w:p>
    <w:p w14:paraId="0A687E4F">
      <w:pPr>
        <w:keepNext w:val="0"/>
        <w:keepLines w:val="0"/>
        <w:pageBreakBefore w:val="0"/>
        <w:widowControl w:val="0"/>
        <w:kinsoku/>
        <w:wordWrap/>
        <w:overflowPunct/>
        <w:topLinePunct w:val="0"/>
        <w:bidi w:val="0"/>
        <w:snapToGrid/>
        <w:spacing w:line="348" w:lineRule="auto"/>
        <w:ind w:firstLine="840" w:firstLineChars="400"/>
        <w:textAlignment w:val="auto"/>
        <w:rPr>
          <w:rFonts w:hint="eastAsia"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rPr>
        <w:t>5.4</w:t>
      </w:r>
      <w:r>
        <w:rPr>
          <w:rFonts w:hint="eastAsia" w:cs="Times New Roman"/>
          <w:sz w:val="21"/>
          <w:szCs w:val="21"/>
          <w:highlight w:val="none"/>
          <w:lang w:eastAsia="zh-CN"/>
        </w:rPr>
        <w:t>服务期限</w:t>
      </w:r>
      <w:r>
        <w:rPr>
          <w:rFonts w:hint="eastAsia" w:ascii="Times New Roman" w:hAnsi="Times New Roman" w:eastAsia="宋体" w:cs="Times New Roman"/>
          <w:sz w:val="21"/>
          <w:szCs w:val="21"/>
          <w:highlight w:val="none"/>
        </w:rPr>
        <w:t>：合同签订后12个月</w:t>
      </w:r>
    </w:p>
    <w:p w14:paraId="25654127">
      <w:pPr>
        <w:keepNext w:val="0"/>
        <w:keepLines w:val="0"/>
        <w:pageBreakBefore w:val="0"/>
        <w:widowControl w:val="0"/>
        <w:kinsoku/>
        <w:wordWrap/>
        <w:overflowPunct/>
        <w:topLinePunct w:val="0"/>
        <w:bidi w:val="0"/>
        <w:snapToGrid/>
        <w:spacing w:line="348" w:lineRule="auto"/>
        <w:ind w:firstLine="840" w:firstLineChars="40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5.5招标范围：</w:t>
      </w:r>
      <w:r>
        <w:rPr>
          <w:rFonts w:hint="eastAsia" w:cs="Times New Roman"/>
          <w:sz w:val="21"/>
          <w:szCs w:val="21"/>
          <w:lang w:val="en-US" w:eastAsia="zh-CN"/>
        </w:rPr>
        <w:t>服务要求</w:t>
      </w:r>
      <w:r>
        <w:rPr>
          <w:rFonts w:hint="eastAsia" w:ascii="Times New Roman" w:hAnsi="Times New Roman" w:eastAsia="宋体" w:cs="Times New Roman"/>
          <w:sz w:val="21"/>
          <w:szCs w:val="21"/>
          <w:lang w:val="en-US" w:eastAsia="zh-CN"/>
        </w:rPr>
        <w:t>内所含全部内容（详见招标文件）</w:t>
      </w:r>
    </w:p>
    <w:p w14:paraId="6C5D37A6">
      <w:pPr>
        <w:keepNext w:val="0"/>
        <w:keepLines w:val="0"/>
        <w:pageBreakBefore w:val="0"/>
        <w:widowControl w:val="0"/>
        <w:kinsoku/>
        <w:wordWrap/>
        <w:overflowPunct/>
        <w:topLinePunct w:val="0"/>
        <w:bidi w:val="0"/>
        <w:snapToGrid/>
        <w:spacing w:line="348" w:lineRule="auto"/>
        <w:ind w:firstLine="840" w:firstLineChars="400"/>
        <w:textAlignment w:val="auto"/>
        <w:rPr>
          <w:rFonts w:hint="eastAsia"/>
          <w:sz w:val="21"/>
          <w:szCs w:val="21"/>
        </w:rPr>
      </w:pPr>
      <w:r>
        <w:rPr>
          <w:rFonts w:hint="eastAsia"/>
          <w:sz w:val="21"/>
          <w:szCs w:val="21"/>
        </w:rPr>
        <w:t>5.</w:t>
      </w:r>
      <w:r>
        <w:rPr>
          <w:rFonts w:hint="eastAsia"/>
          <w:sz w:val="21"/>
          <w:szCs w:val="21"/>
          <w:lang w:val="en-US" w:eastAsia="zh-CN"/>
        </w:rPr>
        <w:t>5</w:t>
      </w:r>
      <w:r>
        <w:rPr>
          <w:rFonts w:hint="eastAsia"/>
          <w:sz w:val="21"/>
          <w:szCs w:val="21"/>
        </w:rPr>
        <w:t>标段划分：本项目共设</w:t>
      </w:r>
      <w:r>
        <w:rPr>
          <w:rFonts w:hint="eastAsia"/>
          <w:sz w:val="21"/>
          <w:szCs w:val="21"/>
          <w:lang w:val="en-US" w:eastAsia="zh-CN"/>
        </w:rPr>
        <w:t>二</w:t>
      </w:r>
      <w:r>
        <w:rPr>
          <w:rFonts w:hint="eastAsia"/>
          <w:sz w:val="21"/>
          <w:szCs w:val="21"/>
        </w:rPr>
        <w:t>个标段</w:t>
      </w:r>
    </w:p>
    <w:p w14:paraId="5F291086">
      <w:pPr>
        <w:keepNext w:val="0"/>
        <w:keepLines w:val="0"/>
        <w:pageBreakBefore w:val="0"/>
        <w:widowControl w:val="0"/>
        <w:kinsoku/>
        <w:wordWrap/>
        <w:overflowPunct/>
        <w:topLinePunct w:val="0"/>
        <w:bidi w:val="0"/>
        <w:snapToGrid/>
        <w:spacing w:line="348" w:lineRule="auto"/>
        <w:ind w:firstLine="840" w:firstLineChars="400"/>
        <w:textAlignment w:val="auto"/>
        <w:rPr>
          <w:rFonts w:hint="eastAsia"/>
          <w:sz w:val="21"/>
          <w:szCs w:val="21"/>
          <w:lang w:val="en-US" w:eastAsia="zh-CN"/>
        </w:rPr>
      </w:pPr>
      <w:r>
        <w:rPr>
          <w:rFonts w:hint="eastAsia"/>
          <w:sz w:val="21"/>
          <w:szCs w:val="21"/>
          <w:lang w:val="en-US" w:eastAsia="zh-CN"/>
        </w:rPr>
        <w:t>第一标段：汝州经济技术开发区化工园区地下水污染详细调查和风险评估</w:t>
      </w:r>
    </w:p>
    <w:p w14:paraId="5E54A6AC">
      <w:pPr>
        <w:keepNext w:val="0"/>
        <w:keepLines w:val="0"/>
        <w:pageBreakBefore w:val="0"/>
        <w:widowControl w:val="0"/>
        <w:kinsoku/>
        <w:wordWrap/>
        <w:overflowPunct/>
        <w:topLinePunct w:val="0"/>
        <w:bidi w:val="0"/>
        <w:snapToGrid/>
        <w:spacing w:line="348" w:lineRule="auto"/>
        <w:ind w:firstLine="840" w:firstLineChars="400"/>
        <w:textAlignment w:val="auto"/>
        <w:rPr>
          <w:rFonts w:hint="default"/>
          <w:sz w:val="21"/>
          <w:szCs w:val="21"/>
          <w:lang w:val="en-US" w:eastAsia="zh-CN"/>
        </w:rPr>
      </w:pPr>
      <w:r>
        <w:rPr>
          <w:rFonts w:hint="eastAsia"/>
          <w:sz w:val="21"/>
          <w:szCs w:val="21"/>
          <w:lang w:val="en-US" w:eastAsia="zh-CN"/>
        </w:rPr>
        <w:t>第二标段：对一标段工作进行全过程质量控制</w:t>
      </w:r>
    </w:p>
    <w:p w14:paraId="5C972E75">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6、合同履行期限：</w:t>
      </w:r>
      <w:r>
        <w:rPr>
          <w:rFonts w:hint="eastAsia" w:ascii="Times New Roman" w:hAnsi="Times New Roman" w:eastAsia="宋体" w:cs="Times New Roman"/>
          <w:sz w:val="21"/>
          <w:szCs w:val="21"/>
          <w:highlight w:val="none"/>
        </w:rPr>
        <w:t>合同签订后12个月</w:t>
      </w:r>
    </w:p>
    <w:p w14:paraId="76F9FA99">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7、本项目是否接受联合体投标：否</w:t>
      </w:r>
    </w:p>
    <w:p w14:paraId="4A5536B0">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8、是否接受进口产品：否</w:t>
      </w:r>
    </w:p>
    <w:p w14:paraId="67BFE40B">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lang w:val="en-US" w:eastAsia="zh-CN"/>
        </w:rPr>
      </w:pPr>
      <w:r>
        <w:rPr>
          <w:rFonts w:hint="eastAsia"/>
          <w:sz w:val="21"/>
          <w:szCs w:val="21"/>
          <w:lang w:val="en-US" w:eastAsia="zh-CN"/>
        </w:rPr>
        <w:t>9、是否专门面向中小企业：否</w:t>
      </w:r>
    </w:p>
    <w:p w14:paraId="7DE1261B">
      <w:pPr>
        <w:keepNext w:val="0"/>
        <w:keepLines w:val="0"/>
        <w:pageBreakBefore w:val="0"/>
        <w:widowControl w:val="0"/>
        <w:kinsoku/>
        <w:wordWrap/>
        <w:overflowPunct/>
        <w:topLinePunct w:val="0"/>
        <w:bidi w:val="0"/>
        <w:snapToGrid/>
        <w:spacing w:line="348" w:lineRule="auto"/>
        <w:textAlignment w:val="auto"/>
        <w:rPr>
          <w:b/>
          <w:bCs/>
          <w:sz w:val="21"/>
          <w:szCs w:val="21"/>
        </w:rPr>
      </w:pPr>
      <w:r>
        <w:rPr>
          <w:rFonts w:hint="eastAsia"/>
          <w:b/>
          <w:bCs/>
          <w:sz w:val="21"/>
          <w:szCs w:val="21"/>
        </w:rPr>
        <w:t>二、申请人的资格要求</w:t>
      </w:r>
    </w:p>
    <w:p w14:paraId="02E38D2E">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1.满足《中华人民共和国政府采购法》第二十二条的规定；</w:t>
      </w:r>
    </w:p>
    <w:p w14:paraId="46D2C87F">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2.落实政府采购政策需满足的资格要求：/；</w:t>
      </w:r>
    </w:p>
    <w:p w14:paraId="140859C0">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3.本项目的特定资格要求：</w:t>
      </w:r>
    </w:p>
    <w:p w14:paraId="47F99DA8">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3.1供应商具有独立承担民事责任的能力，具备有效的营业执照或事业单位法人证书等其他组织证明；</w:t>
      </w:r>
    </w:p>
    <w:p w14:paraId="1DD263CD">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3.2项目负责人具有环境或水工环地质类相关专业</w:t>
      </w:r>
      <w:r>
        <w:rPr>
          <w:rFonts w:hint="eastAsia"/>
          <w:sz w:val="21"/>
          <w:szCs w:val="21"/>
          <w:lang w:val="en-US" w:eastAsia="zh-CN"/>
        </w:rPr>
        <w:t>中</w:t>
      </w:r>
      <w:r>
        <w:rPr>
          <w:rFonts w:hint="eastAsia"/>
          <w:sz w:val="21"/>
          <w:szCs w:val="21"/>
        </w:rPr>
        <w:t>级或以上职称，提供职称证及2025年1月以来任意连续3个月公司为其缴纳的社保证明材料；</w:t>
      </w:r>
    </w:p>
    <w:p w14:paraId="4D652F13">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3.3供应商应具有依法缴纳税收和社会保障资金的良好记录(提供2025年以来任意连续3个月的公司纳税证明和社保缴纳证明)；</w:t>
      </w:r>
    </w:p>
    <w:p w14:paraId="227BA564">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3.4供应商应具有良好的商业信誉、健全的财务会计制度（提供2024年度经审计合格的财务审计报告，若供应商为新成立企业，提供近三个月财务报表或其基本户开户银行出具的资信证明）；</w:t>
      </w:r>
    </w:p>
    <w:p w14:paraId="49D6DC81">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3.5供应商应出具参加政府采购活动近三年内在经营活动中没有重大违法记录的书面声明；（提供书面声明，格式自拟）</w:t>
      </w:r>
    </w:p>
    <w:p w14:paraId="70E7B9ED">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3.6供应商具有履行合同所必需的设备和专业技术能力（提供承诺函,格式自拟）；</w:t>
      </w:r>
    </w:p>
    <w:p w14:paraId="1C943475">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3.7供应商需提供“中国执行信息公开网”网站的“失信被执行人”、“信用中国”网站的“重大税收违法失信主体”、“中国政府采购”网站的“政府采购严重违法失信行为记录名单”查询结果页面截图，不得有不良记录。（执行财库【2016】125 号文），信用信息查询期限自招标公告发布之日至投标截止日，若有不良记录（包括行政主管部门公布的弄虚作假等的不良行为），将取消其投标申请；</w:t>
      </w:r>
    </w:p>
    <w:p w14:paraId="18E0BF18">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3.8本项目只允许投报其中一个标段。</w:t>
      </w:r>
    </w:p>
    <w:p w14:paraId="3D1172FA">
      <w:pPr>
        <w:keepNext w:val="0"/>
        <w:keepLines w:val="0"/>
        <w:pageBreakBefore w:val="0"/>
        <w:widowControl w:val="0"/>
        <w:kinsoku/>
        <w:wordWrap/>
        <w:overflowPunct/>
        <w:topLinePunct w:val="0"/>
        <w:bidi w:val="0"/>
        <w:snapToGrid/>
        <w:spacing w:line="348" w:lineRule="auto"/>
        <w:textAlignment w:val="auto"/>
        <w:rPr>
          <w:b/>
          <w:bCs/>
          <w:sz w:val="21"/>
          <w:szCs w:val="21"/>
        </w:rPr>
      </w:pPr>
      <w:r>
        <w:rPr>
          <w:rFonts w:hint="eastAsia"/>
          <w:b/>
          <w:bCs/>
          <w:sz w:val="21"/>
          <w:szCs w:val="21"/>
        </w:rPr>
        <w:t>三、获取招标文件</w:t>
      </w:r>
    </w:p>
    <w:p w14:paraId="3205DE48">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1.时间：2025年</w:t>
      </w:r>
      <w:r>
        <w:rPr>
          <w:rFonts w:hint="eastAsia"/>
          <w:sz w:val="21"/>
          <w:szCs w:val="21"/>
          <w:lang w:val="en-US" w:eastAsia="zh-CN"/>
        </w:rPr>
        <w:t>12</w:t>
      </w:r>
      <w:r>
        <w:rPr>
          <w:rFonts w:hint="eastAsia"/>
          <w:sz w:val="21"/>
          <w:szCs w:val="21"/>
        </w:rPr>
        <w:t>月</w:t>
      </w:r>
      <w:r>
        <w:rPr>
          <w:rFonts w:hint="eastAsia"/>
          <w:sz w:val="21"/>
          <w:szCs w:val="21"/>
          <w:lang w:val="en-US" w:eastAsia="zh-CN"/>
        </w:rPr>
        <w:t>29</w:t>
      </w:r>
      <w:r>
        <w:rPr>
          <w:rFonts w:hint="eastAsia"/>
          <w:sz w:val="21"/>
          <w:szCs w:val="21"/>
        </w:rPr>
        <w:t>日至202</w:t>
      </w:r>
      <w:r>
        <w:rPr>
          <w:rFonts w:hint="eastAsia"/>
          <w:sz w:val="21"/>
          <w:szCs w:val="21"/>
          <w:lang w:val="en-US" w:eastAsia="zh-CN"/>
        </w:rPr>
        <w:t>6</w:t>
      </w:r>
      <w:r>
        <w:rPr>
          <w:rFonts w:hint="eastAsia"/>
          <w:sz w:val="21"/>
          <w:szCs w:val="21"/>
        </w:rPr>
        <w:t>年</w:t>
      </w:r>
      <w:r>
        <w:rPr>
          <w:rFonts w:hint="eastAsia"/>
          <w:sz w:val="21"/>
          <w:szCs w:val="21"/>
          <w:lang w:val="en-US" w:eastAsia="zh-CN"/>
        </w:rPr>
        <w:t>1</w:t>
      </w:r>
      <w:r>
        <w:rPr>
          <w:rFonts w:hint="eastAsia"/>
          <w:sz w:val="21"/>
          <w:szCs w:val="21"/>
        </w:rPr>
        <w:t>月</w:t>
      </w:r>
      <w:r>
        <w:rPr>
          <w:rFonts w:hint="eastAsia"/>
          <w:sz w:val="21"/>
          <w:szCs w:val="21"/>
          <w:lang w:val="en-US" w:eastAsia="zh-CN"/>
        </w:rPr>
        <w:t>19</w:t>
      </w:r>
      <w:r>
        <w:rPr>
          <w:rFonts w:hint="eastAsia"/>
          <w:sz w:val="21"/>
          <w:szCs w:val="21"/>
        </w:rPr>
        <w:t>日，每天上午00：00至11:59，下午12:00至23:59（北京时间，法定节假日除外。）</w:t>
      </w:r>
    </w:p>
    <w:p w14:paraId="1310FDC9">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2.地点：全国公共资源交易平台（河南省</w:t>
      </w:r>
      <w:r>
        <w:rPr>
          <w:rFonts w:hint="eastAsia" w:ascii="宋体" w:hAnsi="宋体" w:eastAsia="宋体" w:cs="宋体"/>
          <w:sz w:val="21"/>
          <w:szCs w:val="21"/>
        </w:rPr>
        <w:t>·</w:t>
      </w:r>
      <w:r>
        <w:rPr>
          <w:rFonts w:hint="eastAsia"/>
          <w:sz w:val="21"/>
          <w:szCs w:val="21"/>
        </w:rPr>
        <w:t>汝州市）公共资源交易系统（www.rzggzy.com）</w:t>
      </w:r>
    </w:p>
    <w:p w14:paraId="7CE7CF7A">
      <w:pPr>
        <w:keepNext w:val="0"/>
        <w:keepLines w:val="0"/>
        <w:pageBreakBefore w:val="0"/>
        <w:widowControl w:val="0"/>
        <w:kinsoku/>
        <w:wordWrap/>
        <w:overflowPunct/>
        <w:topLinePunct w:val="0"/>
        <w:bidi w:val="0"/>
        <w:snapToGrid/>
        <w:spacing w:line="348" w:lineRule="auto"/>
        <w:ind w:firstLine="420" w:firstLineChars="200"/>
        <w:jc w:val="left"/>
        <w:textAlignment w:val="auto"/>
        <w:rPr>
          <w:rFonts w:hint="eastAsia"/>
          <w:sz w:val="21"/>
          <w:szCs w:val="21"/>
        </w:rPr>
      </w:pPr>
      <w:r>
        <w:rPr>
          <w:rFonts w:hint="eastAsia"/>
          <w:sz w:val="21"/>
          <w:szCs w:val="21"/>
        </w:rPr>
        <w:t>3.方式：（1）供应商须在全国公共资源交易平台（河南省·汝州市）注册入库（操作说明：http://www.rzggzy.com/HNRZ/ServiceInteraction/indexMore.do?id=fdd6c8fc-bb0a-4c07-8715-d29609fc7a80），并办理数字证书（CA）；（2）登录交易系统选择进入计划投标的项目，下载电子采购文件（gef 格式）。或者访问网站交易信息找到并点开项目招标公告，下载电子招标文件（gef 格式）；（3）电子采购文件（gef 格式）使用‘电子投标人工具箱’打开，电子投标人工具箱的安装包下载和使用说明见网站‘办事服务’-‘下载专区’和‘系统操作指南’。</w:t>
      </w:r>
    </w:p>
    <w:p w14:paraId="17E69A58">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4.售价：0元</w:t>
      </w:r>
    </w:p>
    <w:p w14:paraId="02390697">
      <w:pPr>
        <w:keepNext w:val="0"/>
        <w:keepLines w:val="0"/>
        <w:pageBreakBefore w:val="0"/>
        <w:widowControl w:val="0"/>
        <w:kinsoku/>
        <w:wordWrap/>
        <w:overflowPunct/>
        <w:topLinePunct w:val="0"/>
        <w:bidi w:val="0"/>
        <w:snapToGrid/>
        <w:spacing w:line="348" w:lineRule="auto"/>
        <w:textAlignment w:val="auto"/>
        <w:rPr>
          <w:b/>
          <w:bCs/>
          <w:sz w:val="21"/>
          <w:szCs w:val="21"/>
        </w:rPr>
      </w:pPr>
      <w:r>
        <w:rPr>
          <w:rFonts w:hint="eastAsia"/>
          <w:b/>
          <w:bCs/>
          <w:sz w:val="21"/>
          <w:szCs w:val="21"/>
        </w:rPr>
        <w:t xml:space="preserve">四、投标截止时间及地点： </w:t>
      </w:r>
    </w:p>
    <w:p w14:paraId="7F151A4A">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lang w:val="en-US" w:eastAsia="zh-CN"/>
        </w:rPr>
        <w:t>1、</w:t>
      </w:r>
      <w:r>
        <w:rPr>
          <w:rFonts w:hint="eastAsia"/>
          <w:sz w:val="21"/>
          <w:szCs w:val="21"/>
        </w:rPr>
        <w:t>时间：202</w:t>
      </w:r>
      <w:r>
        <w:rPr>
          <w:rFonts w:hint="eastAsia"/>
          <w:sz w:val="21"/>
          <w:szCs w:val="21"/>
          <w:lang w:val="en-US" w:eastAsia="zh-CN"/>
        </w:rPr>
        <w:t>6</w:t>
      </w:r>
      <w:r>
        <w:rPr>
          <w:rFonts w:hint="eastAsia"/>
          <w:sz w:val="21"/>
          <w:szCs w:val="21"/>
        </w:rPr>
        <w:t>年</w:t>
      </w:r>
      <w:r>
        <w:rPr>
          <w:rFonts w:hint="eastAsia"/>
          <w:sz w:val="21"/>
          <w:szCs w:val="21"/>
          <w:lang w:val="en-US" w:eastAsia="zh-CN"/>
        </w:rPr>
        <w:t>1</w:t>
      </w:r>
      <w:r>
        <w:rPr>
          <w:rFonts w:hint="eastAsia"/>
          <w:sz w:val="21"/>
          <w:szCs w:val="21"/>
        </w:rPr>
        <w:t>月</w:t>
      </w:r>
      <w:r>
        <w:rPr>
          <w:rFonts w:hint="eastAsia"/>
          <w:sz w:val="21"/>
          <w:szCs w:val="21"/>
          <w:lang w:val="en-US" w:eastAsia="zh-CN"/>
        </w:rPr>
        <w:t>20</w:t>
      </w:r>
      <w:r>
        <w:rPr>
          <w:rFonts w:hint="eastAsia"/>
          <w:sz w:val="21"/>
          <w:szCs w:val="21"/>
        </w:rPr>
        <w:t>日</w:t>
      </w:r>
      <w:r>
        <w:rPr>
          <w:sz w:val="21"/>
          <w:szCs w:val="21"/>
        </w:rPr>
        <w:t>8</w:t>
      </w:r>
      <w:r>
        <w:rPr>
          <w:rFonts w:hint="eastAsia"/>
          <w:sz w:val="21"/>
          <w:szCs w:val="21"/>
        </w:rPr>
        <w:t>时</w:t>
      </w:r>
      <w:r>
        <w:rPr>
          <w:sz w:val="21"/>
          <w:szCs w:val="21"/>
        </w:rPr>
        <w:t>30</w:t>
      </w:r>
      <w:r>
        <w:rPr>
          <w:rFonts w:hint="eastAsia"/>
          <w:sz w:val="21"/>
          <w:szCs w:val="21"/>
        </w:rPr>
        <w:t xml:space="preserve">分（北京时间） </w:t>
      </w:r>
    </w:p>
    <w:p w14:paraId="43C0FE2E">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lang w:val="en-US" w:eastAsia="zh-CN"/>
        </w:rPr>
        <w:t>2、</w:t>
      </w:r>
      <w:r>
        <w:rPr>
          <w:rFonts w:hint="eastAsia"/>
          <w:sz w:val="21"/>
          <w:szCs w:val="21"/>
        </w:rPr>
        <w:t>地点：全国公共资源交易平台（河南省·汝州市）电子交易系统上传</w:t>
      </w:r>
    </w:p>
    <w:p w14:paraId="032BF3B0">
      <w:pPr>
        <w:keepNext w:val="0"/>
        <w:keepLines w:val="0"/>
        <w:pageBreakBefore w:val="0"/>
        <w:widowControl w:val="0"/>
        <w:kinsoku/>
        <w:wordWrap/>
        <w:overflowPunct/>
        <w:topLinePunct w:val="0"/>
        <w:bidi w:val="0"/>
        <w:snapToGrid/>
        <w:spacing w:line="348" w:lineRule="auto"/>
        <w:textAlignment w:val="auto"/>
        <w:rPr>
          <w:b/>
          <w:bCs/>
          <w:sz w:val="21"/>
          <w:szCs w:val="21"/>
        </w:rPr>
      </w:pPr>
      <w:r>
        <w:rPr>
          <w:rFonts w:hint="eastAsia"/>
          <w:b/>
          <w:bCs/>
          <w:sz w:val="21"/>
          <w:szCs w:val="21"/>
        </w:rPr>
        <w:t>五、开标时间及地点</w:t>
      </w:r>
    </w:p>
    <w:p w14:paraId="640EDEB7">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lang w:val="en-US" w:eastAsia="zh-CN"/>
        </w:rPr>
        <w:t>1、</w:t>
      </w:r>
      <w:r>
        <w:rPr>
          <w:rFonts w:hint="eastAsia"/>
          <w:sz w:val="21"/>
          <w:szCs w:val="21"/>
        </w:rPr>
        <w:t>时间：202</w:t>
      </w:r>
      <w:r>
        <w:rPr>
          <w:rFonts w:hint="eastAsia"/>
          <w:sz w:val="21"/>
          <w:szCs w:val="21"/>
          <w:lang w:val="en-US" w:eastAsia="zh-CN"/>
        </w:rPr>
        <w:t>6</w:t>
      </w:r>
      <w:r>
        <w:rPr>
          <w:rFonts w:hint="eastAsia"/>
          <w:sz w:val="21"/>
          <w:szCs w:val="21"/>
        </w:rPr>
        <w:t>年</w:t>
      </w:r>
      <w:r>
        <w:rPr>
          <w:rFonts w:hint="eastAsia"/>
          <w:sz w:val="21"/>
          <w:szCs w:val="21"/>
          <w:lang w:val="en-US" w:eastAsia="zh-CN"/>
        </w:rPr>
        <w:t>1</w:t>
      </w:r>
      <w:r>
        <w:rPr>
          <w:rFonts w:hint="eastAsia"/>
          <w:sz w:val="21"/>
          <w:szCs w:val="21"/>
        </w:rPr>
        <w:t>月</w:t>
      </w:r>
      <w:r>
        <w:rPr>
          <w:rFonts w:hint="eastAsia"/>
          <w:sz w:val="21"/>
          <w:szCs w:val="21"/>
          <w:lang w:val="en-US" w:eastAsia="zh-CN"/>
        </w:rPr>
        <w:t>20</w:t>
      </w:r>
      <w:r>
        <w:rPr>
          <w:rFonts w:hint="eastAsia"/>
          <w:sz w:val="21"/>
          <w:szCs w:val="21"/>
        </w:rPr>
        <w:t>日</w:t>
      </w:r>
      <w:r>
        <w:rPr>
          <w:sz w:val="21"/>
          <w:szCs w:val="21"/>
        </w:rPr>
        <w:t>8</w:t>
      </w:r>
      <w:r>
        <w:rPr>
          <w:rFonts w:hint="eastAsia"/>
          <w:sz w:val="21"/>
          <w:szCs w:val="21"/>
        </w:rPr>
        <w:t>时</w:t>
      </w:r>
      <w:r>
        <w:rPr>
          <w:sz w:val="21"/>
          <w:szCs w:val="21"/>
        </w:rPr>
        <w:t>30</w:t>
      </w:r>
      <w:r>
        <w:rPr>
          <w:rFonts w:hint="eastAsia"/>
          <w:sz w:val="21"/>
          <w:szCs w:val="21"/>
        </w:rPr>
        <w:t xml:space="preserve">分（北京时间） </w:t>
      </w:r>
    </w:p>
    <w:p w14:paraId="5172605B">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lang w:val="en-US" w:eastAsia="zh-CN"/>
        </w:rPr>
        <w:t>2、</w:t>
      </w:r>
      <w:r>
        <w:rPr>
          <w:rFonts w:hint="eastAsia"/>
          <w:sz w:val="21"/>
          <w:szCs w:val="21"/>
        </w:rPr>
        <w:t>地点：全国公共资源交易平台（河南省·汝州市）电子交易系统上传</w:t>
      </w:r>
    </w:p>
    <w:p w14:paraId="1471F3E6">
      <w:pPr>
        <w:keepNext w:val="0"/>
        <w:keepLines w:val="0"/>
        <w:pageBreakBefore w:val="0"/>
        <w:widowControl w:val="0"/>
        <w:kinsoku/>
        <w:wordWrap/>
        <w:overflowPunct/>
        <w:topLinePunct w:val="0"/>
        <w:bidi w:val="0"/>
        <w:snapToGrid/>
        <w:spacing w:line="348" w:lineRule="auto"/>
        <w:textAlignment w:val="auto"/>
        <w:rPr>
          <w:b/>
          <w:bCs/>
          <w:sz w:val="21"/>
          <w:szCs w:val="21"/>
        </w:rPr>
      </w:pPr>
      <w:r>
        <w:rPr>
          <w:rFonts w:hint="eastAsia"/>
          <w:b/>
          <w:bCs/>
          <w:sz w:val="21"/>
          <w:szCs w:val="21"/>
        </w:rPr>
        <w:t xml:space="preserve">六、公告期限 </w:t>
      </w:r>
    </w:p>
    <w:p w14:paraId="12AA328A">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rPr>
        <w:t>本次招标公告在《河南省政府采购网》《汝州市政府采购网》《全国公共资源交易平台（河南省</w:t>
      </w:r>
      <w:r>
        <w:rPr>
          <w:rFonts w:hint="eastAsia" w:ascii="宋体" w:hAnsi="宋体" w:eastAsia="宋体" w:cs="宋体"/>
          <w:sz w:val="21"/>
          <w:szCs w:val="21"/>
        </w:rPr>
        <w:t>·</w:t>
      </w:r>
      <w:r>
        <w:rPr>
          <w:rFonts w:hint="eastAsia"/>
          <w:sz w:val="21"/>
          <w:szCs w:val="21"/>
        </w:rPr>
        <w:t>汝州市）（www.rzggzy.com）》上发布。 招标公告期限为五个工作日。</w:t>
      </w:r>
    </w:p>
    <w:p w14:paraId="79C19F30">
      <w:pPr>
        <w:keepNext w:val="0"/>
        <w:keepLines w:val="0"/>
        <w:pageBreakBefore w:val="0"/>
        <w:widowControl w:val="0"/>
        <w:kinsoku/>
        <w:wordWrap/>
        <w:overflowPunct/>
        <w:topLinePunct w:val="0"/>
        <w:bidi w:val="0"/>
        <w:snapToGrid/>
        <w:spacing w:line="348" w:lineRule="auto"/>
        <w:textAlignment w:val="auto"/>
        <w:rPr>
          <w:b/>
          <w:bCs/>
          <w:sz w:val="21"/>
          <w:szCs w:val="21"/>
        </w:rPr>
      </w:pPr>
      <w:r>
        <w:rPr>
          <w:rFonts w:hint="eastAsia"/>
          <w:b/>
          <w:bCs/>
          <w:sz w:val="21"/>
          <w:szCs w:val="21"/>
        </w:rPr>
        <w:t>七、其他补充事宜</w:t>
      </w:r>
    </w:p>
    <w:p w14:paraId="019FC0BE">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1、受理投诉监督管理部门：汝州市财政局</w:t>
      </w:r>
    </w:p>
    <w:p w14:paraId="6F8D6933">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联系电话：0375-6862799</w:t>
      </w:r>
    </w:p>
    <w:p w14:paraId="7C5D9FFA">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邮箱地址：rzcgb406@163.com</w:t>
      </w:r>
    </w:p>
    <w:p w14:paraId="17E9FD0E">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rPr>
        <w:t>联系地址：汝州市望嵩中路116号</w:t>
      </w:r>
    </w:p>
    <w:p w14:paraId="44FE1C44">
      <w:pPr>
        <w:keepNext w:val="0"/>
        <w:keepLines w:val="0"/>
        <w:pageBreakBefore w:val="0"/>
        <w:widowControl w:val="0"/>
        <w:kinsoku/>
        <w:wordWrap/>
        <w:overflowPunct/>
        <w:topLinePunct w:val="0"/>
        <w:bidi w:val="0"/>
        <w:snapToGrid/>
        <w:spacing w:line="348" w:lineRule="auto"/>
        <w:ind w:firstLine="420" w:firstLineChars="200"/>
        <w:textAlignment w:val="auto"/>
        <w:rPr>
          <w:rFonts w:hint="eastAsia"/>
          <w:sz w:val="21"/>
          <w:szCs w:val="21"/>
        </w:rPr>
      </w:pPr>
      <w:r>
        <w:rPr>
          <w:rFonts w:hint="eastAsia"/>
          <w:sz w:val="21"/>
          <w:szCs w:val="21"/>
          <w:lang w:val="en-US" w:eastAsia="zh-CN"/>
        </w:rPr>
        <w:t>2</w:t>
      </w:r>
      <w:r>
        <w:rPr>
          <w:rFonts w:hint="eastAsia"/>
          <w:sz w:val="21"/>
          <w:szCs w:val="21"/>
        </w:rPr>
        <w:t>、本项目采用“不见面”</w:t>
      </w:r>
      <w:bookmarkStart w:id="0" w:name="_GoBack"/>
      <w:bookmarkEnd w:id="0"/>
      <w:r>
        <w:rPr>
          <w:rFonts w:hint="eastAsia"/>
          <w:sz w:val="21"/>
          <w:szCs w:val="21"/>
        </w:rPr>
        <w:t>开标方式，供应商只需要递交电子投标文件，无需到达现场提交原件资料、无需到现场参加开标会议活动。</w:t>
      </w:r>
    </w:p>
    <w:p w14:paraId="29E65626">
      <w:pPr>
        <w:keepNext w:val="0"/>
        <w:keepLines w:val="0"/>
        <w:pageBreakBefore w:val="0"/>
        <w:widowControl w:val="0"/>
        <w:kinsoku/>
        <w:wordWrap/>
        <w:overflowPunct/>
        <w:topLinePunct w:val="0"/>
        <w:bidi w:val="0"/>
        <w:snapToGrid/>
        <w:spacing w:line="348" w:lineRule="auto"/>
        <w:ind w:firstLine="420" w:firstLineChars="200"/>
        <w:textAlignment w:val="auto"/>
        <w:rPr>
          <w:sz w:val="21"/>
          <w:szCs w:val="21"/>
        </w:rPr>
      </w:pPr>
      <w:r>
        <w:rPr>
          <w:rFonts w:hint="eastAsia"/>
          <w:sz w:val="21"/>
          <w:szCs w:val="21"/>
          <w:lang w:val="en-US" w:eastAsia="zh-CN"/>
        </w:rPr>
        <w:t>3</w:t>
      </w:r>
      <w:r>
        <w:rPr>
          <w:rFonts w:hint="eastAsia"/>
          <w:sz w:val="21"/>
          <w:szCs w:val="21"/>
        </w:rPr>
        <w:t>、供应商应当在开标会议活动开始时间前,登录开标会议大厅,在线准时参加开标会议活动并进行电子投标文件解密。</w:t>
      </w:r>
    </w:p>
    <w:p w14:paraId="4FD88822">
      <w:pPr>
        <w:keepNext w:val="0"/>
        <w:keepLines w:val="0"/>
        <w:pageBreakBefore w:val="0"/>
        <w:widowControl w:val="0"/>
        <w:kinsoku/>
        <w:wordWrap/>
        <w:overflowPunct/>
        <w:topLinePunct w:val="0"/>
        <w:bidi w:val="0"/>
        <w:snapToGrid/>
        <w:spacing w:line="348" w:lineRule="auto"/>
        <w:jc w:val="left"/>
        <w:textAlignment w:val="auto"/>
        <w:rPr>
          <w:rFonts w:hint="eastAsia"/>
          <w:b/>
          <w:bCs/>
          <w:sz w:val="21"/>
          <w:szCs w:val="21"/>
        </w:rPr>
      </w:pPr>
      <w:r>
        <w:rPr>
          <w:rFonts w:hint="eastAsia"/>
          <w:b/>
          <w:bCs/>
          <w:sz w:val="21"/>
          <w:szCs w:val="21"/>
        </w:rPr>
        <w:t xml:space="preserve">八、凡对本次公告内容提出询问，请按以下方式联系 </w:t>
      </w:r>
    </w:p>
    <w:p w14:paraId="35B23F5F">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p>
    <w:p w14:paraId="42A41784">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 xml:space="preserve">1. 采购人信息 </w:t>
      </w:r>
    </w:p>
    <w:p w14:paraId="787E0837">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名    称：汝州经济技术开发区管理委员会</w:t>
      </w:r>
    </w:p>
    <w:p w14:paraId="1F69AF82">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地    址：汝州经济技术开发区霍阳大道1号院</w:t>
      </w:r>
    </w:p>
    <w:p w14:paraId="6D61ECA6">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 xml:space="preserve">联系人：陈女士      </w:t>
      </w:r>
    </w:p>
    <w:p w14:paraId="7518AE8A">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 xml:space="preserve">联系电话：17513320690      </w:t>
      </w:r>
    </w:p>
    <w:p w14:paraId="553C909F">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2.采购代理机构信息</w:t>
      </w:r>
    </w:p>
    <w:p w14:paraId="0435C22E">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名称：河南万圆工程管理有限公司</w:t>
      </w:r>
    </w:p>
    <w:p w14:paraId="727CC77A">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地址：河南省郑州市高新技术产业开发区莲花街338号6号楼4层35号</w:t>
      </w:r>
    </w:p>
    <w:p w14:paraId="27B696F7">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联系人：姜先生</w:t>
      </w:r>
    </w:p>
    <w:p w14:paraId="7124E7A4">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联系方式：15038877758</w:t>
      </w:r>
    </w:p>
    <w:p w14:paraId="323F1347">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3、项目联系方式</w:t>
      </w:r>
    </w:p>
    <w:p w14:paraId="63C3CF39">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sz w:val="21"/>
          <w:szCs w:val="21"/>
        </w:rPr>
      </w:pPr>
      <w:r>
        <w:rPr>
          <w:rFonts w:hint="eastAsia"/>
          <w:sz w:val="21"/>
          <w:szCs w:val="21"/>
        </w:rPr>
        <w:t>项目联系人：姜先生</w:t>
      </w:r>
    </w:p>
    <w:p w14:paraId="5B61AA14">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sz w:val="21"/>
          <w:szCs w:val="21"/>
        </w:rPr>
      </w:pPr>
      <w:r>
        <w:rPr>
          <w:rFonts w:hint="eastAsia"/>
          <w:sz w:val="21"/>
          <w:szCs w:val="21"/>
        </w:rPr>
        <w:t>电　话：15038877758</w:t>
      </w:r>
    </w:p>
    <w:p w14:paraId="06901DAE">
      <w:pPr>
        <w:keepNext w:val="0"/>
        <w:keepLines w:val="0"/>
        <w:pageBreakBefore w:val="0"/>
        <w:widowControl w:val="0"/>
        <w:kinsoku/>
        <w:wordWrap/>
        <w:overflowPunct/>
        <w:topLinePunct w:val="0"/>
        <w:bidi w:val="0"/>
        <w:snapToGrid/>
        <w:spacing w:line="348"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FA072C"/>
    <w:rsid w:val="182249A5"/>
    <w:rsid w:val="1BB630ED"/>
    <w:rsid w:val="1E8D0EF6"/>
    <w:rsid w:val="1FB10FF1"/>
    <w:rsid w:val="21FA072C"/>
    <w:rsid w:val="30BD4CDC"/>
    <w:rsid w:val="3B9D353B"/>
    <w:rsid w:val="3FB765AF"/>
    <w:rsid w:val="614E0C9F"/>
    <w:rsid w:val="64565B1A"/>
    <w:rsid w:val="6ACC414D"/>
    <w:rsid w:val="6C4A0A8B"/>
    <w:rsid w:val="78FA7A29"/>
    <w:rsid w:val="79926D9A"/>
    <w:rsid w:val="7B3D2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2171</Words>
  <Characters>2530</Characters>
  <Lines>0</Lines>
  <Paragraphs>0</Paragraphs>
  <TotalTime>15</TotalTime>
  <ScaleCrop>false</ScaleCrop>
  <LinksUpToDate>false</LinksUpToDate>
  <CharactersWithSpaces>2565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2025-12-10T07:04:00Z</dcterms:created>
  <dc:creator>嗯。</dc:creator>
  <cp:lastModifiedBy>嗯。</cp:lastModifiedBy>
  <cp:lastPrinted>2026-01-23T06:54:38Z</cp:lastPrinted>
  <dcterms:modified xsi:type="dcterms:W3CDTF">2026-01-23T07:05:27Z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9822C065370C4BAAAF55E09A755BC5BD_11</vt:lpwstr>
  </property>
  <property fmtid="{D5CDD505-2E9C-101B-9397-08002B2CF9AE}" pid="4" name="KSOTemplateDocerSaveRecord">
    <vt:lpwstr>eyJoZGlkIjoiN2JkYjY3NTdiNTBhMGIxOTQxYjllMWM3N2UyZWEwN2EiLCJ1c2VySWQiOiI1MDQwMTA0NDYifQ==</vt:lpwstr>
  </property>
</Properties>
</file>