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08B4A5">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b/>
          <w:bCs/>
          <w:sz w:val="28"/>
          <w:szCs w:val="36"/>
        </w:rPr>
      </w:pPr>
      <w:r>
        <w:rPr>
          <w:rFonts w:hint="eastAsia"/>
          <w:b/>
          <w:bCs/>
          <w:sz w:val="28"/>
          <w:szCs w:val="36"/>
          <w:lang w:eastAsia="zh-CN"/>
        </w:rPr>
        <w:t>汝州经济技术开发区管理委员会汝州经济技术开发区化工园区地下水污染详细调查和风险评估项目</w:t>
      </w:r>
      <w:r>
        <w:rPr>
          <w:rFonts w:hint="eastAsia"/>
          <w:b/>
          <w:bCs/>
          <w:sz w:val="28"/>
          <w:szCs w:val="36"/>
        </w:rPr>
        <w:t>中标公告</w:t>
      </w:r>
    </w:p>
    <w:p w14:paraId="1431E53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b/>
          <w:bCs/>
          <w:sz w:val="24"/>
          <w:szCs w:val="24"/>
        </w:rPr>
      </w:pPr>
      <w:r>
        <w:rPr>
          <w:rFonts w:hint="eastAsia"/>
          <w:b/>
          <w:bCs/>
          <w:sz w:val="24"/>
          <w:szCs w:val="24"/>
        </w:rPr>
        <w:t>一、项目基本情况</w:t>
      </w:r>
    </w:p>
    <w:p w14:paraId="39DB9BC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sz w:val="24"/>
          <w:szCs w:val="24"/>
          <w:lang w:eastAsia="zh-CN"/>
        </w:rPr>
      </w:pPr>
      <w:r>
        <w:rPr>
          <w:rFonts w:hint="eastAsia"/>
          <w:sz w:val="24"/>
          <w:szCs w:val="24"/>
        </w:rPr>
        <w:t>1、采购项目编号：</w:t>
      </w:r>
      <w:r>
        <w:rPr>
          <w:rFonts w:hint="eastAsia"/>
          <w:sz w:val="24"/>
          <w:szCs w:val="24"/>
          <w:lang w:eastAsia="zh-CN"/>
        </w:rPr>
        <w:t>汝财招标采购-2025-61</w:t>
      </w:r>
    </w:p>
    <w:p w14:paraId="140A807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sz w:val="24"/>
          <w:szCs w:val="24"/>
          <w:lang w:eastAsia="zh-CN"/>
        </w:rPr>
      </w:pPr>
      <w:r>
        <w:rPr>
          <w:rFonts w:hint="eastAsia"/>
          <w:sz w:val="24"/>
          <w:szCs w:val="24"/>
        </w:rPr>
        <w:t>2、采购项目名称：</w:t>
      </w:r>
      <w:r>
        <w:rPr>
          <w:rFonts w:hint="eastAsia"/>
          <w:sz w:val="24"/>
          <w:szCs w:val="24"/>
          <w:lang w:eastAsia="zh-CN"/>
        </w:rPr>
        <w:t>汝州经济技术开发区管理委员会汝州经济技术开发区化工园区地下水污染详细调查和风险评估项目</w:t>
      </w:r>
    </w:p>
    <w:p w14:paraId="1F0DC36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24"/>
        </w:rPr>
      </w:pPr>
      <w:r>
        <w:rPr>
          <w:rFonts w:hint="eastAsia"/>
          <w:sz w:val="24"/>
          <w:szCs w:val="24"/>
        </w:rPr>
        <w:t>3、采购方式：公开招标</w:t>
      </w:r>
    </w:p>
    <w:p w14:paraId="6A9A129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24"/>
        </w:rPr>
      </w:pPr>
      <w:r>
        <w:rPr>
          <w:rFonts w:hint="eastAsia"/>
          <w:sz w:val="24"/>
          <w:szCs w:val="24"/>
        </w:rPr>
        <w:t>4、招标公告发布日期：202</w:t>
      </w:r>
      <w:r>
        <w:rPr>
          <w:rFonts w:hint="eastAsia"/>
          <w:sz w:val="24"/>
          <w:szCs w:val="24"/>
          <w:lang w:val="en-US" w:eastAsia="zh-CN"/>
        </w:rPr>
        <w:t>5</w:t>
      </w:r>
      <w:r>
        <w:rPr>
          <w:rFonts w:hint="eastAsia"/>
          <w:sz w:val="24"/>
          <w:szCs w:val="24"/>
        </w:rPr>
        <w:t>年</w:t>
      </w:r>
      <w:r>
        <w:rPr>
          <w:rFonts w:hint="eastAsia"/>
          <w:sz w:val="24"/>
          <w:szCs w:val="24"/>
          <w:lang w:val="en-US" w:eastAsia="zh-CN"/>
        </w:rPr>
        <w:t>12</w:t>
      </w:r>
      <w:r>
        <w:rPr>
          <w:rFonts w:hint="eastAsia"/>
          <w:sz w:val="24"/>
          <w:szCs w:val="24"/>
        </w:rPr>
        <w:t>月</w:t>
      </w:r>
      <w:r>
        <w:rPr>
          <w:rFonts w:hint="eastAsia"/>
          <w:sz w:val="24"/>
          <w:szCs w:val="24"/>
          <w:lang w:val="en-US" w:eastAsia="zh-CN"/>
        </w:rPr>
        <w:t>26</w:t>
      </w:r>
      <w:r>
        <w:rPr>
          <w:rFonts w:hint="eastAsia"/>
          <w:sz w:val="24"/>
          <w:szCs w:val="24"/>
        </w:rPr>
        <w:t>日</w:t>
      </w:r>
    </w:p>
    <w:p w14:paraId="3D1292F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24"/>
        </w:rPr>
      </w:pPr>
      <w:r>
        <w:rPr>
          <w:rFonts w:hint="eastAsia"/>
          <w:sz w:val="24"/>
          <w:szCs w:val="24"/>
        </w:rPr>
        <w:t>5、评审日期：202</w:t>
      </w:r>
      <w:r>
        <w:rPr>
          <w:rFonts w:hint="eastAsia"/>
          <w:sz w:val="24"/>
          <w:szCs w:val="24"/>
          <w:lang w:val="en-US" w:eastAsia="zh-CN"/>
        </w:rPr>
        <w:t>6</w:t>
      </w:r>
      <w:r>
        <w:rPr>
          <w:rFonts w:hint="eastAsia"/>
          <w:sz w:val="24"/>
          <w:szCs w:val="24"/>
        </w:rPr>
        <w:t>年</w:t>
      </w:r>
      <w:r>
        <w:rPr>
          <w:rFonts w:hint="eastAsia"/>
          <w:sz w:val="24"/>
          <w:szCs w:val="24"/>
          <w:lang w:val="en-US" w:eastAsia="zh-CN"/>
        </w:rPr>
        <w:t>1</w:t>
      </w:r>
      <w:r>
        <w:rPr>
          <w:rFonts w:hint="eastAsia"/>
          <w:sz w:val="24"/>
          <w:szCs w:val="24"/>
        </w:rPr>
        <w:t>月</w:t>
      </w:r>
      <w:r>
        <w:rPr>
          <w:rFonts w:hint="eastAsia"/>
          <w:sz w:val="24"/>
          <w:szCs w:val="24"/>
          <w:lang w:val="en-US" w:eastAsia="zh-CN"/>
        </w:rPr>
        <w:t>20</w:t>
      </w:r>
      <w:r>
        <w:rPr>
          <w:rFonts w:hint="eastAsia"/>
          <w:sz w:val="24"/>
          <w:szCs w:val="24"/>
        </w:rPr>
        <w:t>日</w:t>
      </w:r>
    </w:p>
    <w:p w14:paraId="064904A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24"/>
        </w:rPr>
      </w:pPr>
      <w:r>
        <w:rPr>
          <w:rFonts w:hint="eastAsia"/>
          <w:b/>
          <w:bCs/>
          <w:sz w:val="24"/>
          <w:szCs w:val="24"/>
        </w:rPr>
        <w:t>二、采购项目用途、数量、简要技术要求、合同履行日期</w:t>
      </w:r>
      <w:r>
        <w:rPr>
          <w:rFonts w:hint="eastAsia"/>
          <w:sz w:val="24"/>
          <w:szCs w:val="24"/>
        </w:rPr>
        <w:t>：</w:t>
      </w:r>
    </w:p>
    <w:p w14:paraId="74B6BEC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24"/>
        </w:rPr>
      </w:pPr>
      <w:r>
        <w:rPr>
          <w:rFonts w:hint="eastAsia"/>
          <w:sz w:val="24"/>
          <w:szCs w:val="24"/>
        </w:rPr>
        <w:t>1、采购内容：第一标段：对汝州经济技术开发区化工园区地下水污染区域开展详细调查，明确园区地下水污染范围及程度，构建三维数值模型预测园区地下水污染发展趋势，进行地下水污染健康风险评估，为后续开展化工园区地下水污染风险管控提供支撑。</w:t>
      </w:r>
    </w:p>
    <w:p w14:paraId="5FE4B5F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24"/>
        </w:rPr>
      </w:pPr>
      <w:r>
        <w:rPr>
          <w:rFonts w:hint="eastAsia"/>
          <w:sz w:val="24"/>
          <w:szCs w:val="24"/>
        </w:rPr>
        <w:t>第二标段：对一标段工作进行全过程质量控制。</w:t>
      </w:r>
    </w:p>
    <w:p w14:paraId="456AFC9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24"/>
        </w:rPr>
      </w:pPr>
      <w:r>
        <w:rPr>
          <w:rFonts w:hint="eastAsia"/>
          <w:sz w:val="24"/>
          <w:szCs w:val="24"/>
        </w:rPr>
        <w:t>2、资金来源：财政资金         </w:t>
      </w:r>
    </w:p>
    <w:p w14:paraId="2EA4FF5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24"/>
        </w:rPr>
      </w:pPr>
      <w:r>
        <w:rPr>
          <w:rFonts w:hint="eastAsia"/>
          <w:sz w:val="24"/>
          <w:szCs w:val="24"/>
        </w:rPr>
        <w:t>3、招标范围：服务要求内所含全部内容（详见招标文件）</w:t>
      </w:r>
    </w:p>
    <w:p w14:paraId="321291D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24"/>
        </w:rPr>
      </w:pPr>
      <w:r>
        <w:rPr>
          <w:rFonts w:hint="eastAsia"/>
          <w:sz w:val="24"/>
          <w:szCs w:val="24"/>
        </w:rPr>
        <w:t>4、服务期限：合同签订后12个月</w:t>
      </w:r>
    </w:p>
    <w:p w14:paraId="6810856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24"/>
        </w:rPr>
      </w:pPr>
      <w:r>
        <w:rPr>
          <w:rFonts w:hint="eastAsia"/>
          <w:sz w:val="24"/>
          <w:szCs w:val="24"/>
        </w:rPr>
        <w:t>5、质量要求：符合国家、行业相关规范标准及采购人要求</w:t>
      </w:r>
    </w:p>
    <w:p w14:paraId="0452660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24"/>
        </w:rPr>
      </w:pPr>
      <w:r>
        <w:rPr>
          <w:rFonts w:hint="eastAsia"/>
          <w:sz w:val="24"/>
          <w:szCs w:val="24"/>
        </w:rPr>
        <w:t>6、标段划分：本项目共设二个标段</w:t>
      </w:r>
    </w:p>
    <w:p w14:paraId="22410E9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24"/>
        </w:rPr>
      </w:pPr>
      <w:r>
        <w:rPr>
          <w:rFonts w:hint="eastAsia"/>
          <w:sz w:val="24"/>
          <w:szCs w:val="24"/>
        </w:rPr>
        <w:t>第一标段：汝州经济技术开发区化工园区地下水污染详细调查和风险评估</w:t>
      </w:r>
    </w:p>
    <w:p w14:paraId="08B6466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24"/>
        </w:rPr>
      </w:pPr>
      <w:r>
        <w:rPr>
          <w:rFonts w:hint="eastAsia"/>
          <w:sz w:val="24"/>
          <w:szCs w:val="24"/>
        </w:rPr>
        <w:t>第二标段：对一标段工作进行全过程质量控制</w:t>
      </w:r>
    </w:p>
    <w:p w14:paraId="6972DCD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24"/>
        </w:rPr>
      </w:pPr>
      <w:r>
        <w:rPr>
          <w:rFonts w:hint="eastAsia"/>
          <w:sz w:val="24"/>
          <w:szCs w:val="24"/>
          <w:lang w:val="en-US" w:eastAsia="zh-CN"/>
        </w:rPr>
        <w:t>7</w:t>
      </w:r>
      <w:r>
        <w:rPr>
          <w:rFonts w:hint="eastAsia"/>
          <w:sz w:val="24"/>
          <w:szCs w:val="24"/>
        </w:rPr>
        <w:t>、合同履行期限：合同签订后12个月</w:t>
      </w:r>
    </w:p>
    <w:p w14:paraId="47E035D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b/>
          <w:bCs/>
          <w:sz w:val="24"/>
          <w:szCs w:val="24"/>
        </w:rPr>
      </w:pPr>
      <w:r>
        <w:rPr>
          <w:rFonts w:hint="eastAsia"/>
          <w:sz w:val="24"/>
          <w:szCs w:val="24"/>
          <w:highlight w:val="none"/>
        </w:rPr>
        <w:t>  </w:t>
      </w:r>
      <w:r>
        <w:rPr>
          <w:rFonts w:hint="eastAsia"/>
          <w:b/>
          <w:bCs/>
          <w:sz w:val="24"/>
          <w:szCs w:val="24"/>
        </w:rPr>
        <w:t>三、中标情况</w:t>
      </w:r>
    </w:p>
    <w:tbl>
      <w:tblPr>
        <w:tblStyle w:val="3"/>
        <w:tblW w:w="9567" w:type="dxa"/>
        <w:jc w:val="center"/>
        <w:tblCellSpacing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fixed"/>
        <w:tblCellMar>
          <w:top w:w="15" w:type="dxa"/>
          <w:left w:w="15" w:type="dxa"/>
          <w:bottom w:w="15" w:type="dxa"/>
          <w:right w:w="15" w:type="dxa"/>
        </w:tblCellMar>
      </w:tblPr>
      <w:tblGrid>
        <w:gridCol w:w="538"/>
        <w:gridCol w:w="511"/>
        <w:gridCol w:w="2182"/>
        <w:gridCol w:w="137"/>
        <w:gridCol w:w="1423"/>
        <w:gridCol w:w="442"/>
        <w:gridCol w:w="1154"/>
        <w:gridCol w:w="900"/>
        <w:gridCol w:w="549"/>
        <w:gridCol w:w="795"/>
        <w:gridCol w:w="885"/>
        <w:gridCol w:w="51"/>
      </w:tblGrid>
      <w:tr w14:paraId="000A4CE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15" w:type="dxa"/>
            <w:left w:w="15" w:type="dxa"/>
            <w:bottom w:w="15" w:type="dxa"/>
            <w:right w:w="15" w:type="dxa"/>
          </w:tblCellMar>
        </w:tblPrEx>
        <w:trPr>
          <w:gridAfter w:val="1"/>
          <w:wAfter w:w="6" w:type="dxa"/>
          <w:trHeight w:val="552" w:hRule="atLeast"/>
          <w:tblCellSpacing w:w="15" w:type="dxa"/>
          <w:jc w:val="center"/>
        </w:trPr>
        <w:tc>
          <w:tcPr>
            <w:tcW w:w="493" w:type="dxa"/>
            <w:tcBorders>
              <w:top w:val="single" w:color="auto" w:sz="4" w:space="0"/>
              <w:left w:val="single" w:color="auto" w:sz="4" w:space="0"/>
              <w:bottom w:val="single" w:color="auto" w:sz="4" w:space="0"/>
              <w:right w:val="single" w:color="auto" w:sz="4" w:space="0"/>
            </w:tcBorders>
            <w:shd w:val="clear" w:color="auto" w:fill="FFFFFF"/>
            <w:tcMar>
              <w:top w:w="0" w:type="dxa"/>
              <w:left w:w="84" w:type="dxa"/>
              <w:bottom w:w="0" w:type="dxa"/>
              <w:right w:w="84" w:type="dxa"/>
            </w:tcMar>
            <w:vAlign w:val="center"/>
          </w:tcPr>
          <w:p w14:paraId="18138A87">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sz w:val="24"/>
                <w:szCs w:val="24"/>
              </w:rPr>
            </w:pPr>
            <w:r>
              <w:rPr>
                <w:rFonts w:hint="eastAsia"/>
                <w:sz w:val="24"/>
                <w:szCs w:val="24"/>
              </w:rPr>
              <w:t>包号</w:t>
            </w:r>
          </w:p>
        </w:tc>
        <w:tc>
          <w:tcPr>
            <w:tcW w:w="2663" w:type="dxa"/>
            <w:gridSpan w:val="2"/>
            <w:tcBorders>
              <w:top w:val="single" w:color="auto" w:sz="4" w:space="0"/>
              <w:left w:val="nil"/>
              <w:bottom w:val="single" w:color="auto" w:sz="4" w:space="0"/>
              <w:right w:val="single" w:color="auto" w:sz="4" w:space="0"/>
            </w:tcBorders>
            <w:shd w:val="clear" w:color="auto" w:fill="FFFFFF"/>
            <w:tcMar>
              <w:top w:w="0" w:type="dxa"/>
              <w:left w:w="84" w:type="dxa"/>
              <w:bottom w:w="0" w:type="dxa"/>
              <w:right w:w="84" w:type="dxa"/>
            </w:tcMar>
            <w:vAlign w:val="center"/>
          </w:tcPr>
          <w:p w14:paraId="25CA16B6">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sz w:val="24"/>
                <w:szCs w:val="24"/>
              </w:rPr>
            </w:pPr>
            <w:r>
              <w:rPr>
                <w:rFonts w:hint="eastAsia"/>
                <w:sz w:val="24"/>
                <w:szCs w:val="24"/>
              </w:rPr>
              <w:t>采购内容</w:t>
            </w:r>
          </w:p>
        </w:tc>
        <w:tc>
          <w:tcPr>
            <w:tcW w:w="1530" w:type="dxa"/>
            <w:gridSpan w:val="2"/>
            <w:tcBorders>
              <w:top w:val="single" w:color="auto" w:sz="4" w:space="0"/>
              <w:left w:val="nil"/>
              <w:bottom w:val="single" w:color="auto" w:sz="4" w:space="0"/>
              <w:right w:val="single" w:color="auto" w:sz="4" w:space="0"/>
            </w:tcBorders>
            <w:shd w:val="clear" w:color="auto" w:fill="FFFFFF"/>
            <w:tcMar>
              <w:top w:w="0" w:type="dxa"/>
              <w:left w:w="84" w:type="dxa"/>
              <w:bottom w:w="0" w:type="dxa"/>
              <w:right w:w="84" w:type="dxa"/>
            </w:tcMar>
            <w:vAlign w:val="center"/>
          </w:tcPr>
          <w:p w14:paraId="54ECE39A">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sz w:val="24"/>
                <w:szCs w:val="24"/>
              </w:rPr>
            </w:pPr>
            <w:r>
              <w:rPr>
                <w:rFonts w:hint="eastAsia"/>
                <w:sz w:val="24"/>
                <w:szCs w:val="24"/>
              </w:rPr>
              <w:t>中标人名称</w:t>
            </w:r>
          </w:p>
        </w:tc>
        <w:tc>
          <w:tcPr>
            <w:tcW w:w="2466" w:type="dxa"/>
            <w:gridSpan w:val="3"/>
            <w:tcBorders>
              <w:top w:val="single" w:color="auto" w:sz="4" w:space="0"/>
              <w:left w:val="nil"/>
              <w:bottom w:val="single" w:color="auto" w:sz="4" w:space="0"/>
              <w:right w:val="single" w:color="auto" w:sz="4" w:space="0"/>
            </w:tcBorders>
            <w:shd w:val="clear" w:color="auto" w:fill="FFFFFF"/>
            <w:tcMar>
              <w:top w:w="0" w:type="dxa"/>
              <w:left w:w="84" w:type="dxa"/>
              <w:bottom w:w="0" w:type="dxa"/>
              <w:right w:w="84" w:type="dxa"/>
            </w:tcMar>
            <w:vAlign w:val="center"/>
          </w:tcPr>
          <w:p w14:paraId="49042CD1">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sz w:val="24"/>
                <w:szCs w:val="24"/>
              </w:rPr>
            </w:pPr>
            <w:r>
              <w:rPr>
                <w:rFonts w:hint="eastAsia"/>
                <w:sz w:val="24"/>
                <w:szCs w:val="24"/>
              </w:rPr>
              <w:t>地 址</w:t>
            </w:r>
          </w:p>
        </w:tc>
        <w:tc>
          <w:tcPr>
            <w:tcW w:w="1314" w:type="dxa"/>
            <w:gridSpan w:val="2"/>
            <w:tcBorders>
              <w:top w:val="single" w:color="auto" w:sz="4" w:space="0"/>
              <w:left w:val="nil"/>
              <w:bottom w:val="single" w:color="auto" w:sz="4" w:space="0"/>
              <w:right w:val="single" w:color="auto" w:sz="4" w:space="0"/>
            </w:tcBorders>
            <w:shd w:val="clear" w:color="auto" w:fill="FFFFFF"/>
            <w:tcMar>
              <w:top w:w="0" w:type="dxa"/>
              <w:left w:w="84" w:type="dxa"/>
              <w:bottom w:w="0" w:type="dxa"/>
              <w:right w:w="84" w:type="dxa"/>
            </w:tcMar>
            <w:vAlign w:val="center"/>
          </w:tcPr>
          <w:p w14:paraId="2DA5F553">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sz w:val="24"/>
                <w:szCs w:val="24"/>
              </w:rPr>
            </w:pPr>
            <w:r>
              <w:rPr>
                <w:rFonts w:hint="eastAsia"/>
                <w:sz w:val="24"/>
                <w:szCs w:val="24"/>
              </w:rPr>
              <w:t>中标金额</w:t>
            </w:r>
          </w:p>
        </w:tc>
        <w:tc>
          <w:tcPr>
            <w:tcW w:w="840" w:type="dxa"/>
            <w:tcBorders>
              <w:top w:val="single" w:color="auto" w:sz="4" w:space="0"/>
              <w:left w:val="nil"/>
              <w:bottom w:val="single" w:color="auto" w:sz="4" w:space="0"/>
              <w:right w:val="single" w:color="auto" w:sz="4" w:space="0"/>
            </w:tcBorders>
            <w:shd w:val="clear" w:color="auto" w:fill="FFFFFF"/>
            <w:tcMar>
              <w:top w:w="0" w:type="dxa"/>
              <w:left w:w="84" w:type="dxa"/>
              <w:bottom w:w="0" w:type="dxa"/>
              <w:right w:w="84" w:type="dxa"/>
            </w:tcMar>
            <w:vAlign w:val="center"/>
          </w:tcPr>
          <w:p w14:paraId="3651D247">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sz w:val="24"/>
                <w:szCs w:val="24"/>
              </w:rPr>
            </w:pPr>
            <w:r>
              <w:rPr>
                <w:rFonts w:hint="eastAsia"/>
                <w:sz w:val="24"/>
                <w:szCs w:val="24"/>
              </w:rPr>
              <w:t>单位</w:t>
            </w:r>
          </w:p>
        </w:tc>
      </w:tr>
      <w:tr w14:paraId="1FF2C18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15" w:type="dxa"/>
            <w:left w:w="15" w:type="dxa"/>
            <w:bottom w:w="15" w:type="dxa"/>
            <w:right w:w="15" w:type="dxa"/>
          </w:tblCellMar>
        </w:tblPrEx>
        <w:trPr>
          <w:gridAfter w:val="1"/>
          <w:wAfter w:w="6" w:type="dxa"/>
          <w:trHeight w:val="1296" w:hRule="atLeast"/>
          <w:tblCellSpacing w:w="15" w:type="dxa"/>
          <w:jc w:val="center"/>
        </w:trPr>
        <w:tc>
          <w:tcPr>
            <w:tcW w:w="493" w:type="dxa"/>
            <w:vMerge w:val="restart"/>
            <w:tcBorders>
              <w:top w:val="nil"/>
              <w:left w:val="single" w:color="auto" w:sz="4" w:space="0"/>
              <w:bottom w:val="single" w:color="auto" w:sz="4" w:space="0"/>
              <w:right w:val="single" w:color="auto" w:sz="4" w:space="0"/>
            </w:tcBorders>
            <w:shd w:val="clear" w:color="auto" w:fill="FFFFFF"/>
            <w:tcMar>
              <w:top w:w="0" w:type="dxa"/>
              <w:left w:w="84" w:type="dxa"/>
              <w:bottom w:w="0" w:type="dxa"/>
              <w:right w:w="84" w:type="dxa"/>
            </w:tcMar>
            <w:vAlign w:val="center"/>
          </w:tcPr>
          <w:p w14:paraId="23639871">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sz w:val="24"/>
                <w:szCs w:val="24"/>
              </w:rPr>
            </w:pPr>
            <w:r>
              <w:rPr>
                <w:rFonts w:hint="eastAsia"/>
                <w:sz w:val="24"/>
                <w:szCs w:val="24"/>
              </w:rPr>
              <w:t>1</w:t>
            </w:r>
          </w:p>
        </w:tc>
        <w:tc>
          <w:tcPr>
            <w:tcW w:w="2663" w:type="dxa"/>
            <w:gridSpan w:val="2"/>
            <w:tcBorders>
              <w:top w:val="nil"/>
              <w:left w:val="nil"/>
              <w:bottom w:val="single" w:color="auto" w:sz="4" w:space="0"/>
              <w:right w:val="single" w:color="auto" w:sz="4" w:space="0"/>
            </w:tcBorders>
            <w:shd w:val="clear" w:color="auto" w:fill="FFFFFF"/>
            <w:tcMar>
              <w:top w:w="0" w:type="dxa"/>
              <w:left w:w="84" w:type="dxa"/>
              <w:bottom w:w="0" w:type="dxa"/>
              <w:right w:w="84" w:type="dxa"/>
            </w:tcMar>
            <w:vAlign w:val="center"/>
          </w:tcPr>
          <w:p w14:paraId="69C8CEC1">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sz w:val="24"/>
                <w:szCs w:val="24"/>
                <w:highlight w:val="none"/>
              </w:rPr>
            </w:pPr>
            <w:r>
              <w:rPr>
                <w:rFonts w:hint="eastAsia"/>
                <w:sz w:val="21"/>
                <w:szCs w:val="21"/>
                <w:highlight w:val="none"/>
              </w:rPr>
              <w:t>对汝州经济技术开发区化工园区地下水污染区域开展详细调查，明确园区地下水污染范围及程度，构建三维数值模型预测园区地下水污染发展趋势，进行地下水污染健康风险评估，为后续开展化工园区地下水污染风险管控提供支撑。</w:t>
            </w:r>
          </w:p>
        </w:tc>
        <w:tc>
          <w:tcPr>
            <w:tcW w:w="1530" w:type="dxa"/>
            <w:gridSpan w:val="2"/>
            <w:tcBorders>
              <w:top w:val="nil"/>
              <w:left w:val="nil"/>
              <w:bottom w:val="single" w:color="auto" w:sz="4" w:space="0"/>
              <w:right w:val="single" w:color="auto" w:sz="4" w:space="0"/>
            </w:tcBorders>
            <w:shd w:val="clear" w:color="auto" w:fill="FFFFFF"/>
            <w:tcMar>
              <w:top w:w="0" w:type="dxa"/>
              <w:left w:w="84" w:type="dxa"/>
              <w:bottom w:w="0" w:type="dxa"/>
              <w:right w:w="84" w:type="dxa"/>
            </w:tcMar>
            <w:vAlign w:val="center"/>
          </w:tcPr>
          <w:p w14:paraId="2CE1E451">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sz w:val="24"/>
                <w:szCs w:val="24"/>
                <w:highlight w:val="none"/>
              </w:rPr>
            </w:pPr>
            <w:r>
              <w:rPr>
                <w:rFonts w:hint="eastAsia"/>
                <w:sz w:val="24"/>
                <w:szCs w:val="24"/>
                <w:highlight w:val="none"/>
              </w:rPr>
              <w:t>河南省地质局地质灾害防治中心</w:t>
            </w:r>
          </w:p>
        </w:tc>
        <w:tc>
          <w:tcPr>
            <w:tcW w:w="2466" w:type="dxa"/>
            <w:gridSpan w:val="3"/>
            <w:tcBorders>
              <w:top w:val="nil"/>
              <w:left w:val="nil"/>
              <w:bottom w:val="single" w:color="auto" w:sz="4" w:space="0"/>
              <w:right w:val="single" w:color="auto" w:sz="4" w:space="0"/>
            </w:tcBorders>
            <w:shd w:val="clear" w:color="auto" w:fill="FFFFFF"/>
            <w:tcMar>
              <w:top w:w="0" w:type="dxa"/>
              <w:left w:w="84" w:type="dxa"/>
              <w:bottom w:w="0" w:type="dxa"/>
              <w:right w:w="84" w:type="dxa"/>
            </w:tcMar>
            <w:vAlign w:val="center"/>
          </w:tcPr>
          <w:p w14:paraId="74B262F0">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eastAsiaTheme="minorEastAsia"/>
                <w:sz w:val="24"/>
                <w:szCs w:val="24"/>
                <w:highlight w:val="none"/>
                <w:lang w:val="en-US" w:eastAsia="zh-CN"/>
              </w:rPr>
            </w:pPr>
            <w:r>
              <w:rPr>
                <w:rFonts w:hint="eastAsia"/>
                <w:sz w:val="24"/>
                <w:szCs w:val="24"/>
                <w:highlight w:val="none"/>
              </w:rPr>
              <w:t>法定代表人：</w:t>
            </w:r>
            <w:r>
              <w:rPr>
                <w:rFonts w:hint="eastAsia"/>
                <w:sz w:val="24"/>
                <w:szCs w:val="24"/>
                <w:highlight w:val="none"/>
                <w:lang w:val="en-US" w:eastAsia="zh-CN"/>
              </w:rPr>
              <w:t>邰作东</w:t>
            </w:r>
          </w:p>
          <w:p w14:paraId="7C293B10">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sz w:val="24"/>
                <w:szCs w:val="24"/>
                <w:highlight w:val="none"/>
              </w:rPr>
            </w:pPr>
            <w:r>
              <w:rPr>
                <w:rFonts w:hint="eastAsia"/>
                <w:sz w:val="24"/>
                <w:szCs w:val="24"/>
                <w:highlight w:val="none"/>
              </w:rPr>
              <w:t>联系人：张静</w:t>
            </w:r>
          </w:p>
          <w:p w14:paraId="7DAF5E15">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sz w:val="24"/>
                <w:szCs w:val="24"/>
                <w:highlight w:val="none"/>
              </w:rPr>
            </w:pPr>
            <w:r>
              <w:rPr>
                <w:rFonts w:hint="eastAsia"/>
                <w:sz w:val="24"/>
                <w:szCs w:val="24"/>
                <w:highlight w:val="none"/>
              </w:rPr>
              <w:t>联系电话：0371-63936530</w:t>
            </w:r>
            <w:bookmarkStart w:id="0" w:name="_GoBack"/>
            <w:bookmarkEnd w:id="0"/>
          </w:p>
          <w:p w14:paraId="58BB9BE1">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eastAsiaTheme="minorEastAsia"/>
                <w:sz w:val="24"/>
                <w:szCs w:val="24"/>
                <w:highlight w:val="yellow"/>
                <w:lang w:val="en-US" w:eastAsia="zh-CN"/>
              </w:rPr>
            </w:pPr>
            <w:r>
              <w:rPr>
                <w:rFonts w:hint="eastAsia"/>
                <w:sz w:val="24"/>
                <w:szCs w:val="24"/>
                <w:highlight w:val="none"/>
              </w:rPr>
              <w:t>地址：</w:t>
            </w:r>
            <w:r>
              <w:rPr>
                <w:rFonts w:hint="eastAsia"/>
                <w:sz w:val="24"/>
                <w:szCs w:val="24"/>
                <w:highlight w:val="none"/>
                <w:lang w:val="en-US" w:eastAsia="zh-CN"/>
              </w:rPr>
              <w:t>郑州市金水区金水路28号</w:t>
            </w:r>
          </w:p>
        </w:tc>
        <w:tc>
          <w:tcPr>
            <w:tcW w:w="1314" w:type="dxa"/>
            <w:gridSpan w:val="2"/>
            <w:tcBorders>
              <w:top w:val="nil"/>
              <w:left w:val="nil"/>
              <w:bottom w:val="single" w:color="auto" w:sz="4" w:space="0"/>
              <w:right w:val="single" w:color="auto" w:sz="4" w:space="0"/>
            </w:tcBorders>
            <w:shd w:val="clear" w:color="auto" w:fill="FFFFFF"/>
            <w:tcMar>
              <w:top w:w="0" w:type="dxa"/>
              <w:left w:w="84" w:type="dxa"/>
              <w:bottom w:w="0" w:type="dxa"/>
              <w:right w:w="84" w:type="dxa"/>
            </w:tcMar>
            <w:vAlign w:val="center"/>
          </w:tcPr>
          <w:p w14:paraId="2AD56E5B">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eastAsiaTheme="minorEastAsia"/>
                <w:sz w:val="24"/>
                <w:szCs w:val="24"/>
                <w:highlight w:val="yellow"/>
                <w:lang w:val="en-US" w:eastAsia="zh-CN"/>
              </w:rPr>
            </w:pPr>
            <w:r>
              <w:rPr>
                <w:rFonts w:hint="eastAsia"/>
                <w:sz w:val="24"/>
                <w:szCs w:val="24"/>
                <w:highlight w:val="none"/>
              </w:rPr>
              <w:t>4860000</w:t>
            </w:r>
            <w:r>
              <w:rPr>
                <w:rFonts w:hint="eastAsia"/>
                <w:sz w:val="24"/>
                <w:szCs w:val="24"/>
                <w:highlight w:val="none"/>
                <w:lang w:eastAsia="zh-CN"/>
              </w:rPr>
              <w:t>.</w:t>
            </w:r>
            <w:r>
              <w:rPr>
                <w:rFonts w:hint="eastAsia"/>
                <w:sz w:val="24"/>
                <w:szCs w:val="24"/>
                <w:highlight w:val="none"/>
                <w:lang w:val="en-US" w:eastAsia="zh-CN"/>
              </w:rPr>
              <w:t>00</w:t>
            </w:r>
          </w:p>
        </w:tc>
        <w:tc>
          <w:tcPr>
            <w:tcW w:w="840" w:type="dxa"/>
            <w:tcBorders>
              <w:top w:val="nil"/>
              <w:left w:val="nil"/>
              <w:bottom w:val="single" w:color="auto" w:sz="4" w:space="0"/>
              <w:right w:val="single" w:color="auto" w:sz="4" w:space="0"/>
            </w:tcBorders>
            <w:shd w:val="clear" w:color="auto" w:fill="FFFFFF"/>
            <w:tcMar>
              <w:top w:w="0" w:type="dxa"/>
              <w:left w:w="84" w:type="dxa"/>
              <w:bottom w:w="0" w:type="dxa"/>
              <w:right w:w="84" w:type="dxa"/>
            </w:tcMar>
            <w:vAlign w:val="center"/>
          </w:tcPr>
          <w:p w14:paraId="436E12AD">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sz w:val="24"/>
                <w:szCs w:val="24"/>
              </w:rPr>
            </w:pPr>
            <w:r>
              <w:rPr>
                <w:rFonts w:hint="eastAsia"/>
                <w:sz w:val="24"/>
                <w:szCs w:val="24"/>
              </w:rPr>
              <w:t>元</w:t>
            </w:r>
          </w:p>
        </w:tc>
      </w:tr>
      <w:tr w14:paraId="0364949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15" w:type="dxa"/>
            <w:left w:w="15" w:type="dxa"/>
            <w:bottom w:w="15" w:type="dxa"/>
            <w:right w:w="15" w:type="dxa"/>
          </w:tblCellMar>
        </w:tblPrEx>
        <w:trPr>
          <w:trHeight w:val="588" w:hRule="atLeast"/>
          <w:tblCellSpacing w:w="15" w:type="dxa"/>
          <w:jc w:val="center"/>
        </w:trPr>
        <w:tc>
          <w:tcPr>
            <w:tcW w:w="493" w:type="dxa"/>
            <w:vMerge w:val="continue"/>
            <w:tcBorders>
              <w:top w:val="nil"/>
              <w:left w:val="single" w:color="auto" w:sz="4" w:space="0"/>
              <w:bottom w:val="single" w:color="auto" w:sz="4" w:space="0"/>
              <w:right w:val="single" w:color="auto" w:sz="4" w:space="0"/>
            </w:tcBorders>
            <w:shd w:val="clear" w:color="auto" w:fill="FFFFFF"/>
            <w:tcMar>
              <w:top w:w="0" w:type="dxa"/>
              <w:left w:w="84" w:type="dxa"/>
              <w:bottom w:w="0" w:type="dxa"/>
              <w:right w:w="84" w:type="dxa"/>
            </w:tcMar>
            <w:vAlign w:val="center"/>
          </w:tcPr>
          <w:p w14:paraId="32CC3D89">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sz w:val="24"/>
                <w:szCs w:val="24"/>
              </w:rPr>
            </w:pPr>
          </w:p>
        </w:tc>
        <w:tc>
          <w:tcPr>
            <w:tcW w:w="481" w:type="dxa"/>
            <w:tcBorders>
              <w:top w:val="nil"/>
              <w:left w:val="nil"/>
              <w:bottom w:val="single" w:color="auto" w:sz="4" w:space="0"/>
              <w:right w:val="single" w:color="auto" w:sz="4" w:space="0"/>
            </w:tcBorders>
            <w:shd w:val="clear" w:color="auto" w:fill="FFFFFF"/>
            <w:tcMar>
              <w:top w:w="0" w:type="dxa"/>
              <w:left w:w="84" w:type="dxa"/>
              <w:bottom w:w="0" w:type="dxa"/>
              <w:right w:w="84" w:type="dxa"/>
            </w:tcMar>
            <w:vAlign w:val="center"/>
          </w:tcPr>
          <w:p w14:paraId="25211EEB">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sz w:val="24"/>
                <w:szCs w:val="24"/>
              </w:rPr>
            </w:pPr>
            <w:r>
              <w:rPr>
                <w:rFonts w:hint="eastAsia"/>
                <w:sz w:val="24"/>
                <w:szCs w:val="24"/>
              </w:rPr>
              <w:t>序号</w:t>
            </w:r>
          </w:p>
        </w:tc>
        <w:tc>
          <w:tcPr>
            <w:tcW w:w="2289" w:type="dxa"/>
            <w:gridSpan w:val="2"/>
            <w:tcBorders>
              <w:top w:val="nil"/>
              <w:left w:val="nil"/>
              <w:bottom w:val="single" w:color="auto" w:sz="4" w:space="0"/>
              <w:right w:val="single" w:color="auto" w:sz="4" w:space="0"/>
            </w:tcBorders>
            <w:shd w:val="clear" w:color="auto" w:fill="FFFFFF"/>
            <w:tcMar>
              <w:top w:w="0" w:type="dxa"/>
              <w:left w:w="84" w:type="dxa"/>
              <w:bottom w:w="0" w:type="dxa"/>
              <w:right w:w="84" w:type="dxa"/>
            </w:tcMar>
            <w:vAlign w:val="center"/>
          </w:tcPr>
          <w:p w14:paraId="0BBD90AF">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sz w:val="24"/>
                <w:szCs w:val="24"/>
              </w:rPr>
            </w:pPr>
            <w:r>
              <w:rPr>
                <w:rFonts w:hint="eastAsia"/>
                <w:sz w:val="24"/>
                <w:szCs w:val="24"/>
              </w:rPr>
              <w:t>名 称</w:t>
            </w:r>
          </w:p>
        </w:tc>
        <w:tc>
          <w:tcPr>
            <w:tcW w:w="1835" w:type="dxa"/>
            <w:gridSpan w:val="2"/>
            <w:tcBorders>
              <w:top w:val="nil"/>
              <w:left w:val="single" w:color="auto" w:sz="4" w:space="0"/>
              <w:bottom w:val="single" w:color="auto" w:sz="4" w:space="0"/>
              <w:right w:val="single" w:color="auto" w:sz="4" w:space="0"/>
            </w:tcBorders>
            <w:shd w:val="clear" w:color="auto" w:fill="FFFFFF"/>
            <w:tcMar>
              <w:top w:w="0" w:type="dxa"/>
              <w:left w:w="84" w:type="dxa"/>
              <w:bottom w:w="0" w:type="dxa"/>
              <w:right w:w="84" w:type="dxa"/>
            </w:tcMar>
            <w:vAlign w:val="center"/>
          </w:tcPr>
          <w:p w14:paraId="33F69A52">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sz w:val="24"/>
                <w:szCs w:val="24"/>
              </w:rPr>
            </w:pPr>
            <w:r>
              <w:rPr>
                <w:rFonts w:hint="eastAsia"/>
                <w:sz w:val="24"/>
                <w:szCs w:val="24"/>
              </w:rPr>
              <w:t>服务范围</w:t>
            </w:r>
          </w:p>
        </w:tc>
        <w:tc>
          <w:tcPr>
            <w:tcW w:w="1124" w:type="dxa"/>
            <w:tcBorders>
              <w:top w:val="nil"/>
              <w:left w:val="nil"/>
              <w:bottom w:val="single" w:color="auto" w:sz="4" w:space="0"/>
              <w:right w:val="single" w:color="auto" w:sz="4" w:space="0"/>
            </w:tcBorders>
            <w:shd w:val="clear" w:color="auto" w:fill="FFFFFF"/>
            <w:tcMar>
              <w:top w:w="0" w:type="dxa"/>
              <w:left w:w="84" w:type="dxa"/>
              <w:bottom w:w="0" w:type="dxa"/>
              <w:right w:w="84" w:type="dxa"/>
            </w:tcMar>
            <w:vAlign w:val="center"/>
          </w:tcPr>
          <w:p w14:paraId="4479BECB">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sz w:val="24"/>
                <w:szCs w:val="24"/>
              </w:rPr>
            </w:pPr>
            <w:r>
              <w:rPr>
                <w:rFonts w:hint="eastAsia"/>
                <w:sz w:val="24"/>
                <w:szCs w:val="24"/>
              </w:rPr>
              <w:t>服务要求</w:t>
            </w:r>
          </w:p>
        </w:tc>
        <w:tc>
          <w:tcPr>
            <w:tcW w:w="1419" w:type="dxa"/>
            <w:gridSpan w:val="2"/>
            <w:tcBorders>
              <w:top w:val="nil"/>
              <w:left w:val="nil"/>
              <w:bottom w:val="single" w:color="auto" w:sz="4" w:space="0"/>
              <w:right w:val="single" w:color="auto" w:sz="4" w:space="0"/>
            </w:tcBorders>
            <w:shd w:val="clear" w:color="auto" w:fill="FFFFFF"/>
            <w:tcMar>
              <w:top w:w="0" w:type="dxa"/>
              <w:left w:w="84" w:type="dxa"/>
              <w:bottom w:w="0" w:type="dxa"/>
              <w:right w:w="84" w:type="dxa"/>
            </w:tcMar>
            <w:vAlign w:val="center"/>
          </w:tcPr>
          <w:p w14:paraId="06017370">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sz w:val="24"/>
                <w:szCs w:val="24"/>
              </w:rPr>
            </w:pPr>
            <w:r>
              <w:rPr>
                <w:rFonts w:hint="eastAsia"/>
                <w:sz w:val="24"/>
                <w:szCs w:val="24"/>
              </w:rPr>
              <w:t>服务时间</w:t>
            </w:r>
          </w:p>
        </w:tc>
        <w:tc>
          <w:tcPr>
            <w:tcW w:w="1686" w:type="dxa"/>
            <w:gridSpan w:val="3"/>
            <w:tcBorders>
              <w:top w:val="nil"/>
              <w:left w:val="nil"/>
              <w:bottom w:val="single" w:color="auto" w:sz="4" w:space="0"/>
              <w:right w:val="single" w:color="auto" w:sz="4" w:space="0"/>
            </w:tcBorders>
            <w:shd w:val="clear" w:color="auto" w:fill="FFFFFF"/>
            <w:tcMar>
              <w:top w:w="0" w:type="dxa"/>
              <w:left w:w="84" w:type="dxa"/>
              <w:bottom w:w="0" w:type="dxa"/>
              <w:right w:w="84" w:type="dxa"/>
            </w:tcMar>
            <w:vAlign w:val="center"/>
          </w:tcPr>
          <w:p w14:paraId="69E1EC22">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sz w:val="24"/>
                <w:szCs w:val="24"/>
              </w:rPr>
            </w:pPr>
            <w:r>
              <w:rPr>
                <w:rFonts w:hint="eastAsia"/>
                <w:sz w:val="24"/>
                <w:szCs w:val="24"/>
              </w:rPr>
              <w:t>服务标准</w:t>
            </w:r>
          </w:p>
        </w:tc>
      </w:tr>
      <w:tr w14:paraId="5688D37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15" w:type="dxa"/>
            <w:left w:w="15" w:type="dxa"/>
            <w:bottom w:w="15" w:type="dxa"/>
            <w:right w:w="15" w:type="dxa"/>
          </w:tblCellMar>
        </w:tblPrEx>
        <w:trPr>
          <w:trHeight w:val="1140" w:hRule="atLeast"/>
          <w:tblCellSpacing w:w="15" w:type="dxa"/>
          <w:jc w:val="center"/>
        </w:trPr>
        <w:tc>
          <w:tcPr>
            <w:tcW w:w="493" w:type="dxa"/>
            <w:vMerge w:val="continue"/>
            <w:tcBorders>
              <w:top w:val="nil"/>
              <w:left w:val="single" w:color="auto" w:sz="4" w:space="0"/>
              <w:bottom w:val="single" w:color="auto" w:sz="4" w:space="0"/>
              <w:right w:val="single" w:color="auto" w:sz="4" w:space="0"/>
            </w:tcBorders>
            <w:shd w:val="clear" w:color="auto" w:fill="FFFFFF"/>
            <w:tcMar>
              <w:top w:w="0" w:type="dxa"/>
              <w:left w:w="84" w:type="dxa"/>
              <w:bottom w:w="0" w:type="dxa"/>
              <w:right w:w="84" w:type="dxa"/>
            </w:tcMar>
            <w:vAlign w:val="center"/>
          </w:tcPr>
          <w:p w14:paraId="22840499">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sz w:val="24"/>
                <w:szCs w:val="24"/>
              </w:rPr>
            </w:pPr>
          </w:p>
        </w:tc>
        <w:tc>
          <w:tcPr>
            <w:tcW w:w="481" w:type="dxa"/>
            <w:tcBorders>
              <w:top w:val="nil"/>
              <w:left w:val="nil"/>
              <w:bottom w:val="single" w:color="auto" w:sz="4" w:space="0"/>
              <w:right w:val="single" w:color="auto" w:sz="4" w:space="0"/>
            </w:tcBorders>
            <w:shd w:val="clear" w:color="auto" w:fill="FFFFFF"/>
            <w:tcMar>
              <w:top w:w="0" w:type="dxa"/>
              <w:left w:w="84" w:type="dxa"/>
              <w:bottom w:w="0" w:type="dxa"/>
              <w:right w:w="84" w:type="dxa"/>
            </w:tcMar>
            <w:vAlign w:val="center"/>
          </w:tcPr>
          <w:p w14:paraId="2C0333B4">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sz w:val="24"/>
                <w:szCs w:val="24"/>
              </w:rPr>
            </w:pPr>
            <w:r>
              <w:rPr>
                <w:rFonts w:hint="eastAsia"/>
                <w:sz w:val="24"/>
                <w:szCs w:val="24"/>
              </w:rPr>
              <w:t>1</w:t>
            </w:r>
          </w:p>
        </w:tc>
        <w:tc>
          <w:tcPr>
            <w:tcW w:w="2289" w:type="dxa"/>
            <w:gridSpan w:val="2"/>
            <w:tcBorders>
              <w:top w:val="nil"/>
              <w:left w:val="nil"/>
              <w:bottom w:val="single" w:color="auto" w:sz="4" w:space="0"/>
              <w:right w:val="single" w:color="auto" w:sz="4" w:space="0"/>
            </w:tcBorders>
            <w:shd w:val="clear" w:color="auto" w:fill="FFFFFF"/>
            <w:tcMar>
              <w:top w:w="0" w:type="dxa"/>
              <w:left w:w="84" w:type="dxa"/>
              <w:bottom w:w="0" w:type="dxa"/>
              <w:right w:w="84" w:type="dxa"/>
            </w:tcMar>
            <w:vAlign w:val="center"/>
          </w:tcPr>
          <w:p w14:paraId="7395B9A0">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eastAsiaTheme="minorEastAsia"/>
                <w:sz w:val="24"/>
                <w:szCs w:val="24"/>
                <w:lang w:eastAsia="zh-CN"/>
              </w:rPr>
            </w:pPr>
            <w:r>
              <w:rPr>
                <w:rFonts w:hint="eastAsia" w:eastAsiaTheme="minorEastAsia"/>
                <w:sz w:val="24"/>
                <w:szCs w:val="24"/>
                <w:lang w:eastAsia="zh-CN"/>
              </w:rPr>
              <w:t>汝州经济技术开发区管理委员会汝州经济技术开发区化工园区地下水污染详细调查和风险评估项目第</w:t>
            </w:r>
            <w:r>
              <w:rPr>
                <w:rFonts w:hint="eastAsia"/>
                <w:sz w:val="24"/>
                <w:szCs w:val="24"/>
                <w:lang w:val="en-US" w:eastAsia="zh-CN"/>
              </w:rPr>
              <w:t>一</w:t>
            </w:r>
            <w:r>
              <w:rPr>
                <w:rFonts w:hint="eastAsia" w:eastAsiaTheme="minorEastAsia"/>
                <w:sz w:val="24"/>
                <w:szCs w:val="24"/>
                <w:lang w:eastAsia="zh-CN"/>
              </w:rPr>
              <w:t>标段</w:t>
            </w:r>
          </w:p>
        </w:tc>
        <w:tc>
          <w:tcPr>
            <w:tcW w:w="1835" w:type="dxa"/>
            <w:gridSpan w:val="2"/>
            <w:tcBorders>
              <w:top w:val="nil"/>
              <w:left w:val="single" w:color="auto" w:sz="4" w:space="0"/>
              <w:bottom w:val="single" w:color="auto" w:sz="4" w:space="0"/>
              <w:right w:val="single" w:color="auto" w:sz="4" w:space="0"/>
            </w:tcBorders>
            <w:shd w:val="clear" w:color="auto" w:fill="FFFFFF"/>
            <w:tcMar>
              <w:top w:w="0" w:type="dxa"/>
              <w:left w:w="84" w:type="dxa"/>
              <w:bottom w:w="0" w:type="dxa"/>
              <w:right w:w="84" w:type="dxa"/>
            </w:tcMar>
            <w:vAlign w:val="center"/>
          </w:tcPr>
          <w:p w14:paraId="020E9CB1">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sz w:val="24"/>
                <w:szCs w:val="24"/>
              </w:rPr>
            </w:pPr>
            <w:r>
              <w:rPr>
                <w:rFonts w:hint="eastAsia"/>
                <w:sz w:val="24"/>
                <w:szCs w:val="24"/>
              </w:rPr>
              <w:t>服务要求内所含全部内容（详见招标文件）</w:t>
            </w:r>
          </w:p>
        </w:tc>
        <w:tc>
          <w:tcPr>
            <w:tcW w:w="1124" w:type="dxa"/>
            <w:tcBorders>
              <w:top w:val="nil"/>
              <w:left w:val="nil"/>
              <w:bottom w:val="single" w:color="auto" w:sz="4" w:space="0"/>
              <w:right w:val="single" w:color="auto" w:sz="4" w:space="0"/>
            </w:tcBorders>
            <w:shd w:val="clear" w:color="auto" w:fill="FFFFFF"/>
            <w:tcMar>
              <w:top w:w="0" w:type="dxa"/>
              <w:left w:w="84" w:type="dxa"/>
              <w:bottom w:w="0" w:type="dxa"/>
              <w:right w:w="84" w:type="dxa"/>
            </w:tcMar>
            <w:vAlign w:val="center"/>
          </w:tcPr>
          <w:p w14:paraId="146390B9">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sz w:val="24"/>
                <w:szCs w:val="24"/>
              </w:rPr>
            </w:pPr>
            <w:r>
              <w:rPr>
                <w:rFonts w:hint="eastAsia"/>
                <w:sz w:val="24"/>
                <w:szCs w:val="24"/>
                <w:highlight w:val="none"/>
              </w:rPr>
              <w:t>符合国家、行业相关规范标准及采购人要求</w:t>
            </w:r>
          </w:p>
        </w:tc>
        <w:tc>
          <w:tcPr>
            <w:tcW w:w="1419" w:type="dxa"/>
            <w:gridSpan w:val="2"/>
            <w:tcBorders>
              <w:top w:val="nil"/>
              <w:left w:val="nil"/>
              <w:bottom w:val="single" w:color="auto" w:sz="4" w:space="0"/>
              <w:right w:val="single" w:color="auto" w:sz="4" w:space="0"/>
            </w:tcBorders>
            <w:shd w:val="clear" w:color="auto" w:fill="FFFFFF"/>
            <w:tcMar>
              <w:top w:w="0" w:type="dxa"/>
              <w:left w:w="84" w:type="dxa"/>
              <w:bottom w:w="0" w:type="dxa"/>
              <w:right w:w="84" w:type="dxa"/>
            </w:tcMar>
            <w:vAlign w:val="center"/>
          </w:tcPr>
          <w:p w14:paraId="174127BA">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sz w:val="24"/>
                <w:szCs w:val="24"/>
                <w:highlight w:val="none"/>
              </w:rPr>
            </w:pPr>
            <w:r>
              <w:rPr>
                <w:rFonts w:hint="eastAsia"/>
                <w:sz w:val="24"/>
                <w:szCs w:val="24"/>
                <w:highlight w:val="none"/>
              </w:rPr>
              <w:t>365 日历天（合同签订后 12 个月）</w:t>
            </w:r>
          </w:p>
        </w:tc>
        <w:tc>
          <w:tcPr>
            <w:tcW w:w="1686" w:type="dxa"/>
            <w:gridSpan w:val="3"/>
            <w:tcBorders>
              <w:top w:val="nil"/>
              <w:left w:val="nil"/>
              <w:bottom w:val="single" w:color="auto" w:sz="4" w:space="0"/>
              <w:right w:val="single" w:color="auto" w:sz="4" w:space="0"/>
            </w:tcBorders>
            <w:shd w:val="clear" w:color="auto" w:fill="FFFFFF"/>
            <w:tcMar>
              <w:top w:w="0" w:type="dxa"/>
              <w:left w:w="84" w:type="dxa"/>
              <w:bottom w:w="0" w:type="dxa"/>
              <w:right w:w="84" w:type="dxa"/>
            </w:tcMar>
            <w:vAlign w:val="center"/>
          </w:tcPr>
          <w:p w14:paraId="3B4EA72D">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sz w:val="24"/>
                <w:szCs w:val="24"/>
                <w:highlight w:val="none"/>
              </w:rPr>
            </w:pPr>
            <w:r>
              <w:rPr>
                <w:rFonts w:hint="eastAsia"/>
                <w:sz w:val="24"/>
                <w:szCs w:val="24"/>
                <w:highlight w:val="none"/>
              </w:rPr>
              <w:t>符合国家、行业相关规范标准及采购人要求</w:t>
            </w:r>
          </w:p>
        </w:tc>
      </w:tr>
      <w:tr w14:paraId="3E25C75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15" w:type="dxa"/>
            <w:left w:w="15" w:type="dxa"/>
            <w:bottom w:w="15" w:type="dxa"/>
            <w:right w:w="15" w:type="dxa"/>
          </w:tblCellMar>
        </w:tblPrEx>
        <w:trPr>
          <w:gridAfter w:val="1"/>
          <w:wAfter w:w="6" w:type="dxa"/>
          <w:trHeight w:val="552" w:hRule="atLeast"/>
          <w:tblCellSpacing w:w="15" w:type="dxa"/>
          <w:jc w:val="center"/>
        </w:trPr>
        <w:tc>
          <w:tcPr>
            <w:tcW w:w="493" w:type="dxa"/>
            <w:tcBorders>
              <w:top w:val="single" w:color="auto" w:sz="4" w:space="0"/>
              <w:left w:val="single" w:color="auto" w:sz="4" w:space="0"/>
              <w:bottom w:val="single" w:color="auto" w:sz="4" w:space="0"/>
              <w:right w:val="single" w:color="auto" w:sz="4" w:space="0"/>
            </w:tcBorders>
            <w:shd w:val="clear" w:color="auto" w:fill="FFFFFF"/>
            <w:tcMar>
              <w:top w:w="0" w:type="dxa"/>
              <w:left w:w="84" w:type="dxa"/>
              <w:bottom w:w="0" w:type="dxa"/>
              <w:right w:w="84" w:type="dxa"/>
            </w:tcMar>
            <w:vAlign w:val="center"/>
          </w:tcPr>
          <w:p w14:paraId="10874A0B">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sz w:val="24"/>
                <w:szCs w:val="24"/>
              </w:rPr>
            </w:pPr>
            <w:r>
              <w:rPr>
                <w:rFonts w:hint="eastAsia"/>
                <w:sz w:val="24"/>
                <w:szCs w:val="24"/>
              </w:rPr>
              <w:t>包号</w:t>
            </w:r>
          </w:p>
        </w:tc>
        <w:tc>
          <w:tcPr>
            <w:tcW w:w="2663" w:type="dxa"/>
            <w:gridSpan w:val="2"/>
            <w:tcBorders>
              <w:top w:val="single" w:color="auto" w:sz="4" w:space="0"/>
              <w:left w:val="nil"/>
              <w:bottom w:val="single" w:color="auto" w:sz="4" w:space="0"/>
              <w:right w:val="single" w:color="auto" w:sz="4" w:space="0"/>
            </w:tcBorders>
            <w:shd w:val="clear" w:color="auto" w:fill="FFFFFF"/>
            <w:tcMar>
              <w:top w:w="0" w:type="dxa"/>
              <w:left w:w="84" w:type="dxa"/>
              <w:bottom w:w="0" w:type="dxa"/>
              <w:right w:w="84" w:type="dxa"/>
            </w:tcMar>
            <w:vAlign w:val="center"/>
          </w:tcPr>
          <w:p w14:paraId="33EE0FB1">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sz w:val="24"/>
                <w:szCs w:val="24"/>
              </w:rPr>
            </w:pPr>
            <w:r>
              <w:rPr>
                <w:rFonts w:hint="eastAsia"/>
                <w:sz w:val="24"/>
                <w:szCs w:val="24"/>
              </w:rPr>
              <w:t>采购内容</w:t>
            </w:r>
          </w:p>
        </w:tc>
        <w:tc>
          <w:tcPr>
            <w:tcW w:w="1530" w:type="dxa"/>
            <w:gridSpan w:val="2"/>
            <w:tcBorders>
              <w:top w:val="single" w:color="auto" w:sz="4" w:space="0"/>
              <w:left w:val="nil"/>
              <w:bottom w:val="single" w:color="auto" w:sz="4" w:space="0"/>
              <w:right w:val="single" w:color="auto" w:sz="4" w:space="0"/>
            </w:tcBorders>
            <w:shd w:val="clear" w:color="auto" w:fill="FFFFFF"/>
            <w:tcMar>
              <w:top w:w="0" w:type="dxa"/>
              <w:left w:w="84" w:type="dxa"/>
              <w:bottom w:w="0" w:type="dxa"/>
              <w:right w:w="84" w:type="dxa"/>
            </w:tcMar>
            <w:vAlign w:val="center"/>
          </w:tcPr>
          <w:p w14:paraId="68C58A67">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sz w:val="24"/>
                <w:szCs w:val="24"/>
              </w:rPr>
            </w:pPr>
            <w:r>
              <w:rPr>
                <w:rFonts w:hint="eastAsia"/>
                <w:sz w:val="24"/>
                <w:szCs w:val="24"/>
              </w:rPr>
              <w:t>中标人名称</w:t>
            </w:r>
          </w:p>
        </w:tc>
        <w:tc>
          <w:tcPr>
            <w:tcW w:w="2466" w:type="dxa"/>
            <w:gridSpan w:val="3"/>
            <w:tcBorders>
              <w:top w:val="single" w:color="auto" w:sz="4" w:space="0"/>
              <w:left w:val="nil"/>
              <w:bottom w:val="single" w:color="auto" w:sz="4" w:space="0"/>
              <w:right w:val="single" w:color="auto" w:sz="4" w:space="0"/>
            </w:tcBorders>
            <w:shd w:val="clear" w:color="auto" w:fill="FFFFFF"/>
            <w:tcMar>
              <w:top w:w="0" w:type="dxa"/>
              <w:left w:w="84" w:type="dxa"/>
              <w:bottom w:w="0" w:type="dxa"/>
              <w:right w:w="84" w:type="dxa"/>
            </w:tcMar>
            <w:vAlign w:val="center"/>
          </w:tcPr>
          <w:p w14:paraId="02C0F3B5">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sz w:val="24"/>
                <w:szCs w:val="24"/>
              </w:rPr>
            </w:pPr>
            <w:r>
              <w:rPr>
                <w:rFonts w:hint="eastAsia"/>
                <w:sz w:val="24"/>
                <w:szCs w:val="24"/>
              </w:rPr>
              <w:t>地 址</w:t>
            </w:r>
          </w:p>
        </w:tc>
        <w:tc>
          <w:tcPr>
            <w:tcW w:w="1314" w:type="dxa"/>
            <w:gridSpan w:val="2"/>
            <w:tcBorders>
              <w:top w:val="single" w:color="auto" w:sz="4" w:space="0"/>
              <w:left w:val="nil"/>
              <w:bottom w:val="single" w:color="auto" w:sz="4" w:space="0"/>
              <w:right w:val="single" w:color="auto" w:sz="4" w:space="0"/>
            </w:tcBorders>
            <w:shd w:val="clear" w:color="auto" w:fill="FFFFFF"/>
            <w:tcMar>
              <w:top w:w="0" w:type="dxa"/>
              <w:left w:w="84" w:type="dxa"/>
              <w:bottom w:w="0" w:type="dxa"/>
              <w:right w:w="84" w:type="dxa"/>
            </w:tcMar>
            <w:vAlign w:val="center"/>
          </w:tcPr>
          <w:p w14:paraId="06477DEE">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sz w:val="24"/>
                <w:szCs w:val="24"/>
              </w:rPr>
            </w:pPr>
            <w:r>
              <w:rPr>
                <w:rFonts w:hint="eastAsia"/>
                <w:sz w:val="24"/>
                <w:szCs w:val="24"/>
              </w:rPr>
              <w:t>中标金额</w:t>
            </w:r>
          </w:p>
        </w:tc>
        <w:tc>
          <w:tcPr>
            <w:tcW w:w="840" w:type="dxa"/>
            <w:tcBorders>
              <w:top w:val="single" w:color="auto" w:sz="4" w:space="0"/>
              <w:left w:val="nil"/>
              <w:bottom w:val="single" w:color="auto" w:sz="4" w:space="0"/>
              <w:right w:val="single" w:color="auto" w:sz="4" w:space="0"/>
            </w:tcBorders>
            <w:shd w:val="clear" w:color="auto" w:fill="FFFFFF"/>
            <w:tcMar>
              <w:top w:w="0" w:type="dxa"/>
              <w:left w:w="84" w:type="dxa"/>
              <w:bottom w:w="0" w:type="dxa"/>
              <w:right w:w="84" w:type="dxa"/>
            </w:tcMar>
            <w:vAlign w:val="center"/>
          </w:tcPr>
          <w:p w14:paraId="754135C6">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sz w:val="24"/>
                <w:szCs w:val="24"/>
              </w:rPr>
            </w:pPr>
            <w:r>
              <w:rPr>
                <w:rFonts w:hint="eastAsia"/>
                <w:sz w:val="24"/>
                <w:szCs w:val="24"/>
              </w:rPr>
              <w:t>单位</w:t>
            </w:r>
          </w:p>
        </w:tc>
      </w:tr>
      <w:tr w14:paraId="6DD2605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15" w:type="dxa"/>
            <w:left w:w="15" w:type="dxa"/>
            <w:bottom w:w="15" w:type="dxa"/>
            <w:right w:w="15" w:type="dxa"/>
          </w:tblCellMar>
        </w:tblPrEx>
        <w:trPr>
          <w:gridAfter w:val="1"/>
          <w:wAfter w:w="6" w:type="dxa"/>
          <w:trHeight w:val="1296" w:hRule="atLeast"/>
          <w:tblCellSpacing w:w="15" w:type="dxa"/>
          <w:jc w:val="center"/>
        </w:trPr>
        <w:tc>
          <w:tcPr>
            <w:tcW w:w="493" w:type="dxa"/>
            <w:vMerge w:val="restart"/>
            <w:tcBorders>
              <w:top w:val="nil"/>
              <w:left w:val="single" w:color="auto" w:sz="4" w:space="0"/>
              <w:bottom w:val="single" w:color="auto" w:sz="4" w:space="0"/>
              <w:right w:val="single" w:color="auto" w:sz="4" w:space="0"/>
            </w:tcBorders>
            <w:shd w:val="clear" w:color="auto" w:fill="FFFFFF"/>
            <w:tcMar>
              <w:top w:w="0" w:type="dxa"/>
              <w:left w:w="84" w:type="dxa"/>
              <w:bottom w:w="0" w:type="dxa"/>
              <w:right w:w="84" w:type="dxa"/>
            </w:tcMar>
            <w:vAlign w:val="center"/>
          </w:tcPr>
          <w:p w14:paraId="751FBAE6">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eastAsiaTheme="minorEastAsia"/>
                <w:sz w:val="24"/>
                <w:szCs w:val="24"/>
                <w:lang w:eastAsia="zh-CN"/>
              </w:rPr>
            </w:pPr>
            <w:r>
              <w:rPr>
                <w:rFonts w:hint="eastAsia"/>
                <w:sz w:val="24"/>
                <w:szCs w:val="24"/>
                <w:lang w:val="en-US" w:eastAsia="zh-CN"/>
              </w:rPr>
              <w:t>2</w:t>
            </w:r>
          </w:p>
        </w:tc>
        <w:tc>
          <w:tcPr>
            <w:tcW w:w="2663" w:type="dxa"/>
            <w:gridSpan w:val="2"/>
            <w:tcBorders>
              <w:top w:val="nil"/>
              <w:left w:val="nil"/>
              <w:bottom w:val="single" w:color="auto" w:sz="4" w:space="0"/>
              <w:right w:val="single" w:color="auto" w:sz="4" w:space="0"/>
            </w:tcBorders>
            <w:shd w:val="clear" w:color="auto" w:fill="FFFFFF"/>
            <w:tcMar>
              <w:top w:w="0" w:type="dxa"/>
              <w:left w:w="84" w:type="dxa"/>
              <w:bottom w:w="0" w:type="dxa"/>
              <w:right w:w="84" w:type="dxa"/>
            </w:tcMar>
            <w:vAlign w:val="center"/>
          </w:tcPr>
          <w:p w14:paraId="1F1BAE3F">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sz w:val="24"/>
                <w:szCs w:val="24"/>
                <w:highlight w:val="none"/>
              </w:rPr>
            </w:pPr>
            <w:r>
              <w:rPr>
                <w:rFonts w:hint="eastAsia"/>
                <w:sz w:val="24"/>
                <w:szCs w:val="24"/>
                <w:highlight w:val="none"/>
              </w:rPr>
              <w:t>对一标段工作进行全过程质量控制</w:t>
            </w:r>
          </w:p>
        </w:tc>
        <w:tc>
          <w:tcPr>
            <w:tcW w:w="1530" w:type="dxa"/>
            <w:gridSpan w:val="2"/>
            <w:tcBorders>
              <w:top w:val="nil"/>
              <w:left w:val="nil"/>
              <w:bottom w:val="single" w:color="auto" w:sz="4" w:space="0"/>
              <w:right w:val="single" w:color="auto" w:sz="4" w:space="0"/>
            </w:tcBorders>
            <w:shd w:val="clear" w:color="auto" w:fill="FFFFFF"/>
            <w:tcMar>
              <w:top w:w="0" w:type="dxa"/>
              <w:left w:w="84" w:type="dxa"/>
              <w:bottom w:w="0" w:type="dxa"/>
              <w:right w:w="84" w:type="dxa"/>
            </w:tcMar>
            <w:vAlign w:val="center"/>
          </w:tcPr>
          <w:p w14:paraId="67AB407F">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sz w:val="24"/>
                <w:szCs w:val="24"/>
                <w:highlight w:val="none"/>
              </w:rPr>
            </w:pPr>
            <w:r>
              <w:rPr>
                <w:rFonts w:hint="eastAsia"/>
                <w:sz w:val="24"/>
                <w:szCs w:val="24"/>
                <w:highlight w:val="none"/>
              </w:rPr>
              <w:t>河南贝纳检测技术服务有限公司</w:t>
            </w:r>
          </w:p>
        </w:tc>
        <w:tc>
          <w:tcPr>
            <w:tcW w:w="2466" w:type="dxa"/>
            <w:gridSpan w:val="3"/>
            <w:tcBorders>
              <w:top w:val="nil"/>
              <w:left w:val="nil"/>
              <w:bottom w:val="single" w:color="auto" w:sz="4" w:space="0"/>
              <w:right w:val="single" w:color="auto" w:sz="4" w:space="0"/>
            </w:tcBorders>
            <w:shd w:val="clear" w:color="auto" w:fill="FFFFFF"/>
            <w:tcMar>
              <w:top w:w="0" w:type="dxa"/>
              <w:left w:w="84" w:type="dxa"/>
              <w:bottom w:w="0" w:type="dxa"/>
              <w:right w:w="84" w:type="dxa"/>
            </w:tcMar>
            <w:vAlign w:val="center"/>
          </w:tcPr>
          <w:p w14:paraId="25AD1998">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sz w:val="24"/>
                <w:szCs w:val="24"/>
                <w:highlight w:val="none"/>
              </w:rPr>
            </w:pPr>
            <w:r>
              <w:rPr>
                <w:rFonts w:hint="eastAsia"/>
                <w:sz w:val="24"/>
                <w:szCs w:val="24"/>
                <w:highlight w:val="none"/>
              </w:rPr>
              <w:t>法定代表人：李志邦</w:t>
            </w:r>
          </w:p>
          <w:p w14:paraId="7A305FA6">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sz w:val="24"/>
                <w:szCs w:val="24"/>
                <w:highlight w:val="none"/>
              </w:rPr>
            </w:pPr>
            <w:r>
              <w:rPr>
                <w:rFonts w:hint="eastAsia"/>
                <w:sz w:val="24"/>
                <w:szCs w:val="24"/>
                <w:highlight w:val="none"/>
              </w:rPr>
              <w:t>联系人：李志邦</w:t>
            </w:r>
          </w:p>
          <w:p w14:paraId="4ECCEA43">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sz w:val="24"/>
                <w:szCs w:val="24"/>
                <w:highlight w:val="none"/>
              </w:rPr>
            </w:pPr>
            <w:r>
              <w:rPr>
                <w:rFonts w:hint="eastAsia"/>
                <w:sz w:val="24"/>
                <w:szCs w:val="24"/>
                <w:highlight w:val="none"/>
              </w:rPr>
              <w:t>联系电话：13253320878</w:t>
            </w:r>
          </w:p>
          <w:p w14:paraId="3F1BF193">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sz w:val="24"/>
                <w:szCs w:val="24"/>
                <w:highlight w:val="none"/>
              </w:rPr>
            </w:pPr>
            <w:r>
              <w:rPr>
                <w:rFonts w:hint="eastAsia"/>
                <w:sz w:val="24"/>
                <w:szCs w:val="24"/>
                <w:highlight w:val="none"/>
              </w:rPr>
              <w:t>地址：平顶山市卫东区五一路443号</w:t>
            </w:r>
          </w:p>
        </w:tc>
        <w:tc>
          <w:tcPr>
            <w:tcW w:w="1314" w:type="dxa"/>
            <w:gridSpan w:val="2"/>
            <w:tcBorders>
              <w:top w:val="nil"/>
              <w:left w:val="nil"/>
              <w:bottom w:val="single" w:color="auto" w:sz="4" w:space="0"/>
              <w:right w:val="single" w:color="auto" w:sz="4" w:space="0"/>
            </w:tcBorders>
            <w:shd w:val="clear" w:color="auto" w:fill="FFFFFF"/>
            <w:tcMar>
              <w:top w:w="0" w:type="dxa"/>
              <w:left w:w="84" w:type="dxa"/>
              <w:bottom w:w="0" w:type="dxa"/>
              <w:right w:w="84" w:type="dxa"/>
            </w:tcMar>
            <w:vAlign w:val="center"/>
          </w:tcPr>
          <w:p w14:paraId="493A2922">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sz w:val="24"/>
                <w:szCs w:val="24"/>
                <w:highlight w:val="yellow"/>
              </w:rPr>
            </w:pPr>
            <w:r>
              <w:rPr>
                <w:rFonts w:hint="eastAsia"/>
                <w:sz w:val="24"/>
                <w:szCs w:val="24"/>
                <w:highlight w:val="none"/>
                <w:lang w:val="en-US" w:eastAsia="zh-CN"/>
              </w:rPr>
              <w:t>479000.00</w:t>
            </w:r>
          </w:p>
        </w:tc>
        <w:tc>
          <w:tcPr>
            <w:tcW w:w="840" w:type="dxa"/>
            <w:tcBorders>
              <w:top w:val="nil"/>
              <w:left w:val="nil"/>
              <w:bottom w:val="single" w:color="auto" w:sz="4" w:space="0"/>
              <w:right w:val="single" w:color="auto" w:sz="4" w:space="0"/>
            </w:tcBorders>
            <w:shd w:val="clear" w:color="auto" w:fill="FFFFFF"/>
            <w:tcMar>
              <w:top w:w="0" w:type="dxa"/>
              <w:left w:w="84" w:type="dxa"/>
              <w:bottom w:w="0" w:type="dxa"/>
              <w:right w:w="84" w:type="dxa"/>
            </w:tcMar>
            <w:vAlign w:val="center"/>
          </w:tcPr>
          <w:p w14:paraId="71F22088">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sz w:val="24"/>
                <w:szCs w:val="24"/>
              </w:rPr>
            </w:pPr>
            <w:r>
              <w:rPr>
                <w:rFonts w:hint="eastAsia"/>
                <w:sz w:val="24"/>
                <w:szCs w:val="24"/>
              </w:rPr>
              <w:t>元</w:t>
            </w:r>
          </w:p>
        </w:tc>
      </w:tr>
      <w:tr w14:paraId="5899085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15" w:type="dxa"/>
            <w:left w:w="15" w:type="dxa"/>
            <w:bottom w:w="15" w:type="dxa"/>
            <w:right w:w="15" w:type="dxa"/>
          </w:tblCellMar>
        </w:tblPrEx>
        <w:trPr>
          <w:trHeight w:val="588" w:hRule="atLeast"/>
          <w:tblCellSpacing w:w="15" w:type="dxa"/>
          <w:jc w:val="center"/>
        </w:trPr>
        <w:tc>
          <w:tcPr>
            <w:tcW w:w="493" w:type="dxa"/>
            <w:vMerge w:val="continue"/>
            <w:tcBorders>
              <w:top w:val="nil"/>
              <w:left w:val="single" w:color="auto" w:sz="4" w:space="0"/>
              <w:bottom w:val="single" w:color="auto" w:sz="4" w:space="0"/>
              <w:right w:val="single" w:color="auto" w:sz="4" w:space="0"/>
            </w:tcBorders>
            <w:shd w:val="clear" w:color="auto" w:fill="FFFFFF"/>
            <w:tcMar>
              <w:top w:w="0" w:type="dxa"/>
              <w:left w:w="84" w:type="dxa"/>
              <w:bottom w:w="0" w:type="dxa"/>
              <w:right w:w="84" w:type="dxa"/>
            </w:tcMar>
            <w:vAlign w:val="center"/>
          </w:tcPr>
          <w:p w14:paraId="5C911883">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sz w:val="24"/>
                <w:szCs w:val="24"/>
              </w:rPr>
            </w:pPr>
          </w:p>
        </w:tc>
        <w:tc>
          <w:tcPr>
            <w:tcW w:w="481" w:type="dxa"/>
            <w:tcBorders>
              <w:top w:val="nil"/>
              <w:left w:val="nil"/>
              <w:bottom w:val="single" w:color="auto" w:sz="4" w:space="0"/>
              <w:right w:val="single" w:color="auto" w:sz="4" w:space="0"/>
            </w:tcBorders>
            <w:shd w:val="clear" w:color="auto" w:fill="FFFFFF"/>
            <w:tcMar>
              <w:top w:w="0" w:type="dxa"/>
              <w:left w:w="84" w:type="dxa"/>
              <w:bottom w:w="0" w:type="dxa"/>
              <w:right w:w="84" w:type="dxa"/>
            </w:tcMar>
            <w:vAlign w:val="center"/>
          </w:tcPr>
          <w:p w14:paraId="7C0D1157">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sz w:val="24"/>
                <w:szCs w:val="24"/>
              </w:rPr>
            </w:pPr>
            <w:r>
              <w:rPr>
                <w:rFonts w:hint="eastAsia"/>
                <w:sz w:val="24"/>
                <w:szCs w:val="24"/>
              </w:rPr>
              <w:t>序号</w:t>
            </w:r>
          </w:p>
        </w:tc>
        <w:tc>
          <w:tcPr>
            <w:tcW w:w="2289" w:type="dxa"/>
            <w:gridSpan w:val="2"/>
            <w:tcBorders>
              <w:top w:val="nil"/>
              <w:left w:val="nil"/>
              <w:bottom w:val="single" w:color="auto" w:sz="4" w:space="0"/>
              <w:right w:val="single" w:color="auto" w:sz="4" w:space="0"/>
            </w:tcBorders>
            <w:shd w:val="clear" w:color="auto" w:fill="FFFFFF"/>
            <w:tcMar>
              <w:top w:w="0" w:type="dxa"/>
              <w:left w:w="84" w:type="dxa"/>
              <w:bottom w:w="0" w:type="dxa"/>
              <w:right w:w="84" w:type="dxa"/>
            </w:tcMar>
            <w:vAlign w:val="center"/>
          </w:tcPr>
          <w:p w14:paraId="7B0D0DBD">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sz w:val="24"/>
                <w:szCs w:val="24"/>
              </w:rPr>
            </w:pPr>
            <w:r>
              <w:rPr>
                <w:rFonts w:hint="eastAsia"/>
                <w:sz w:val="24"/>
                <w:szCs w:val="24"/>
              </w:rPr>
              <w:t>名 称</w:t>
            </w:r>
          </w:p>
        </w:tc>
        <w:tc>
          <w:tcPr>
            <w:tcW w:w="1835" w:type="dxa"/>
            <w:gridSpan w:val="2"/>
            <w:tcBorders>
              <w:top w:val="nil"/>
              <w:left w:val="single" w:color="auto" w:sz="4" w:space="0"/>
              <w:bottom w:val="single" w:color="auto" w:sz="4" w:space="0"/>
              <w:right w:val="single" w:color="auto" w:sz="4" w:space="0"/>
            </w:tcBorders>
            <w:shd w:val="clear" w:color="auto" w:fill="FFFFFF"/>
            <w:tcMar>
              <w:top w:w="0" w:type="dxa"/>
              <w:left w:w="84" w:type="dxa"/>
              <w:bottom w:w="0" w:type="dxa"/>
              <w:right w:w="84" w:type="dxa"/>
            </w:tcMar>
            <w:vAlign w:val="center"/>
          </w:tcPr>
          <w:p w14:paraId="5ADEB9E3">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sz w:val="24"/>
                <w:szCs w:val="24"/>
              </w:rPr>
            </w:pPr>
            <w:r>
              <w:rPr>
                <w:rFonts w:hint="eastAsia"/>
                <w:sz w:val="24"/>
                <w:szCs w:val="24"/>
              </w:rPr>
              <w:t>服务范围</w:t>
            </w:r>
          </w:p>
        </w:tc>
        <w:tc>
          <w:tcPr>
            <w:tcW w:w="1124" w:type="dxa"/>
            <w:tcBorders>
              <w:top w:val="nil"/>
              <w:left w:val="nil"/>
              <w:bottom w:val="single" w:color="auto" w:sz="4" w:space="0"/>
              <w:right w:val="single" w:color="auto" w:sz="4" w:space="0"/>
            </w:tcBorders>
            <w:shd w:val="clear" w:color="auto" w:fill="FFFFFF"/>
            <w:tcMar>
              <w:top w:w="0" w:type="dxa"/>
              <w:left w:w="84" w:type="dxa"/>
              <w:bottom w:w="0" w:type="dxa"/>
              <w:right w:w="84" w:type="dxa"/>
            </w:tcMar>
            <w:vAlign w:val="center"/>
          </w:tcPr>
          <w:p w14:paraId="02D2340F">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sz w:val="24"/>
                <w:szCs w:val="24"/>
              </w:rPr>
            </w:pPr>
            <w:r>
              <w:rPr>
                <w:rFonts w:hint="eastAsia"/>
                <w:sz w:val="24"/>
                <w:szCs w:val="24"/>
              </w:rPr>
              <w:t>服务要求</w:t>
            </w:r>
          </w:p>
        </w:tc>
        <w:tc>
          <w:tcPr>
            <w:tcW w:w="1419" w:type="dxa"/>
            <w:gridSpan w:val="2"/>
            <w:tcBorders>
              <w:top w:val="nil"/>
              <w:left w:val="nil"/>
              <w:bottom w:val="single" w:color="auto" w:sz="4" w:space="0"/>
              <w:right w:val="single" w:color="auto" w:sz="4" w:space="0"/>
            </w:tcBorders>
            <w:shd w:val="clear" w:color="auto" w:fill="FFFFFF"/>
            <w:tcMar>
              <w:top w:w="0" w:type="dxa"/>
              <w:left w:w="84" w:type="dxa"/>
              <w:bottom w:w="0" w:type="dxa"/>
              <w:right w:w="84" w:type="dxa"/>
            </w:tcMar>
            <w:vAlign w:val="center"/>
          </w:tcPr>
          <w:p w14:paraId="1C66AA87">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sz w:val="24"/>
                <w:szCs w:val="24"/>
              </w:rPr>
            </w:pPr>
            <w:r>
              <w:rPr>
                <w:rFonts w:hint="eastAsia"/>
                <w:sz w:val="24"/>
                <w:szCs w:val="24"/>
              </w:rPr>
              <w:t>服务时间</w:t>
            </w:r>
          </w:p>
        </w:tc>
        <w:tc>
          <w:tcPr>
            <w:tcW w:w="1686" w:type="dxa"/>
            <w:gridSpan w:val="3"/>
            <w:tcBorders>
              <w:top w:val="nil"/>
              <w:left w:val="nil"/>
              <w:bottom w:val="single" w:color="auto" w:sz="4" w:space="0"/>
              <w:right w:val="single" w:color="auto" w:sz="4" w:space="0"/>
            </w:tcBorders>
            <w:shd w:val="clear" w:color="auto" w:fill="FFFFFF"/>
            <w:tcMar>
              <w:top w:w="0" w:type="dxa"/>
              <w:left w:w="84" w:type="dxa"/>
              <w:bottom w:w="0" w:type="dxa"/>
              <w:right w:w="84" w:type="dxa"/>
            </w:tcMar>
            <w:vAlign w:val="center"/>
          </w:tcPr>
          <w:p w14:paraId="2EBFBD96">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sz w:val="24"/>
                <w:szCs w:val="24"/>
              </w:rPr>
            </w:pPr>
            <w:r>
              <w:rPr>
                <w:rFonts w:hint="eastAsia"/>
                <w:sz w:val="24"/>
                <w:szCs w:val="24"/>
              </w:rPr>
              <w:t>服务标准</w:t>
            </w:r>
          </w:p>
        </w:tc>
      </w:tr>
      <w:tr w14:paraId="53AB2C7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15" w:type="dxa"/>
            <w:left w:w="15" w:type="dxa"/>
            <w:bottom w:w="15" w:type="dxa"/>
            <w:right w:w="15" w:type="dxa"/>
          </w:tblCellMar>
        </w:tblPrEx>
        <w:trPr>
          <w:trHeight w:val="1140" w:hRule="atLeast"/>
          <w:tblCellSpacing w:w="15" w:type="dxa"/>
          <w:jc w:val="center"/>
        </w:trPr>
        <w:tc>
          <w:tcPr>
            <w:tcW w:w="493" w:type="dxa"/>
            <w:vMerge w:val="continue"/>
            <w:tcBorders>
              <w:top w:val="nil"/>
              <w:left w:val="single" w:color="auto" w:sz="4" w:space="0"/>
              <w:bottom w:val="single" w:color="auto" w:sz="4" w:space="0"/>
              <w:right w:val="single" w:color="auto" w:sz="4" w:space="0"/>
            </w:tcBorders>
            <w:shd w:val="clear" w:color="auto" w:fill="FFFFFF"/>
            <w:tcMar>
              <w:top w:w="0" w:type="dxa"/>
              <w:left w:w="84" w:type="dxa"/>
              <w:bottom w:w="0" w:type="dxa"/>
              <w:right w:w="84" w:type="dxa"/>
            </w:tcMar>
            <w:vAlign w:val="center"/>
          </w:tcPr>
          <w:p w14:paraId="3A93536F">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sz w:val="24"/>
                <w:szCs w:val="24"/>
              </w:rPr>
            </w:pPr>
          </w:p>
        </w:tc>
        <w:tc>
          <w:tcPr>
            <w:tcW w:w="481" w:type="dxa"/>
            <w:tcBorders>
              <w:top w:val="nil"/>
              <w:left w:val="nil"/>
              <w:bottom w:val="single" w:color="auto" w:sz="4" w:space="0"/>
              <w:right w:val="single" w:color="auto" w:sz="4" w:space="0"/>
            </w:tcBorders>
            <w:shd w:val="clear" w:color="auto" w:fill="FFFFFF"/>
            <w:tcMar>
              <w:top w:w="0" w:type="dxa"/>
              <w:left w:w="84" w:type="dxa"/>
              <w:bottom w:w="0" w:type="dxa"/>
              <w:right w:w="84" w:type="dxa"/>
            </w:tcMar>
            <w:vAlign w:val="center"/>
          </w:tcPr>
          <w:p w14:paraId="194D6535">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sz w:val="24"/>
                <w:szCs w:val="24"/>
              </w:rPr>
            </w:pPr>
            <w:r>
              <w:rPr>
                <w:rFonts w:hint="eastAsia"/>
                <w:sz w:val="24"/>
                <w:szCs w:val="24"/>
              </w:rPr>
              <w:t>1</w:t>
            </w:r>
          </w:p>
        </w:tc>
        <w:tc>
          <w:tcPr>
            <w:tcW w:w="2289" w:type="dxa"/>
            <w:gridSpan w:val="2"/>
            <w:tcBorders>
              <w:top w:val="nil"/>
              <w:left w:val="nil"/>
              <w:bottom w:val="single" w:color="auto" w:sz="4" w:space="0"/>
              <w:right w:val="single" w:color="auto" w:sz="4" w:space="0"/>
            </w:tcBorders>
            <w:shd w:val="clear" w:color="auto" w:fill="FFFFFF"/>
            <w:tcMar>
              <w:top w:w="0" w:type="dxa"/>
              <w:left w:w="84" w:type="dxa"/>
              <w:bottom w:w="0" w:type="dxa"/>
              <w:right w:w="84" w:type="dxa"/>
            </w:tcMar>
            <w:vAlign w:val="center"/>
          </w:tcPr>
          <w:p w14:paraId="05C0EE31">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eastAsiaTheme="minorEastAsia"/>
                <w:sz w:val="24"/>
                <w:szCs w:val="24"/>
                <w:lang w:eastAsia="zh-CN"/>
              </w:rPr>
            </w:pPr>
            <w:r>
              <w:rPr>
                <w:rFonts w:hint="eastAsia" w:eastAsiaTheme="minorEastAsia"/>
                <w:sz w:val="24"/>
                <w:szCs w:val="24"/>
                <w:lang w:eastAsia="zh-CN"/>
              </w:rPr>
              <w:t>汝州经济技术开发区管理委员会汝州经济技术开发区化工园区地下水污染详细调查和风险评估项目第</w:t>
            </w:r>
            <w:r>
              <w:rPr>
                <w:rFonts w:hint="eastAsia"/>
                <w:sz w:val="24"/>
                <w:szCs w:val="24"/>
                <w:lang w:val="en-US" w:eastAsia="zh-CN"/>
              </w:rPr>
              <w:t>二</w:t>
            </w:r>
            <w:r>
              <w:rPr>
                <w:rFonts w:hint="eastAsia" w:eastAsiaTheme="minorEastAsia"/>
                <w:sz w:val="24"/>
                <w:szCs w:val="24"/>
                <w:lang w:eastAsia="zh-CN"/>
              </w:rPr>
              <w:t>标段</w:t>
            </w:r>
          </w:p>
        </w:tc>
        <w:tc>
          <w:tcPr>
            <w:tcW w:w="1835" w:type="dxa"/>
            <w:gridSpan w:val="2"/>
            <w:tcBorders>
              <w:top w:val="nil"/>
              <w:left w:val="single" w:color="auto" w:sz="4" w:space="0"/>
              <w:bottom w:val="single" w:color="auto" w:sz="4" w:space="0"/>
              <w:right w:val="single" w:color="auto" w:sz="4" w:space="0"/>
            </w:tcBorders>
            <w:shd w:val="clear" w:color="auto" w:fill="FFFFFF"/>
            <w:tcMar>
              <w:top w:w="0" w:type="dxa"/>
              <w:left w:w="84" w:type="dxa"/>
              <w:bottom w:w="0" w:type="dxa"/>
              <w:right w:w="84" w:type="dxa"/>
            </w:tcMar>
            <w:vAlign w:val="center"/>
          </w:tcPr>
          <w:p w14:paraId="401B1567">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sz w:val="24"/>
                <w:szCs w:val="24"/>
              </w:rPr>
            </w:pPr>
            <w:r>
              <w:rPr>
                <w:rFonts w:hint="eastAsia"/>
                <w:sz w:val="24"/>
                <w:szCs w:val="24"/>
              </w:rPr>
              <w:t>服务要求内所含全部内容（详见招标文件）</w:t>
            </w:r>
          </w:p>
        </w:tc>
        <w:tc>
          <w:tcPr>
            <w:tcW w:w="1124" w:type="dxa"/>
            <w:tcBorders>
              <w:top w:val="nil"/>
              <w:left w:val="nil"/>
              <w:bottom w:val="single" w:color="auto" w:sz="4" w:space="0"/>
              <w:right w:val="single" w:color="auto" w:sz="4" w:space="0"/>
            </w:tcBorders>
            <w:shd w:val="clear" w:color="auto" w:fill="FFFFFF"/>
            <w:tcMar>
              <w:top w:w="0" w:type="dxa"/>
              <w:left w:w="84" w:type="dxa"/>
              <w:bottom w:w="0" w:type="dxa"/>
              <w:right w:w="84" w:type="dxa"/>
            </w:tcMar>
            <w:vAlign w:val="center"/>
          </w:tcPr>
          <w:p w14:paraId="066CB747">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sz w:val="24"/>
                <w:szCs w:val="24"/>
              </w:rPr>
            </w:pPr>
            <w:r>
              <w:rPr>
                <w:rFonts w:hint="eastAsia"/>
                <w:sz w:val="24"/>
                <w:szCs w:val="24"/>
              </w:rPr>
              <w:t>符合国家、行业相关规范标准及采购人要求</w:t>
            </w:r>
          </w:p>
        </w:tc>
        <w:tc>
          <w:tcPr>
            <w:tcW w:w="1419" w:type="dxa"/>
            <w:gridSpan w:val="2"/>
            <w:tcBorders>
              <w:top w:val="nil"/>
              <w:left w:val="nil"/>
              <w:bottom w:val="single" w:color="auto" w:sz="4" w:space="0"/>
              <w:right w:val="single" w:color="auto" w:sz="4" w:space="0"/>
            </w:tcBorders>
            <w:shd w:val="clear" w:color="auto" w:fill="FFFFFF"/>
            <w:tcMar>
              <w:top w:w="0" w:type="dxa"/>
              <w:left w:w="84" w:type="dxa"/>
              <w:bottom w:w="0" w:type="dxa"/>
              <w:right w:w="84" w:type="dxa"/>
            </w:tcMar>
            <w:vAlign w:val="center"/>
          </w:tcPr>
          <w:p w14:paraId="5203E408">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sz w:val="24"/>
                <w:szCs w:val="24"/>
                <w:highlight w:val="none"/>
              </w:rPr>
            </w:pPr>
            <w:r>
              <w:rPr>
                <w:rFonts w:hint="eastAsia"/>
                <w:sz w:val="24"/>
                <w:szCs w:val="24"/>
                <w:highlight w:val="none"/>
              </w:rPr>
              <w:t>365 日历天（合同签订后 12 个月）</w:t>
            </w:r>
          </w:p>
        </w:tc>
        <w:tc>
          <w:tcPr>
            <w:tcW w:w="1686" w:type="dxa"/>
            <w:gridSpan w:val="3"/>
            <w:tcBorders>
              <w:top w:val="nil"/>
              <w:left w:val="nil"/>
              <w:bottom w:val="single" w:color="auto" w:sz="4" w:space="0"/>
              <w:right w:val="single" w:color="auto" w:sz="4" w:space="0"/>
            </w:tcBorders>
            <w:shd w:val="clear" w:color="auto" w:fill="FFFFFF"/>
            <w:tcMar>
              <w:top w:w="0" w:type="dxa"/>
              <w:left w:w="84" w:type="dxa"/>
              <w:bottom w:w="0" w:type="dxa"/>
              <w:right w:w="84" w:type="dxa"/>
            </w:tcMar>
            <w:vAlign w:val="center"/>
          </w:tcPr>
          <w:p w14:paraId="077FF9AB">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sz w:val="24"/>
                <w:szCs w:val="24"/>
                <w:highlight w:val="none"/>
              </w:rPr>
            </w:pPr>
            <w:r>
              <w:rPr>
                <w:rFonts w:hint="eastAsia"/>
                <w:sz w:val="24"/>
                <w:szCs w:val="24"/>
                <w:highlight w:val="none"/>
              </w:rPr>
              <w:t>符合国家、行业相关规范标准及采购人要求</w:t>
            </w:r>
          </w:p>
        </w:tc>
      </w:tr>
    </w:tbl>
    <w:p w14:paraId="698A70B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b/>
          <w:bCs/>
          <w:sz w:val="24"/>
          <w:szCs w:val="24"/>
        </w:rPr>
      </w:pPr>
    </w:p>
    <w:p w14:paraId="0E68E9D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b/>
          <w:bCs/>
          <w:sz w:val="24"/>
          <w:szCs w:val="24"/>
          <w:highlight w:val="none"/>
        </w:rPr>
      </w:pPr>
      <w:r>
        <w:rPr>
          <w:rFonts w:hint="eastAsia"/>
          <w:b/>
          <w:bCs/>
          <w:sz w:val="24"/>
          <w:szCs w:val="24"/>
        </w:rPr>
        <w:t>四、评</w:t>
      </w:r>
      <w:r>
        <w:rPr>
          <w:rFonts w:hint="eastAsia"/>
          <w:b/>
          <w:bCs/>
          <w:sz w:val="24"/>
          <w:szCs w:val="24"/>
          <w:highlight w:val="none"/>
        </w:rPr>
        <w:t>审专家名单</w:t>
      </w:r>
    </w:p>
    <w:p w14:paraId="4451485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highlight w:val="none"/>
        </w:rPr>
      </w:pPr>
      <w:r>
        <w:rPr>
          <w:rFonts w:hint="eastAsia"/>
          <w:sz w:val="24"/>
          <w:szCs w:val="24"/>
          <w:highlight w:val="none"/>
        </w:rPr>
        <w:t> </w:t>
      </w:r>
      <w:r>
        <w:rPr>
          <w:rFonts w:hint="eastAsia"/>
          <w:sz w:val="24"/>
          <w:szCs w:val="24"/>
          <w:highlight w:val="none"/>
          <w:lang w:val="en-US" w:eastAsia="zh-CN"/>
        </w:rPr>
        <w:t>谷丰萍</w:t>
      </w:r>
      <w:r>
        <w:rPr>
          <w:rFonts w:hint="eastAsia"/>
          <w:sz w:val="24"/>
          <w:szCs w:val="24"/>
          <w:highlight w:val="none"/>
        </w:rPr>
        <w:t>、</w:t>
      </w:r>
      <w:r>
        <w:rPr>
          <w:rFonts w:hint="eastAsia"/>
          <w:sz w:val="24"/>
          <w:szCs w:val="24"/>
          <w:highlight w:val="none"/>
          <w:lang w:val="en-US" w:eastAsia="zh-CN"/>
        </w:rPr>
        <w:t>刘帆</w:t>
      </w:r>
      <w:r>
        <w:rPr>
          <w:rFonts w:hint="eastAsia"/>
          <w:sz w:val="24"/>
          <w:szCs w:val="24"/>
          <w:highlight w:val="none"/>
        </w:rPr>
        <w:t>、</w:t>
      </w:r>
      <w:r>
        <w:rPr>
          <w:rFonts w:hint="eastAsia"/>
          <w:sz w:val="24"/>
          <w:szCs w:val="24"/>
          <w:highlight w:val="none"/>
          <w:lang w:val="en-US" w:eastAsia="zh-CN"/>
        </w:rPr>
        <w:t>秦广超</w:t>
      </w:r>
      <w:r>
        <w:rPr>
          <w:rFonts w:hint="eastAsia"/>
          <w:sz w:val="24"/>
          <w:szCs w:val="24"/>
          <w:highlight w:val="none"/>
        </w:rPr>
        <w:t>、</w:t>
      </w:r>
      <w:r>
        <w:rPr>
          <w:rFonts w:hint="eastAsia"/>
          <w:sz w:val="24"/>
          <w:szCs w:val="24"/>
          <w:highlight w:val="none"/>
          <w:lang w:val="en-US" w:eastAsia="zh-CN"/>
        </w:rPr>
        <w:t>王海涛</w:t>
      </w:r>
      <w:r>
        <w:rPr>
          <w:rFonts w:hint="eastAsia"/>
          <w:sz w:val="24"/>
          <w:szCs w:val="24"/>
          <w:highlight w:val="none"/>
        </w:rPr>
        <w:t>、</w:t>
      </w:r>
      <w:r>
        <w:rPr>
          <w:rFonts w:hint="eastAsia"/>
          <w:sz w:val="24"/>
          <w:szCs w:val="24"/>
          <w:highlight w:val="none"/>
          <w:lang w:val="en-US" w:eastAsia="zh-CN"/>
        </w:rPr>
        <w:t>袁彩丽</w:t>
      </w:r>
      <w:r>
        <w:rPr>
          <w:rFonts w:hint="eastAsia"/>
          <w:sz w:val="24"/>
          <w:szCs w:val="24"/>
          <w:highlight w:val="none"/>
        </w:rPr>
        <w:t>（业主代表）</w:t>
      </w:r>
    </w:p>
    <w:p w14:paraId="247BA71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b/>
          <w:bCs/>
          <w:sz w:val="24"/>
          <w:szCs w:val="24"/>
        </w:rPr>
      </w:pPr>
      <w:r>
        <w:rPr>
          <w:rFonts w:hint="eastAsia"/>
          <w:b/>
          <w:bCs/>
          <w:sz w:val="24"/>
          <w:szCs w:val="24"/>
        </w:rPr>
        <w:t>五、代理服务收费标准及金额：</w:t>
      </w:r>
    </w:p>
    <w:p w14:paraId="3C2CD21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highlight w:val="none"/>
        </w:rPr>
      </w:pPr>
      <w:r>
        <w:rPr>
          <w:rFonts w:hint="eastAsia"/>
          <w:sz w:val="24"/>
          <w:szCs w:val="24"/>
        </w:rPr>
        <w:t>本项目招标代理服务费参照《河南省招标代理服务收费指导意见》（豫招协【2023】002号）文件</w:t>
      </w:r>
      <w:r>
        <w:rPr>
          <w:rFonts w:hint="eastAsia"/>
          <w:sz w:val="24"/>
          <w:szCs w:val="24"/>
          <w:highlight w:val="none"/>
        </w:rPr>
        <w:t>的规定由中标人支付代理服务费</w:t>
      </w:r>
      <w:r>
        <w:rPr>
          <w:rFonts w:hint="eastAsia"/>
          <w:sz w:val="24"/>
          <w:szCs w:val="24"/>
          <w:highlight w:val="none"/>
          <w:lang w:eastAsia="zh-CN"/>
        </w:rPr>
        <w:t>，</w:t>
      </w:r>
      <w:r>
        <w:rPr>
          <w:rFonts w:hint="eastAsia"/>
          <w:sz w:val="24"/>
          <w:szCs w:val="24"/>
          <w:highlight w:val="none"/>
          <w:lang w:val="en-US" w:eastAsia="zh-CN"/>
        </w:rPr>
        <w:t>第一标段：63320.00元，第二标段：8143.00元</w:t>
      </w:r>
      <w:r>
        <w:rPr>
          <w:rFonts w:hint="eastAsia"/>
          <w:sz w:val="24"/>
          <w:szCs w:val="24"/>
          <w:highlight w:val="none"/>
        </w:rPr>
        <w:t>。</w:t>
      </w:r>
    </w:p>
    <w:p w14:paraId="33081B7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24"/>
          <w:highlight w:val="none"/>
        </w:rPr>
      </w:pPr>
      <w:r>
        <w:rPr>
          <w:rFonts w:hint="eastAsia"/>
          <w:sz w:val="24"/>
          <w:szCs w:val="24"/>
          <w:highlight w:val="none"/>
        </w:rPr>
        <w:t>收费金额：71463</w:t>
      </w:r>
      <w:r>
        <w:rPr>
          <w:rFonts w:hint="eastAsia"/>
          <w:sz w:val="24"/>
          <w:szCs w:val="24"/>
          <w:highlight w:val="none"/>
          <w:lang w:val="en-US" w:eastAsia="zh-CN"/>
        </w:rPr>
        <w:t>.00</w:t>
      </w:r>
      <w:r>
        <w:rPr>
          <w:rFonts w:hint="eastAsia"/>
          <w:sz w:val="24"/>
          <w:szCs w:val="24"/>
          <w:highlight w:val="none"/>
        </w:rPr>
        <w:t>元</w:t>
      </w:r>
    </w:p>
    <w:p w14:paraId="062067C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b/>
          <w:bCs/>
          <w:sz w:val="24"/>
          <w:szCs w:val="24"/>
        </w:rPr>
      </w:pPr>
      <w:r>
        <w:rPr>
          <w:rFonts w:hint="eastAsia"/>
          <w:b/>
          <w:bCs/>
          <w:sz w:val="24"/>
          <w:szCs w:val="24"/>
        </w:rPr>
        <w:t>六、中标公告发布的媒介及中标公告期限</w:t>
      </w:r>
    </w:p>
    <w:p w14:paraId="7605B9E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rPr>
      </w:pPr>
      <w:r>
        <w:rPr>
          <w:rFonts w:hint="eastAsia"/>
          <w:sz w:val="24"/>
          <w:szCs w:val="24"/>
        </w:rPr>
        <w:t>本次中标公告在《河南省政府采购网》、《汝州市政府采购网》、《全国公共资源交易平台（河南省·汝州市）（www.rzggzy.com）》上发布。中标公告期限为1个工作日。</w:t>
      </w:r>
    </w:p>
    <w:p w14:paraId="44B3CFB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b/>
          <w:bCs/>
          <w:sz w:val="24"/>
          <w:szCs w:val="24"/>
        </w:rPr>
      </w:pPr>
      <w:r>
        <w:rPr>
          <w:rFonts w:hint="eastAsia"/>
          <w:b/>
          <w:bCs/>
          <w:sz w:val="24"/>
          <w:szCs w:val="24"/>
        </w:rPr>
        <w:t>七、其他补充事宜</w:t>
      </w:r>
    </w:p>
    <w:p w14:paraId="2F8DB27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rPr>
      </w:pPr>
      <w:r>
        <w:rPr>
          <w:rFonts w:hint="eastAsia"/>
          <w:sz w:val="24"/>
          <w:szCs w:val="24"/>
        </w:rPr>
        <w:t>1.开标记录表【详见附件1】2.初步审查汇总表【详见附件2】3.评标委员会对所有</w:t>
      </w:r>
      <w:r>
        <w:rPr>
          <w:rFonts w:hint="eastAsia"/>
          <w:sz w:val="24"/>
          <w:szCs w:val="24"/>
          <w:lang w:val="en-US" w:eastAsia="zh-CN"/>
        </w:rPr>
        <w:t>供应商</w:t>
      </w:r>
      <w:r>
        <w:rPr>
          <w:rFonts w:hint="eastAsia"/>
          <w:sz w:val="24"/>
          <w:szCs w:val="24"/>
        </w:rPr>
        <w:t>投标文件的总分排序【详见附件3】 4.各评委成员对所有</w:t>
      </w:r>
      <w:r>
        <w:rPr>
          <w:rFonts w:hint="eastAsia"/>
          <w:sz w:val="24"/>
          <w:szCs w:val="24"/>
          <w:lang w:val="en-US" w:eastAsia="zh-CN"/>
        </w:rPr>
        <w:t>供应商</w:t>
      </w:r>
      <w:r>
        <w:rPr>
          <w:rFonts w:hint="eastAsia"/>
          <w:sz w:val="24"/>
          <w:szCs w:val="24"/>
        </w:rPr>
        <w:t>投标文件的分项评分明细 【详见附件4】 5.</w:t>
      </w:r>
      <w:r>
        <w:rPr>
          <w:rFonts w:hint="eastAsia"/>
          <w:sz w:val="24"/>
          <w:szCs w:val="24"/>
          <w:lang w:val="en-US" w:eastAsia="zh-CN"/>
        </w:rPr>
        <w:t>供应商</w:t>
      </w:r>
      <w:r>
        <w:rPr>
          <w:rFonts w:hint="eastAsia"/>
          <w:sz w:val="24"/>
          <w:szCs w:val="24"/>
        </w:rPr>
        <w:t>投标文件被</w:t>
      </w:r>
      <w:r>
        <w:rPr>
          <w:rFonts w:hint="eastAsia"/>
          <w:sz w:val="24"/>
          <w:szCs w:val="24"/>
          <w:highlight w:val="none"/>
        </w:rPr>
        <w:t>否决原因【生态环境部环境规划院</w:t>
      </w:r>
      <w:r>
        <w:rPr>
          <w:rFonts w:hint="eastAsia"/>
          <w:sz w:val="24"/>
          <w:szCs w:val="24"/>
          <w:highlight w:val="none"/>
          <w:lang w:val="en-US" w:eastAsia="zh-CN"/>
        </w:rPr>
        <w:t>未通过资格审查</w:t>
      </w:r>
      <w:r>
        <w:rPr>
          <w:rFonts w:hint="eastAsia"/>
          <w:sz w:val="24"/>
          <w:szCs w:val="24"/>
          <w:highlight w:val="none"/>
        </w:rPr>
        <w:t>，详</w:t>
      </w:r>
      <w:r>
        <w:rPr>
          <w:rFonts w:hint="eastAsia"/>
          <w:sz w:val="24"/>
          <w:szCs w:val="24"/>
        </w:rPr>
        <w:t>见附件5】 6.被推荐</w:t>
      </w:r>
      <w:r>
        <w:rPr>
          <w:rFonts w:hint="eastAsia"/>
          <w:sz w:val="24"/>
          <w:szCs w:val="24"/>
          <w:lang w:val="en-US" w:eastAsia="zh-CN"/>
        </w:rPr>
        <w:t>供应商</w:t>
      </w:r>
      <w:r>
        <w:rPr>
          <w:rFonts w:hint="eastAsia"/>
          <w:sz w:val="24"/>
          <w:szCs w:val="24"/>
        </w:rPr>
        <w:t>名单及理由【详见附件6】 7、中标</w:t>
      </w:r>
      <w:r>
        <w:rPr>
          <w:rFonts w:hint="eastAsia"/>
          <w:sz w:val="24"/>
          <w:szCs w:val="24"/>
          <w:lang w:val="en-US" w:eastAsia="zh-CN"/>
        </w:rPr>
        <w:t>供应商</w:t>
      </w:r>
      <w:r>
        <w:rPr>
          <w:rFonts w:hint="eastAsia"/>
          <w:sz w:val="24"/>
          <w:szCs w:val="24"/>
        </w:rPr>
        <w:t>所投报类似业绩【详见附件7】8.根据评审结果、中标结果公告，按照国家有关规定，确定</w:t>
      </w:r>
      <w:r>
        <w:rPr>
          <w:rFonts w:hint="eastAsia"/>
          <w:sz w:val="24"/>
          <w:szCs w:val="24"/>
          <w:u w:val="single"/>
        </w:rPr>
        <w:t>河南省地质局地质灾害防治中心</w:t>
      </w:r>
      <w:r>
        <w:rPr>
          <w:rFonts w:hint="eastAsia"/>
          <w:sz w:val="24"/>
          <w:szCs w:val="24"/>
        </w:rPr>
        <w:t>为</w:t>
      </w:r>
      <w:r>
        <w:rPr>
          <w:rFonts w:hint="eastAsia"/>
          <w:sz w:val="24"/>
          <w:szCs w:val="24"/>
          <w:lang w:val="en-US" w:eastAsia="zh-CN"/>
        </w:rPr>
        <w:t>第一标段</w:t>
      </w:r>
      <w:r>
        <w:rPr>
          <w:rFonts w:hint="eastAsia"/>
          <w:sz w:val="24"/>
          <w:szCs w:val="24"/>
        </w:rPr>
        <w:t>中标人，</w:t>
      </w:r>
      <w:r>
        <w:rPr>
          <w:rFonts w:hint="eastAsia"/>
          <w:sz w:val="24"/>
          <w:szCs w:val="24"/>
          <w:u w:val="single"/>
        </w:rPr>
        <w:t>河南贝纳检测技术服务有限公司</w:t>
      </w:r>
      <w:r>
        <w:rPr>
          <w:rFonts w:hint="eastAsia"/>
          <w:sz w:val="24"/>
          <w:szCs w:val="24"/>
        </w:rPr>
        <w:t>为</w:t>
      </w:r>
      <w:r>
        <w:rPr>
          <w:rFonts w:hint="eastAsia"/>
          <w:sz w:val="24"/>
          <w:szCs w:val="24"/>
          <w:lang w:val="en-US" w:eastAsia="zh-CN"/>
        </w:rPr>
        <w:t>第二标段</w:t>
      </w:r>
      <w:r>
        <w:rPr>
          <w:rFonts w:hint="eastAsia"/>
          <w:sz w:val="24"/>
          <w:szCs w:val="24"/>
        </w:rPr>
        <w:t>中标人，其他投标人未中标。 9.受理投诉监督管理部门：汝州市财政局</w:t>
      </w:r>
      <w:r>
        <w:rPr>
          <w:rFonts w:hint="eastAsia"/>
          <w:sz w:val="24"/>
          <w:szCs w:val="24"/>
          <w:lang w:val="en-US" w:eastAsia="zh-CN"/>
        </w:rPr>
        <w:t xml:space="preserve"> </w:t>
      </w:r>
      <w:r>
        <w:rPr>
          <w:rFonts w:hint="eastAsia"/>
          <w:sz w:val="24"/>
          <w:szCs w:val="24"/>
        </w:rPr>
        <w:t>联系电话：0375-6600017 0375-6862799</w:t>
      </w:r>
      <w:r>
        <w:rPr>
          <w:rFonts w:hint="eastAsia"/>
          <w:sz w:val="24"/>
          <w:szCs w:val="24"/>
          <w:lang w:val="en-US" w:eastAsia="zh-CN"/>
        </w:rPr>
        <w:t xml:space="preserve"> </w:t>
      </w:r>
      <w:r>
        <w:rPr>
          <w:rFonts w:hint="eastAsia"/>
          <w:sz w:val="24"/>
          <w:szCs w:val="24"/>
        </w:rPr>
        <w:t>邮箱地址：rzcgb406@163.com联系地址：汝州市望嵩中路116号。10.供应商或其他利害关系人对本次公告如有异议，请按中华人民共和国财政部令第94号《政府采购质疑和投诉办法》的相关规定，在规定时间内，向采购人、采购代理机构、政府采购监督部门提出质疑、投诉等事宜。逾期未提交或未按照要求提交的质疑、投诉将不予受理。</w:t>
      </w:r>
    </w:p>
    <w:p w14:paraId="56548DA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b/>
          <w:bCs/>
          <w:sz w:val="24"/>
          <w:szCs w:val="24"/>
        </w:rPr>
      </w:pPr>
      <w:r>
        <w:rPr>
          <w:rFonts w:hint="eastAsia"/>
          <w:b/>
          <w:bCs/>
          <w:sz w:val="24"/>
          <w:szCs w:val="24"/>
        </w:rPr>
        <w:t>八、凡对本次公告内容提出询问，请按以下方式联系</w:t>
      </w:r>
    </w:p>
    <w:p w14:paraId="39AAB51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24"/>
        </w:rPr>
      </w:pPr>
      <w:r>
        <w:rPr>
          <w:rFonts w:hint="eastAsia"/>
          <w:sz w:val="24"/>
          <w:szCs w:val="24"/>
        </w:rPr>
        <w:t xml:space="preserve">1.采购人信息 </w:t>
      </w:r>
    </w:p>
    <w:p w14:paraId="338CDE4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24"/>
        </w:rPr>
      </w:pPr>
      <w:r>
        <w:rPr>
          <w:rFonts w:hint="eastAsia"/>
          <w:sz w:val="24"/>
          <w:szCs w:val="24"/>
        </w:rPr>
        <w:t>名    称：汝州经济技术开发区管理委员会</w:t>
      </w:r>
    </w:p>
    <w:p w14:paraId="3B6D25A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24"/>
        </w:rPr>
      </w:pPr>
      <w:r>
        <w:rPr>
          <w:rFonts w:hint="eastAsia"/>
          <w:sz w:val="24"/>
          <w:szCs w:val="24"/>
        </w:rPr>
        <w:t>地    址：汝州经济技术开发区霍阳大道1号院</w:t>
      </w:r>
    </w:p>
    <w:p w14:paraId="73C320F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24"/>
        </w:rPr>
      </w:pPr>
      <w:r>
        <w:rPr>
          <w:rFonts w:hint="eastAsia"/>
          <w:sz w:val="24"/>
          <w:szCs w:val="24"/>
        </w:rPr>
        <w:t xml:space="preserve">联系人：陈女士      </w:t>
      </w:r>
    </w:p>
    <w:p w14:paraId="3DB98EC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24"/>
        </w:rPr>
      </w:pPr>
      <w:r>
        <w:rPr>
          <w:rFonts w:hint="eastAsia"/>
          <w:sz w:val="24"/>
          <w:szCs w:val="24"/>
        </w:rPr>
        <w:t xml:space="preserve">联系电话：17513320690      </w:t>
      </w:r>
    </w:p>
    <w:p w14:paraId="0AC9146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24"/>
        </w:rPr>
      </w:pPr>
      <w:r>
        <w:rPr>
          <w:rFonts w:hint="eastAsia"/>
          <w:sz w:val="24"/>
          <w:szCs w:val="24"/>
        </w:rPr>
        <w:t>2.采购代理机构信息</w:t>
      </w:r>
    </w:p>
    <w:p w14:paraId="7C61FF9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24"/>
        </w:rPr>
      </w:pPr>
      <w:r>
        <w:rPr>
          <w:rFonts w:hint="eastAsia"/>
          <w:sz w:val="24"/>
          <w:szCs w:val="24"/>
        </w:rPr>
        <w:t>名称：河南万圆工程管理有限公司</w:t>
      </w:r>
    </w:p>
    <w:p w14:paraId="550BB2F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24"/>
        </w:rPr>
      </w:pPr>
      <w:r>
        <w:rPr>
          <w:rFonts w:hint="eastAsia"/>
          <w:sz w:val="24"/>
          <w:szCs w:val="24"/>
        </w:rPr>
        <w:t>地址：河南省郑州市高新技术产业开发区莲花街338号6号楼4层35号</w:t>
      </w:r>
    </w:p>
    <w:p w14:paraId="39959BA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24"/>
        </w:rPr>
      </w:pPr>
      <w:r>
        <w:rPr>
          <w:rFonts w:hint="eastAsia"/>
          <w:sz w:val="24"/>
          <w:szCs w:val="24"/>
        </w:rPr>
        <w:t>联系人：姜先生</w:t>
      </w:r>
    </w:p>
    <w:p w14:paraId="2AFAF48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24"/>
        </w:rPr>
      </w:pPr>
      <w:r>
        <w:rPr>
          <w:rFonts w:hint="eastAsia"/>
          <w:sz w:val="24"/>
          <w:szCs w:val="24"/>
        </w:rPr>
        <w:t>联系方式：15038877758</w:t>
      </w:r>
    </w:p>
    <w:p w14:paraId="2C891C8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24"/>
        </w:rPr>
      </w:pPr>
      <w:r>
        <w:rPr>
          <w:rFonts w:hint="eastAsia"/>
          <w:sz w:val="24"/>
          <w:szCs w:val="24"/>
        </w:rPr>
        <w:t>3、项目联系方式</w:t>
      </w:r>
    </w:p>
    <w:p w14:paraId="4BA1C80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24"/>
        </w:rPr>
      </w:pPr>
      <w:r>
        <w:rPr>
          <w:rFonts w:hint="eastAsia"/>
          <w:sz w:val="24"/>
          <w:szCs w:val="24"/>
        </w:rPr>
        <w:t>项目联系人：姜先生</w:t>
      </w:r>
    </w:p>
    <w:p w14:paraId="77A4BBA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24"/>
        </w:rPr>
      </w:pPr>
      <w:r>
        <w:rPr>
          <w:rFonts w:hint="eastAsia"/>
          <w:sz w:val="24"/>
          <w:szCs w:val="24"/>
        </w:rPr>
        <w:t>电　话：15038877758</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63"/>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ZjNzU0ZThlZWE4ZTAwY2E3Nzk2NzYwYzVjYTMwMDIifQ=="/>
  </w:docVars>
  <w:rsids>
    <w:rsidRoot w:val="00000000"/>
    <w:rsid w:val="001F1D2C"/>
    <w:rsid w:val="01311D17"/>
    <w:rsid w:val="04CE1F73"/>
    <w:rsid w:val="05452908"/>
    <w:rsid w:val="05634469"/>
    <w:rsid w:val="08A34016"/>
    <w:rsid w:val="08C2489C"/>
    <w:rsid w:val="0B50521E"/>
    <w:rsid w:val="0CEB33BE"/>
    <w:rsid w:val="0E1C3D4F"/>
    <w:rsid w:val="100B79A7"/>
    <w:rsid w:val="1115264F"/>
    <w:rsid w:val="145A2EDB"/>
    <w:rsid w:val="148F7029"/>
    <w:rsid w:val="15115C90"/>
    <w:rsid w:val="15202E05"/>
    <w:rsid w:val="153674A4"/>
    <w:rsid w:val="19A54BF8"/>
    <w:rsid w:val="19AB1103"/>
    <w:rsid w:val="1A5C4D05"/>
    <w:rsid w:val="1A7267BE"/>
    <w:rsid w:val="1B4E241B"/>
    <w:rsid w:val="1B827018"/>
    <w:rsid w:val="1C5A0F5A"/>
    <w:rsid w:val="1D1D116C"/>
    <w:rsid w:val="1EBB4EBE"/>
    <w:rsid w:val="1F29007A"/>
    <w:rsid w:val="1F835ED5"/>
    <w:rsid w:val="20624D2B"/>
    <w:rsid w:val="216D6944"/>
    <w:rsid w:val="22CC3183"/>
    <w:rsid w:val="23BA1BE8"/>
    <w:rsid w:val="24B52569"/>
    <w:rsid w:val="2988404D"/>
    <w:rsid w:val="2A2F6883"/>
    <w:rsid w:val="2A4144C9"/>
    <w:rsid w:val="2B131725"/>
    <w:rsid w:val="2BC8338B"/>
    <w:rsid w:val="2C062EF7"/>
    <w:rsid w:val="2C785A0E"/>
    <w:rsid w:val="2CEE0760"/>
    <w:rsid w:val="2DFB7CAD"/>
    <w:rsid w:val="2E731311"/>
    <w:rsid w:val="2F00500B"/>
    <w:rsid w:val="2F560A17"/>
    <w:rsid w:val="329B2BE5"/>
    <w:rsid w:val="32ED17CB"/>
    <w:rsid w:val="35030C9C"/>
    <w:rsid w:val="37E12245"/>
    <w:rsid w:val="3B8E367D"/>
    <w:rsid w:val="3DC41242"/>
    <w:rsid w:val="41BD0482"/>
    <w:rsid w:val="41E67FBF"/>
    <w:rsid w:val="462D6F86"/>
    <w:rsid w:val="471A1ED2"/>
    <w:rsid w:val="475272C8"/>
    <w:rsid w:val="47B972D2"/>
    <w:rsid w:val="486503BD"/>
    <w:rsid w:val="48AC33AA"/>
    <w:rsid w:val="4B091468"/>
    <w:rsid w:val="4D64241B"/>
    <w:rsid w:val="4D7D31BB"/>
    <w:rsid w:val="50D34C37"/>
    <w:rsid w:val="54FF3A15"/>
    <w:rsid w:val="55A8469E"/>
    <w:rsid w:val="56247A23"/>
    <w:rsid w:val="588144B9"/>
    <w:rsid w:val="5966544B"/>
    <w:rsid w:val="59B20D3B"/>
    <w:rsid w:val="5C487355"/>
    <w:rsid w:val="5C590EB4"/>
    <w:rsid w:val="5CCC3817"/>
    <w:rsid w:val="5DCB3ACF"/>
    <w:rsid w:val="5DD80BDF"/>
    <w:rsid w:val="5E201EF1"/>
    <w:rsid w:val="5E2F4D12"/>
    <w:rsid w:val="5F0E7E34"/>
    <w:rsid w:val="5F2B789F"/>
    <w:rsid w:val="611B37BA"/>
    <w:rsid w:val="6152091F"/>
    <w:rsid w:val="63195DA0"/>
    <w:rsid w:val="643E149E"/>
    <w:rsid w:val="64432812"/>
    <w:rsid w:val="64C704DE"/>
    <w:rsid w:val="661D2FB5"/>
    <w:rsid w:val="67EB25A8"/>
    <w:rsid w:val="6983444E"/>
    <w:rsid w:val="69CE3782"/>
    <w:rsid w:val="6A0C16F7"/>
    <w:rsid w:val="6C7812C6"/>
    <w:rsid w:val="6C7C7E68"/>
    <w:rsid w:val="6CD94E77"/>
    <w:rsid w:val="6FA03D02"/>
    <w:rsid w:val="6FB15C91"/>
    <w:rsid w:val="6FB86EC0"/>
    <w:rsid w:val="73C05A2C"/>
    <w:rsid w:val="740B27F3"/>
    <w:rsid w:val="76A20AD0"/>
    <w:rsid w:val="7836450F"/>
    <w:rsid w:val="783A0CDB"/>
    <w:rsid w:val="78654665"/>
    <w:rsid w:val="78931961"/>
    <w:rsid w:val="7AD24297"/>
    <w:rsid w:val="7B376555"/>
    <w:rsid w:val="7BEE6EAE"/>
    <w:rsid w:val="7C815F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style>
  <w:style w:type="character" w:styleId="6">
    <w:name w:val="FollowedHyperlink"/>
    <w:basedOn w:val="4"/>
    <w:qFormat/>
    <w:uiPriority w:val="0"/>
    <w:rPr>
      <w:color w:val="333333"/>
      <w:u w:val="none"/>
    </w:rPr>
  </w:style>
  <w:style w:type="character" w:styleId="7">
    <w:name w:val="Emphasis"/>
    <w:basedOn w:val="4"/>
    <w:qFormat/>
    <w:uiPriority w:val="0"/>
  </w:style>
  <w:style w:type="character" w:styleId="8">
    <w:name w:val="Hyperlink"/>
    <w:basedOn w:val="4"/>
    <w:qFormat/>
    <w:uiPriority w:val="0"/>
    <w:rPr>
      <w:color w:val="333333"/>
      <w:u w:val="none"/>
    </w:rPr>
  </w:style>
  <w:style w:type="character" w:customStyle="1" w:styleId="9">
    <w:name w:val="w84b"/>
    <w:basedOn w:val="4"/>
    <w:qFormat/>
    <w:uiPriority w:val="0"/>
  </w:style>
  <w:style w:type="character" w:customStyle="1" w:styleId="10">
    <w:name w:val="w29b"/>
    <w:basedOn w:val="4"/>
    <w:qFormat/>
    <w:uiPriority w:val="0"/>
  </w:style>
  <w:style w:type="character" w:customStyle="1" w:styleId="11">
    <w:name w:val="w50b"/>
    <w:basedOn w:val="4"/>
    <w:qFormat/>
    <w:uiPriority w:val="0"/>
  </w:style>
  <w:style w:type="character" w:customStyle="1" w:styleId="12">
    <w:name w:val="w60b3"/>
    <w:basedOn w:val="4"/>
    <w:qFormat/>
    <w:uiPriority w:val="0"/>
  </w:style>
  <w:style w:type="character" w:customStyle="1" w:styleId="13">
    <w:name w:val="txt-tips"/>
    <w:basedOn w:val="4"/>
    <w:qFormat/>
    <w:uiPriority w:val="0"/>
    <w:rPr>
      <w:color w:val="A9B0B4"/>
    </w:rPr>
  </w:style>
  <w:style w:type="character" w:customStyle="1" w:styleId="14">
    <w:name w:val="txt-tips1"/>
    <w:basedOn w:val="4"/>
    <w:qFormat/>
    <w:uiPriority w:val="0"/>
    <w:rPr>
      <w:color w:val="A9B0B4"/>
    </w:rPr>
  </w:style>
  <w:style w:type="character" w:customStyle="1" w:styleId="15">
    <w:name w:val="txt-tips2"/>
    <w:basedOn w:val="4"/>
    <w:qFormat/>
    <w:uiPriority w:val="0"/>
    <w:rPr>
      <w:color w:val="A9B0B4"/>
      <w:sz w:val="14"/>
      <w:szCs w:val="14"/>
    </w:rPr>
  </w:style>
  <w:style w:type="character" w:customStyle="1" w:styleId="16">
    <w:name w:val="w19b2"/>
    <w:basedOn w:val="4"/>
    <w:qFormat/>
    <w:uiPriority w:val="0"/>
  </w:style>
  <w:style w:type="character" w:customStyle="1" w:styleId="17">
    <w:name w:val="hover32"/>
    <w:basedOn w:val="4"/>
    <w:qFormat/>
    <w:uiPriority w:val="0"/>
    <w:rPr>
      <w:shd w:val="clear" w:fill="EEEEEE"/>
    </w:rPr>
  </w:style>
  <w:style w:type="character" w:customStyle="1" w:styleId="18">
    <w:name w:val="radiospan"/>
    <w:basedOn w:val="4"/>
    <w:qFormat/>
    <w:uiPriority w:val="0"/>
  </w:style>
  <w:style w:type="character" w:customStyle="1" w:styleId="19">
    <w:name w:val="zybh"/>
    <w:basedOn w:val="4"/>
    <w:qFormat/>
    <w:uiPriority w:val="0"/>
    <w:rPr>
      <w:b/>
      <w:bCs/>
      <w:color w:val="F9A156"/>
    </w:rPr>
  </w:style>
  <w:style w:type="character" w:customStyle="1" w:styleId="20">
    <w:name w:val="zybh1"/>
    <w:basedOn w:val="4"/>
    <w:qFormat/>
    <w:uiPriority w:val="0"/>
    <w:rPr>
      <w:color w:val="51BDA7"/>
    </w:rPr>
  </w:style>
  <w:style w:type="character" w:customStyle="1" w:styleId="21">
    <w:name w:val="w55b2"/>
    <w:basedOn w:val="4"/>
    <w:qFormat/>
    <w:uiPriority w:val="0"/>
  </w:style>
  <w:style w:type="character" w:customStyle="1" w:styleId="22">
    <w:name w:val="spacing5"/>
    <w:basedOn w:val="4"/>
    <w:qFormat/>
    <w:uiPriority w:val="0"/>
    <w:rPr>
      <w:spacing w:val="60"/>
    </w:rPr>
  </w:style>
  <w:style w:type="character" w:customStyle="1" w:styleId="23">
    <w:name w:val="w40b4"/>
    <w:basedOn w:val="4"/>
    <w:qFormat/>
    <w:uiPriority w:val="0"/>
  </w:style>
  <w:style w:type="character" w:customStyle="1" w:styleId="24">
    <w:name w:val="sc"/>
    <w:basedOn w:val="4"/>
    <w:qFormat/>
    <w:uiPriority w:val="0"/>
  </w:style>
  <w:style w:type="character" w:customStyle="1" w:styleId="25">
    <w:name w:val="redtext"/>
    <w:basedOn w:val="4"/>
    <w:qFormat/>
    <w:uiPriority w:val="0"/>
    <w:rPr>
      <w:color w:val="FF0000"/>
    </w:rPr>
  </w:style>
  <w:style w:type="character" w:customStyle="1" w:styleId="26">
    <w:name w:val="w72b2"/>
    <w:basedOn w:val="4"/>
    <w:qFormat/>
    <w:uiPriority w:val="0"/>
  </w:style>
  <w:style w:type="character" w:customStyle="1" w:styleId="27">
    <w:name w:val="wp"/>
    <w:basedOn w:val="4"/>
    <w:uiPriority w:val="0"/>
  </w:style>
  <w:style w:type="character" w:customStyle="1" w:styleId="28">
    <w:name w:val="more"/>
    <w:basedOn w:val="4"/>
    <w:qFormat/>
    <w:uiPriority w:val="0"/>
  </w:style>
  <w:style w:type="character" w:customStyle="1" w:styleId="29">
    <w:name w:val="last-child2"/>
    <w:basedOn w:val="4"/>
    <w:qFormat/>
    <w:uiPriority w:val="0"/>
  </w:style>
  <w:style w:type="character" w:customStyle="1" w:styleId="30">
    <w:name w:val="w35b"/>
    <w:basedOn w:val="4"/>
    <w:qFormat/>
    <w:uiPriority w:val="0"/>
  </w:style>
  <w:style w:type="character" w:customStyle="1" w:styleId="31">
    <w:name w:val="w34b2"/>
    <w:basedOn w:val="4"/>
    <w:qFormat/>
    <w:uiPriority w:val="0"/>
  </w:style>
  <w:style w:type="character" w:customStyle="1" w:styleId="32">
    <w:name w:val="w32b"/>
    <w:basedOn w:val="4"/>
    <w:qFormat/>
    <w:uiPriority w:val="0"/>
  </w:style>
  <w:style w:type="character" w:customStyle="1" w:styleId="33">
    <w:name w:val="w49b2"/>
    <w:basedOn w:val="4"/>
    <w:qFormat/>
    <w:uiPriority w:val="0"/>
  </w:style>
  <w:style w:type="character" w:customStyle="1" w:styleId="34">
    <w:name w:val="time6"/>
    <w:basedOn w:val="4"/>
    <w:qFormat/>
    <w:uiPriority w:val="0"/>
    <w:rPr>
      <w:color w:val="FFFFFF"/>
      <w:sz w:val="31"/>
      <w:szCs w:val="31"/>
      <w:shd w:val="clear" w:fill="0269F1"/>
    </w:rPr>
  </w:style>
  <w:style w:type="character" w:customStyle="1" w:styleId="35">
    <w:name w:val="ux"/>
    <w:basedOn w:val="4"/>
    <w:qFormat/>
    <w:uiPriority w:val="0"/>
    <w:rPr>
      <w:b/>
      <w:bCs/>
      <w:u w:val="single"/>
    </w:rPr>
  </w:style>
  <w:style w:type="character" w:customStyle="1" w:styleId="36">
    <w:name w:val="ck"/>
    <w:basedOn w:val="4"/>
    <w:qFormat/>
    <w:uiPriority w:val="0"/>
  </w:style>
  <w:style w:type="character" w:customStyle="1" w:styleId="37">
    <w:name w:val="id"/>
    <w:basedOn w:val="4"/>
    <w:qFormat/>
    <w:uiPriority w:val="0"/>
    <w:rPr>
      <w:color w:val="FFFFFF"/>
      <w:shd w:val="clear" w:fill="0269F1"/>
    </w:rPr>
  </w:style>
  <w:style w:type="character" w:customStyle="1" w:styleId="38">
    <w:name w:val="pt"/>
    <w:basedOn w:val="4"/>
    <w:qFormat/>
    <w:uiPriority w:val="0"/>
  </w:style>
  <w:style w:type="character" w:customStyle="1" w:styleId="39">
    <w:name w:val="fresh"/>
    <w:basedOn w:val="4"/>
    <w:qFormat/>
    <w:uiPriority w:val="0"/>
  </w:style>
  <w:style w:type="character" w:customStyle="1" w:styleId="40">
    <w:name w:val="last-child"/>
    <w:basedOn w:val="4"/>
    <w:qFormat/>
    <w:uiPriority w:val="0"/>
  </w:style>
  <w:style w:type="character" w:customStyle="1" w:styleId="41">
    <w:name w:val="w34b"/>
    <w:basedOn w:val="4"/>
    <w:qFormat/>
    <w:uiPriority w:val="0"/>
  </w:style>
  <w:style w:type="character" w:customStyle="1" w:styleId="42">
    <w:name w:val="w50b4"/>
    <w:basedOn w:val="4"/>
    <w:qFormat/>
    <w:uiPriority w:val="0"/>
  </w:style>
  <w:style w:type="character" w:customStyle="1" w:styleId="43">
    <w:name w:val="w40b"/>
    <w:basedOn w:val="4"/>
    <w:qFormat/>
    <w:uiPriority w:val="0"/>
  </w:style>
  <w:style w:type="character" w:customStyle="1" w:styleId="44">
    <w:name w:val="w60b"/>
    <w:basedOn w:val="4"/>
    <w:qFormat/>
    <w:uiPriority w:val="0"/>
  </w:style>
  <w:style w:type="character" w:customStyle="1" w:styleId="45">
    <w:name w:val="w19b"/>
    <w:basedOn w:val="4"/>
    <w:qFormat/>
    <w:uiPriority w:val="0"/>
  </w:style>
  <w:style w:type="character" w:customStyle="1" w:styleId="46">
    <w:name w:val="w55b"/>
    <w:basedOn w:val="4"/>
    <w:qFormat/>
    <w:uiPriority w:val="0"/>
  </w:style>
  <w:style w:type="character" w:customStyle="1" w:styleId="47">
    <w:name w:val="w72b"/>
    <w:basedOn w:val="4"/>
    <w:qFormat/>
    <w:uiPriority w:val="0"/>
  </w:style>
  <w:style w:type="character" w:customStyle="1" w:styleId="48">
    <w:name w:val="w32b2"/>
    <w:basedOn w:val="4"/>
    <w:qFormat/>
    <w:uiPriority w:val="0"/>
  </w:style>
  <w:style w:type="character" w:customStyle="1" w:styleId="49">
    <w:name w:val="w49b"/>
    <w:basedOn w:val="4"/>
    <w:qFormat/>
    <w:uiPriority w:val="0"/>
  </w:style>
  <w:style w:type="character" w:customStyle="1" w:styleId="50">
    <w:name w:val="more2"/>
    <w:basedOn w:val="4"/>
    <w:qFormat/>
    <w:uiPriority w:val="0"/>
    <w:rPr>
      <w:color w:val="0269F1"/>
      <w:bdr w:val="single" w:color="0269F1" w:sz="4" w:space="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1831</Words>
  <Characters>2018</Characters>
  <Lines>0</Lines>
  <Paragraphs>0</Paragraphs>
  <TotalTime>2</TotalTime>
  <ScaleCrop>false</ScaleCrop>
  <LinksUpToDate>false</LinksUpToDate>
  <CharactersWithSpaces>2071</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2024-05-21T00:10:00Z</dcterms:created>
  <dc:creator>Administrator</dc:creator>
  <cp:lastModifiedBy>嗯。</cp:lastModifiedBy>
  <dcterms:modified xsi:type="dcterms:W3CDTF">2026-01-21T08:49:50Z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88C344404AB245618E0EE041BB8B05FE_12</vt:lpwstr>
  </property>
  <property fmtid="{D5CDD505-2E9C-101B-9397-08002B2CF9AE}" pid="4" name="KSOTemplateDocerSaveRecord">
    <vt:lpwstr>eyJoZGlkIjoiN2JkYjY3NTdiNTBhMGIxOTQxYjllMWM3N2UyZWEwN2EiLCJ1c2VySWQiOiI1MDQwMTA0NDYifQ==</vt:lpwstr>
  </property>
</Properties>
</file>