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8726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bCs/>
          <w:color w:val="auto"/>
          <w:sz w:val="52"/>
          <w:szCs w:val="52"/>
          <w:highlight w:val="none"/>
          <w:lang w:val="en-US" w:eastAsia="zh-CN"/>
        </w:rPr>
      </w:pPr>
    </w:p>
    <w:p w14:paraId="64DCBC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color w:val="auto"/>
          <w:sz w:val="52"/>
          <w:szCs w:val="52"/>
          <w:highlight w:val="none"/>
          <w:lang w:val="en-US" w:eastAsia="zh-CN"/>
        </w:rPr>
      </w:pPr>
      <w:bookmarkStart w:id="0" w:name="_Toc22582"/>
      <w:r>
        <w:rPr>
          <w:rFonts w:hint="eastAsia" w:ascii="宋体" w:hAnsi="宋体" w:eastAsia="宋体" w:cs="宋体"/>
          <w:b/>
          <w:bCs/>
          <w:color w:val="auto"/>
          <w:sz w:val="52"/>
          <w:szCs w:val="52"/>
          <w:highlight w:val="none"/>
          <w:lang w:val="en-US" w:eastAsia="zh-CN"/>
        </w:rPr>
        <w:t>唐河县教育体育局2026年中招体育考试购买第三方服务采购项目</w:t>
      </w:r>
    </w:p>
    <w:p w14:paraId="212D1321">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color w:val="auto"/>
          <w:sz w:val="52"/>
          <w:szCs w:val="52"/>
          <w:highlight w:val="none"/>
          <w:lang w:val="en-US" w:eastAsia="zh-CN"/>
        </w:rPr>
      </w:pPr>
      <w:r>
        <w:rPr>
          <w:rFonts w:hint="eastAsia" w:ascii="宋体" w:hAnsi="宋体" w:eastAsia="宋体" w:cs="宋体"/>
          <w:color w:val="auto"/>
          <w:spacing w:val="-1"/>
          <w:sz w:val="56"/>
          <w:szCs w:val="56"/>
          <w:highlight w:val="none"/>
          <w14:textOutline w14:w="3844" w14:cap="flat" w14:cmpd="sng">
            <w14:solidFill>
              <w14:srgbClr w14:val="000000"/>
            </w14:solidFill>
            <w14:prstDash w14:val="solid"/>
            <w14:miter w14:val="0"/>
          </w14:textOutline>
        </w:rPr>
        <w:t>竞争性磋商文件</w:t>
      </w:r>
      <w:bookmarkEnd w:id="0"/>
    </w:p>
    <w:p w14:paraId="1E007C6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default"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（非最终版）</w:t>
      </w:r>
    </w:p>
    <w:p w14:paraId="41B2ECAC">
      <w:pPr>
        <w:keepNext w:val="0"/>
        <w:keepLines w:val="0"/>
        <w:pageBreakBefore w:val="0"/>
        <w:kinsoku/>
        <w:wordWrap w:val="0"/>
        <w:overflowPunct/>
        <w:topLinePunct w:val="0"/>
        <w:bidi w:val="0"/>
        <w:spacing w:line="249" w:lineRule="auto"/>
        <w:jc w:val="both"/>
        <w:rPr>
          <w:rFonts w:ascii="Arial"/>
          <w:color w:val="auto"/>
          <w:sz w:val="21"/>
          <w:highlight w:val="none"/>
        </w:rPr>
      </w:pPr>
    </w:p>
    <w:p w14:paraId="64BE9602">
      <w:pPr>
        <w:keepNext w:val="0"/>
        <w:keepLines w:val="0"/>
        <w:pageBreakBefore w:val="0"/>
        <w:kinsoku/>
        <w:wordWrap w:val="0"/>
        <w:overflowPunct/>
        <w:topLinePunct w:val="0"/>
        <w:bidi w:val="0"/>
        <w:spacing w:line="249" w:lineRule="auto"/>
        <w:jc w:val="both"/>
        <w:rPr>
          <w:rFonts w:ascii="Arial"/>
          <w:color w:val="auto"/>
          <w:sz w:val="21"/>
          <w:highlight w:val="none"/>
        </w:rPr>
      </w:pPr>
    </w:p>
    <w:p w14:paraId="0A205A6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auto"/>
          <w:spacing w:val="-17"/>
          <w:sz w:val="32"/>
          <w:szCs w:val="32"/>
          <w:highlight w:val="none"/>
        </w:rPr>
      </w:pPr>
    </w:p>
    <w:p w14:paraId="7E88416E">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4C2D33CD">
      <w:pPr>
        <w:pStyle w:val="16"/>
        <w:rPr>
          <w:rFonts w:hint="eastAsia"/>
        </w:rPr>
      </w:pPr>
    </w:p>
    <w:p w14:paraId="2B1D2C0B">
      <w:pPr>
        <w:rPr>
          <w:rFonts w:hint="eastAsia"/>
        </w:rPr>
      </w:pPr>
    </w:p>
    <w:p w14:paraId="39F67C2A">
      <w:pPr>
        <w:rPr>
          <w:rFonts w:hint="eastAsia"/>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5D922940">
      <w:pPr>
        <w:pStyle w:val="15"/>
        <w:rPr>
          <w:rFonts w:hint="eastAsia"/>
          <w:color w:val="auto"/>
          <w:highlight w:val="none"/>
        </w:rPr>
      </w:pPr>
    </w:p>
    <w:p w14:paraId="3D08EDA4">
      <w:pPr>
        <w:pStyle w:val="15"/>
        <w:rPr>
          <w:rFonts w:hint="eastAsia"/>
          <w:color w:val="auto"/>
          <w:highlight w:val="none"/>
        </w:rPr>
      </w:pPr>
    </w:p>
    <w:p w14:paraId="4C471B74">
      <w:pPr>
        <w:keepNext w:val="0"/>
        <w:keepLines w:val="0"/>
        <w:pageBreakBefore w:val="0"/>
        <w:widowControl/>
        <w:kinsoku/>
        <w:wordWrap w:val="0"/>
        <w:overflowPunct/>
        <w:topLinePunct w:val="0"/>
        <w:autoSpaceDE w:val="0"/>
        <w:autoSpaceDN w:val="0"/>
        <w:bidi w:val="0"/>
        <w:adjustRightInd w:val="0"/>
        <w:snapToGrid w:val="0"/>
        <w:spacing w:line="360" w:lineRule="auto"/>
        <w:ind w:firstLine="247" w:firstLineChars="100"/>
        <w:jc w:val="both"/>
        <w:textAlignment w:val="baseline"/>
        <w:rPr>
          <w:rFonts w:hint="eastAsia" w:asciiTheme="minorEastAsia" w:hAnsiTheme="minorEastAsia" w:eastAsiaTheme="minorEastAsia" w:cstheme="minorEastAsia"/>
          <w:b/>
          <w:bCs/>
          <w:color w:val="auto"/>
          <w:spacing w:val="-17"/>
          <w:sz w:val="28"/>
          <w:szCs w:val="28"/>
          <w:highlight w:val="none"/>
          <w:u w:val="single"/>
          <w:lang w:val="en-US" w:eastAsia="zh-CN"/>
        </w:rPr>
      </w:pPr>
      <w:r>
        <w:rPr>
          <w:rFonts w:hint="eastAsia" w:asciiTheme="minorEastAsia" w:hAnsiTheme="minorEastAsia" w:eastAsiaTheme="minorEastAsia" w:cstheme="minorEastAsia"/>
          <w:b/>
          <w:bCs/>
          <w:color w:val="auto"/>
          <w:spacing w:val="-17"/>
          <w:sz w:val="28"/>
          <w:szCs w:val="28"/>
          <w:highlight w:val="none"/>
        </w:rPr>
        <w:t>项目名称：</w:t>
      </w:r>
      <w:r>
        <w:rPr>
          <w:rFonts w:hint="eastAsia" w:asciiTheme="minorEastAsia" w:hAnsiTheme="minorEastAsia" w:eastAsiaTheme="minorEastAsia" w:cstheme="minorEastAsia"/>
          <w:b/>
          <w:bCs/>
          <w:color w:val="auto"/>
          <w:spacing w:val="-17"/>
          <w:sz w:val="28"/>
          <w:szCs w:val="28"/>
          <w:highlight w:val="none"/>
          <w:u w:val="single"/>
          <w:lang w:val="en-US" w:eastAsia="zh-CN"/>
        </w:rPr>
        <w:t>唐河县教育体育局2026年中招体育考试购买第三方服务采购项目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47" w:firstLineChars="100"/>
        <w:jc w:val="both"/>
        <w:textAlignment w:val="baseline"/>
        <w:rPr>
          <w:rFonts w:hint="eastAsia" w:asciiTheme="minorEastAsia" w:hAnsiTheme="minorEastAsia" w:eastAsiaTheme="minorEastAsia" w:cstheme="minorEastAsia"/>
          <w:b/>
          <w:bCs/>
          <w:color w:val="auto"/>
          <w:spacing w:val="-17"/>
          <w:sz w:val="28"/>
          <w:szCs w:val="28"/>
          <w:highlight w:val="none"/>
          <w:u w:val="single"/>
          <w:lang w:val="en-US" w:eastAsia="zh-CN"/>
        </w:rPr>
      </w:pPr>
      <w:r>
        <w:rPr>
          <w:rFonts w:hint="eastAsia" w:asciiTheme="minorEastAsia" w:hAnsiTheme="minorEastAsia" w:eastAsiaTheme="minorEastAsia" w:cstheme="minorEastAsia"/>
          <w:b/>
          <w:bCs/>
          <w:color w:val="auto"/>
          <w:spacing w:val="-17"/>
          <w:sz w:val="28"/>
          <w:szCs w:val="28"/>
          <w:highlight w:val="none"/>
        </w:rPr>
        <w:t>项目编号</w:t>
      </w:r>
      <w:r>
        <w:rPr>
          <w:rFonts w:hint="eastAsia" w:asciiTheme="minorEastAsia" w:hAnsiTheme="minorEastAsia" w:eastAsiaTheme="minorEastAsia" w:cstheme="minorEastAsia"/>
          <w:b/>
          <w:bCs/>
          <w:color w:val="auto"/>
          <w:spacing w:val="-17"/>
          <w:sz w:val="28"/>
          <w:szCs w:val="28"/>
          <w:highlight w:val="none"/>
          <w:lang w:eastAsia="zh-CN"/>
        </w:rPr>
        <w:t>：</w:t>
      </w:r>
      <w:r>
        <w:rPr>
          <w:rFonts w:hint="eastAsia" w:asciiTheme="minorEastAsia" w:hAnsiTheme="minorEastAsia" w:eastAsiaTheme="minorEastAsia" w:cstheme="minorEastAsia"/>
          <w:b/>
          <w:bCs/>
          <w:color w:val="auto"/>
          <w:spacing w:val="-17"/>
          <w:sz w:val="28"/>
          <w:szCs w:val="28"/>
          <w:highlight w:val="none"/>
          <w:u w:val="single"/>
          <w:lang w:eastAsia="zh-CN"/>
        </w:rPr>
        <w:t>唐财采购竞争性磋商-2026-</w:t>
      </w:r>
      <w:r>
        <w:rPr>
          <w:rFonts w:hint="eastAsia" w:asciiTheme="minorEastAsia" w:hAnsiTheme="minorEastAsia" w:eastAsiaTheme="minorEastAsia" w:cstheme="minorEastAsia"/>
          <w:b/>
          <w:bCs/>
          <w:color w:val="auto"/>
          <w:spacing w:val="-17"/>
          <w:sz w:val="28"/>
          <w:szCs w:val="28"/>
          <w:highlight w:val="none"/>
          <w:u w:val="single"/>
          <w:lang w:val="en-US" w:eastAsia="zh-CN"/>
        </w:rPr>
        <w:t xml:space="preserve">28 </w:t>
      </w:r>
    </w:p>
    <w:p w14:paraId="3BAB94A6">
      <w:pPr>
        <w:keepNext w:val="0"/>
        <w:keepLines w:val="0"/>
        <w:pageBreakBefore w:val="0"/>
        <w:widowControl/>
        <w:kinsoku/>
        <w:wordWrap w:val="0"/>
        <w:overflowPunct/>
        <w:topLinePunct w:val="0"/>
        <w:autoSpaceDE w:val="0"/>
        <w:autoSpaceDN w:val="0"/>
        <w:bidi w:val="0"/>
        <w:adjustRightInd w:val="0"/>
        <w:snapToGrid w:val="0"/>
        <w:spacing w:line="360" w:lineRule="auto"/>
        <w:ind w:firstLine="247" w:firstLineChars="100"/>
        <w:jc w:val="both"/>
        <w:textAlignment w:val="baseline"/>
        <w:rPr>
          <w:rFonts w:hint="eastAsia" w:asciiTheme="minorEastAsia" w:hAnsiTheme="minorEastAsia" w:eastAsiaTheme="minorEastAsia" w:cstheme="minorEastAsia"/>
          <w:b/>
          <w:bCs/>
          <w:color w:val="auto"/>
          <w:spacing w:val="-17"/>
          <w:sz w:val="28"/>
          <w:szCs w:val="28"/>
          <w:highlight w:val="none"/>
          <w:u w:val="single"/>
          <w:lang w:val="en-US" w:eastAsia="zh-CN"/>
        </w:rPr>
      </w:pPr>
      <w:r>
        <w:rPr>
          <w:rFonts w:hint="eastAsia" w:asciiTheme="minorEastAsia" w:hAnsiTheme="minorEastAsia" w:eastAsiaTheme="minorEastAsia" w:cstheme="minorEastAsia"/>
          <w:b/>
          <w:bCs/>
          <w:color w:val="auto"/>
          <w:spacing w:val="-17"/>
          <w:sz w:val="28"/>
          <w:szCs w:val="28"/>
          <w:highlight w:val="none"/>
        </w:rPr>
        <w:t>采购人：</w:t>
      </w:r>
      <w:r>
        <w:rPr>
          <w:rFonts w:hint="eastAsia" w:asciiTheme="minorEastAsia" w:hAnsiTheme="minorEastAsia" w:eastAsiaTheme="minorEastAsia" w:cstheme="minorEastAsia"/>
          <w:b/>
          <w:bCs/>
          <w:color w:val="auto"/>
          <w:spacing w:val="-17"/>
          <w:sz w:val="28"/>
          <w:szCs w:val="28"/>
          <w:highlight w:val="none"/>
          <w:u w:val="single"/>
          <w:lang w:val="en-US" w:eastAsia="zh-CN"/>
        </w:rPr>
        <w:t xml:space="preserve"> 唐河县教育体育局</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47" w:firstLineChars="100"/>
        <w:jc w:val="both"/>
        <w:textAlignment w:val="baseline"/>
        <w:rPr>
          <w:rFonts w:hint="eastAsia" w:asciiTheme="minorEastAsia" w:hAnsiTheme="minorEastAsia" w:eastAsiaTheme="minorEastAsia" w:cstheme="minorEastAsia"/>
          <w:b/>
          <w:bCs/>
          <w:color w:val="auto"/>
          <w:spacing w:val="-17"/>
          <w:sz w:val="28"/>
          <w:szCs w:val="28"/>
          <w:highlight w:val="none"/>
          <w:u w:val="single"/>
          <w:lang w:val="en-US" w:eastAsia="zh-CN"/>
        </w:rPr>
      </w:pPr>
      <w:r>
        <w:rPr>
          <w:rFonts w:hint="eastAsia" w:asciiTheme="minorEastAsia" w:hAnsiTheme="minorEastAsia" w:eastAsiaTheme="minorEastAsia" w:cstheme="minorEastAsia"/>
          <w:b/>
          <w:bCs/>
          <w:color w:val="auto"/>
          <w:spacing w:val="-17"/>
          <w:sz w:val="28"/>
          <w:szCs w:val="28"/>
          <w:highlight w:val="none"/>
        </w:rPr>
        <w:t>采购代理机构：</w:t>
      </w:r>
      <w:r>
        <w:rPr>
          <w:rFonts w:hint="eastAsia" w:asciiTheme="minorEastAsia" w:hAnsiTheme="minorEastAsia" w:eastAsiaTheme="minorEastAsia" w:cstheme="minorEastAsia"/>
          <w:b/>
          <w:bCs/>
          <w:color w:val="auto"/>
          <w:spacing w:val="-17"/>
          <w:sz w:val="28"/>
          <w:szCs w:val="28"/>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47" w:firstLineChars="100"/>
        <w:jc w:val="both"/>
        <w:textAlignment w:val="baseline"/>
        <w:rPr>
          <w:rFonts w:hint="default" w:asciiTheme="minorEastAsia" w:hAnsiTheme="minorEastAsia" w:eastAsiaTheme="minorEastAsia" w:cstheme="minorEastAsia"/>
          <w:b/>
          <w:bCs/>
          <w:color w:val="auto"/>
          <w:spacing w:val="-17"/>
          <w:sz w:val="28"/>
          <w:szCs w:val="28"/>
          <w:highlight w:val="none"/>
          <w:u w:val="single"/>
          <w:lang w:val="en-US" w:eastAsia="zh-CN"/>
        </w:rPr>
      </w:pPr>
      <w:r>
        <w:rPr>
          <w:rFonts w:hint="eastAsia" w:asciiTheme="minorEastAsia" w:hAnsiTheme="minorEastAsia" w:eastAsiaTheme="minorEastAsia" w:cstheme="minorEastAsia"/>
          <w:b/>
          <w:bCs/>
          <w:color w:val="auto"/>
          <w:spacing w:val="-17"/>
          <w:sz w:val="28"/>
          <w:szCs w:val="28"/>
          <w:highlight w:val="none"/>
          <w:u w:val="none"/>
          <w:lang w:val="en-US" w:eastAsia="zh-CN"/>
        </w:rPr>
        <w:t>日期：</w:t>
      </w:r>
      <w:r>
        <w:rPr>
          <w:rFonts w:hint="eastAsia" w:asciiTheme="minorEastAsia" w:hAnsiTheme="minorEastAsia" w:eastAsiaTheme="minorEastAsia" w:cstheme="minorEastAsia"/>
          <w:b/>
          <w:bCs/>
          <w:color w:val="auto"/>
          <w:spacing w:val="-17"/>
          <w:sz w:val="28"/>
          <w:szCs w:val="28"/>
          <w:highlight w:val="none"/>
          <w:u w:val="single"/>
          <w:lang w:val="en-US" w:eastAsia="zh-CN"/>
        </w:rPr>
        <w:t>二零二六年三月</w:t>
      </w:r>
    </w:p>
    <w:p w14:paraId="5B0DDDD8">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auto"/>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auto"/>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auto"/>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color w:val="auto"/>
              <w:sz w:val="40"/>
              <w:szCs w:val="40"/>
              <w:highlight w:val="none"/>
            </w:rPr>
          </w:pPr>
          <w:r>
            <w:rPr>
              <w:rFonts w:ascii="宋体" w:hAnsi="宋体" w:eastAsia="宋体"/>
              <w:b/>
              <w:bCs/>
              <w:color w:val="auto"/>
              <w:sz w:val="40"/>
              <w:szCs w:val="40"/>
              <w:highlight w:val="none"/>
            </w:rPr>
            <w:t>目</w:t>
          </w:r>
          <w:r>
            <w:rPr>
              <w:rFonts w:hint="eastAsia" w:ascii="宋体" w:hAnsi="宋体" w:eastAsia="宋体"/>
              <w:b/>
              <w:bCs/>
              <w:color w:val="auto"/>
              <w:sz w:val="40"/>
              <w:szCs w:val="40"/>
              <w:highlight w:val="none"/>
              <w:lang w:val="en-US" w:eastAsia="zh-CN"/>
            </w:rPr>
            <w:t xml:space="preserve">   </w:t>
          </w:r>
          <w:r>
            <w:rPr>
              <w:rFonts w:ascii="宋体" w:hAnsi="宋体" w:eastAsia="宋体"/>
              <w:b/>
              <w:bCs/>
              <w:color w:val="auto"/>
              <w:sz w:val="40"/>
              <w:szCs w:val="40"/>
              <w:highlight w:val="none"/>
            </w:rPr>
            <w:t>录</w:t>
          </w:r>
        </w:p>
        <w:p w14:paraId="7CF54E4E">
          <w:pPr>
            <w:pStyle w:val="35"/>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6626409">
          <w:pPr>
            <w:pStyle w:val="35"/>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0B542D74">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0018CD2C">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1BBC4FD">
          <w:pPr>
            <w:pStyle w:val="35"/>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8</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C8EC7C9">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9</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CFD155C">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BC9EBFE">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1E07610E">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11CB1EB">
          <w:pPr>
            <w:pStyle w:val="35"/>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9</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2A44A660">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5D2DEF0A">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600490B">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496CE34C">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48AAB3DA">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3E0BB4B1">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color w:val="auto"/>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color w:val="auto"/>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24</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D8E52EE">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color w:val="auto"/>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24</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EDEF416">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color w:val="auto"/>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19BABF43">
          <w:pPr>
            <w:pStyle w:val="35"/>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02EDA403">
          <w:pPr>
            <w:pStyle w:val="35"/>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29</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05CA1A52">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w:t>
          </w:r>
        </w:p>
        <w:p w14:paraId="596C41B1">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34</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357E03E0">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5</w:t>
          </w:r>
        </w:p>
        <w:p w14:paraId="779BAE19">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381A690">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6</w:t>
          </w:r>
        </w:p>
        <w:p w14:paraId="0F088C87">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4</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0</w:t>
          </w:r>
        </w:p>
        <w:p w14:paraId="2468053B">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40</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5027279">
          <w:pPr>
            <w:pStyle w:val="36"/>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4</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6</w:t>
          </w:r>
        </w:p>
        <w:p w14:paraId="39400C5A">
          <w:pPr>
            <w:pStyle w:val="35"/>
            <w:keepNext w:val="0"/>
            <w:keepLines w:val="0"/>
            <w:pageBreakBefore w:val="0"/>
            <w:widowControl/>
            <w:tabs>
              <w:tab w:val="right" w:leader="dot" w:pos="9750"/>
            </w:tabs>
            <w:kinsoku/>
            <w:overflowPunct/>
            <w:topLinePunct w:val="0"/>
            <w:bidi w:val="0"/>
            <w:spacing w:after="0" w:afterLines="1" w:line="440" w:lineRule="exact"/>
            <w:rPr>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43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sdtContent>
    </w:sdt>
    <w:p w14:paraId="661214DA">
      <w:pPr>
        <w:pStyle w:val="6"/>
        <w:keepNext w:val="0"/>
        <w:keepLines w:val="0"/>
        <w:pageBreakBefore w:val="0"/>
        <w:kinsoku/>
        <w:wordWrap w:val="0"/>
        <w:overflowPunct/>
        <w:topLinePunct w:val="0"/>
        <w:bidi w:val="0"/>
        <w:spacing w:before="358" w:line="360" w:lineRule="auto"/>
        <w:jc w:val="center"/>
        <w:outlineLvl w:val="0"/>
        <w:rPr>
          <w:rFonts w:ascii="Arial"/>
          <w:color w:val="auto"/>
          <w:sz w:val="21"/>
          <w:highlight w:val="none"/>
        </w:rPr>
      </w:pPr>
      <w:bookmarkStart w:id="1" w:name="_Toc1508"/>
      <w:r>
        <w:rPr>
          <w:color w:val="auto"/>
          <w:spacing w:val="-1"/>
          <w:sz w:val="36"/>
          <w:szCs w:val="36"/>
          <w:highlight w:val="none"/>
          <w14:textOutline w14:w="2306" w14:cap="flat" w14:cmpd="sng">
            <w14:solidFill>
              <w14:srgbClr w14:val="000000"/>
            </w14:solidFill>
            <w14:prstDash w14:val="solid"/>
            <w14:miter w14:val="0"/>
          </w14:textOutline>
        </w:rPr>
        <w:t>第一章</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color w:val="auto"/>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color w:val="auto"/>
          <w:spacing w:val="-1"/>
          <w:kern w:val="0"/>
          <w:sz w:val="24"/>
          <w:szCs w:val="24"/>
          <w:highlight w:val="none"/>
          <w:lang w:val="en-US" w:eastAsia="zh-CN" w:bidi="ar-SA"/>
        </w:rPr>
      </w:pPr>
      <w:r>
        <w:rPr>
          <w:rFonts w:hint="eastAsia" w:ascii="宋体" w:hAnsi="宋体" w:eastAsia="宋体" w:cs="宋体"/>
          <w:b/>
          <w:bCs/>
          <w:color w:val="auto"/>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cs="宋体"/>
          <w:color w:val="auto"/>
          <w:spacing w:val="-1"/>
          <w:kern w:val="0"/>
          <w:sz w:val="24"/>
          <w:szCs w:val="24"/>
          <w:highlight w:val="none"/>
          <w:lang w:val="en-US" w:eastAsia="zh-CN" w:bidi="ar-SA"/>
        </w:rPr>
        <w:t>唐河县教育体育局2026年中招体育考试购买第三方服务采购项目</w:t>
      </w:r>
      <w:r>
        <w:rPr>
          <w:rFonts w:hint="eastAsia" w:ascii="宋体" w:hAnsi="宋体" w:eastAsia="宋体" w:cs="宋体"/>
          <w:color w:val="auto"/>
          <w:spacing w:val="-1"/>
          <w:kern w:val="0"/>
          <w:sz w:val="24"/>
          <w:szCs w:val="24"/>
          <w:highlight w:val="none"/>
          <w:lang w:val="en-US" w:eastAsia="zh-CN" w:bidi="ar-SA"/>
        </w:rPr>
        <w:t>招标项目的潜在投标人应在唐河县公共资源交易中心网站（http://ggzyjy.tanghe.gov.cn）获取招标文件，并于2026年04月   10日9时30分（北京时间）前递交响应文件。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color w:val="auto"/>
          <w:spacing w:val="-1"/>
          <w:kern w:val="0"/>
          <w:sz w:val="24"/>
          <w:szCs w:val="24"/>
          <w:highlight w:val="none"/>
          <w:lang w:val="en-US" w:eastAsia="zh-CN" w:bidi="ar-SA"/>
        </w:rPr>
      </w:pPr>
      <w:bookmarkStart w:id="2" w:name="_Toc6345"/>
      <w:r>
        <w:rPr>
          <w:rFonts w:hint="eastAsia" w:ascii="宋体" w:hAnsi="宋体" w:eastAsia="宋体" w:cs="宋体"/>
          <w:b/>
          <w:bCs/>
          <w:color w:val="auto"/>
          <w:spacing w:val="-1"/>
          <w:kern w:val="0"/>
          <w:sz w:val="24"/>
          <w:szCs w:val="24"/>
          <w:highlight w:val="none"/>
          <w:lang w:val="en-US" w:eastAsia="zh-CN" w:bidi="ar-SA"/>
        </w:rPr>
        <w:t>一、项目基本情况</w:t>
      </w:r>
      <w:bookmarkEnd w:id="2"/>
    </w:p>
    <w:p w14:paraId="2F7FBFDB">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auto"/>
          <w:spacing w:val="-1"/>
          <w:kern w:val="0"/>
          <w:sz w:val="24"/>
          <w:szCs w:val="24"/>
          <w:highlight w:val="none"/>
          <w:lang w:val="en-US" w:eastAsia="zh-CN" w:bidi="ar-SA"/>
        </w:rPr>
      </w:pPr>
      <w:r>
        <w:rPr>
          <w:rFonts w:hint="eastAsia" w:ascii="Arial" w:hAnsi="Arial" w:eastAsia="Arial" w:cs="宋体"/>
          <w:snapToGrid w:val="0"/>
          <w:color w:val="auto"/>
          <w:spacing w:val="-1"/>
          <w:kern w:val="0"/>
          <w:sz w:val="24"/>
          <w:szCs w:val="24"/>
          <w:highlight w:val="none"/>
          <w:lang w:val="en-US" w:eastAsia="zh-CN" w:bidi="ar-SA"/>
        </w:rPr>
        <w:t xml:space="preserve">1.项目编号：唐财采购竞争性磋商-2026-28 </w:t>
      </w:r>
    </w:p>
    <w:p w14:paraId="30A3AAD6">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auto"/>
          <w:spacing w:val="-1"/>
          <w:kern w:val="0"/>
          <w:sz w:val="24"/>
          <w:szCs w:val="24"/>
          <w:highlight w:val="none"/>
          <w:lang w:val="en-US" w:eastAsia="zh-CN" w:bidi="ar-SA"/>
        </w:rPr>
      </w:pPr>
      <w:r>
        <w:rPr>
          <w:rFonts w:hint="eastAsia" w:ascii="Arial" w:hAnsi="Arial" w:eastAsia="Arial" w:cs="宋体"/>
          <w:snapToGrid w:val="0"/>
          <w:color w:val="auto"/>
          <w:spacing w:val="-1"/>
          <w:kern w:val="0"/>
          <w:sz w:val="24"/>
          <w:szCs w:val="24"/>
          <w:highlight w:val="none"/>
          <w:lang w:val="en-US" w:eastAsia="zh-CN" w:bidi="ar-SA"/>
        </w:rPr>
        <w:t>2.项目名称：唐河县教育体育局2026年中招体育考试购买第三方服务采购项目</w:t>
      </w:r>
    </w:p>
    <w:p w14:paraId="2605EB05">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auto"/>
          <w:spacing w:val="-1"/>
          <w:kern w:val="0"/>
          <w:sz w:val="24"/>
          <w:szCs w:val="24"/>
          <w:highlight w:val="none"/>
          <w:lang w:val="en-US" w:eastAsia="zh-CN" w:bidi="ar-SA"/>
        </w:rPr>
      </w:pPr>
      <w:r>
        <w:rPr>
          <w:rFonts w:hint="eastAsia" w:ascii="Arial" w:hAnsi="Arial" w:eastAsia="Arial" w:cs="宋体"/>
          <w:snapToGrid w:val="0"/>
          <w:color w:val="auto"/>
          <w:spacing w:val="-1"/>
          <w:kern w:val="0"/>
          <w:sz w:val="24"/>
          <w:szCs w:val="24"/>
          <w:highlight w:val="none"/>
          <w:lang w:val="en-US" w:eastAsia="zh-CN" w:bidi="ar-SA"/>
        </w:rPr>
        <w:t>3.采购方式：竞争性磋商</w:t>
      </w:r>
    </w:p>
    <w:p w14:paraId="3E4F9245">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auto"/>
          <w:spacing w:val="-1"/>
          <w:kern w:val="0"/>
          <w:sz w:val="24"/>
          <w:szCs w:val="24"/>
          <w:highlight w:val="none"/>
          <w:lang w:val="en-US" w:eastAsia="zh-CN" w:bidi="ar-SA"/>
        </w:rPr>
      </w:pPr>
      <w:r>
        <w:rPr>
          <w:rFonts w:hint="eastAsia" w:ascii="Arial" w:hAnsi="Arial" w:eastAsia="Arial" w:cs="宋体"/>
          <w:snapToGrid w:val="0"/>
          <w:color w:val="auto"/>
          <w:spacing w:val="-1"/>
          <w:kern w:val="0"/>
          <w:sz w:val="24"/>
          <w:szCs w:val="24"/>
          <w:highlight w:val="none"/>
          <w:lang w:val="en-US" w:eastAsia="zh-CN" w:bidi="ar-SA"/>
        </w:rPr>
        <w:t>4.项目预算金额：296153.00元         项目最高限价：296153.00元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645"/>
        <w:gridCol w:w="2647"/>
        <w:gridCol w:w="1404"/>
        <w:gridCol w:w="1476"/>
        <w:gridCol w:w="1105"/>
        <w:gridCol w:w="1621"/>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shd w:val="clear" w:color="auto" w:fill="FFFFFF"/>
                <w:lang w:val="en-US" w:eastAsia="zh-CN"/>
              </w:rPr>
            </w:pPr>
            <w:r>
              <w:rPr>
                <w:rFonts w:hint="eastAsia" w:ascii="宋体" w:hAnsi="宋体" w:cs="宋体"/>
                <w:bCs/>
                <w:color w:val="auto"/>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color w:val="auto"/>
                <w:sz w:val="24"/>
                <w:szCs w:val="24"/>
                <w:highlight w:val="none"/>
                <w:shd w:val="clear" w:color="auto" w:fill="FFFFFF"/>
                <w:lang w:val="en-US" w:eastAsia="zh-CN"/>
              </w:rPr>
            </w:pPr>
            <w:r>
              <w:rPr>
                <w:rFonts w:hint="eastAsia" w:ascii="宋体" w:hAnsi="宋体" w:cs="宋体"/>
                <w:bCs/>
                <w:color w:val="auto"/>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shd w:val="clear" w:color="auto" w:fill="FFFFFF"/>
                <w:lang w:val="en-US" w:eastAsia="zh-CN"/>
              </w:rPr>
            </w:pPr>
            <w:r>
              <w:rPr>
                <w:rFonts w:hint="eastAsia" w:ascii="宋体" w:hAnsi="宋体" w:eastAsia="宋体" w:cs="宋体"/>
                <w:bCs/>
                <w:color w:val="auto"/>
                <w:sz w:val="24"/>
                <w:szCs w:val="24"/>
                <w:highlight w:val="none"/>
                <w:shd w:val="clear" w:color="auto" w:fill="FFFFFF"/>
                <w:lang w:val="en-US" w:eastAsia="zh-CN"/>
              </w:rPr>
              <w:t xml:space="preserve">唐财采购竞争性磋商-2026-28-1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shd w:val="clear" w:color="auto" w:fill="FFFFFF"/>
                <w:lang w:val="en-US" w:eastAsia="zh-CN"/>
              </w:rPr>
            </w:pPr>
            <w:r>
              <w:rPr>
                <w:rFonts w:hint="eastAsia" w:cs="宋体"/>
                <w:snapToGrid w:val="0"/>
                <w:color w:val="auto"/>
                <w:spacing w:val="-1"/>
                <w:kern w:val="0"/>
                <w:sz w:val="24"/>
                <w:szCs w:val="24"/>
                <w:highlight w:val="none"/>
                <w:lang w:val="en-US" w:eastAsia="zh-CN" w:bidi="ar-SA"/>
              </w:rPr>
              <w:t>唐河县教育体育局2026年中招体育考试购买第三方服务采购项目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296153.00</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296153.00</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shd w:val="clear" w:color="auto" w:fill="FFFFFF"/>
                <w:lang w:val="en-US" w:eastAsia="zh-CN"/>
              </w:rPr>
            </w:pPr>
            <w:r>
              <w:rPr>
                <w:rFonts w:hint="eastAsia" w:ascii="宋体" w:hAnsi="宋体" w:eastAsia="宋体" w:cs="宋体"/>
                <w:bCs/>
                <w:color w:val="auto"/>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shd w:val="clear" w:color="auto" w:fill="FFFFFF"/>
                <w:lang w:val="en-US" w:eastAsia="zh-CN"/>
              </w:rPr>
            </w:pPr>
            <w:r>
              <w:rPr>
                <w:rFonts w:hint="eastAsia" w:ascii="宋体" w:hAnsi="宋体" w:eastAsia="宋体" w:cs="宋体"/>
                <w:bCs/>
                <w:color w:val="auto"/>
                <w:sz w:val="24"/>
                <w:szCs w:val="24"/>
                <w:highlight w:val="none"/>
                <w:u w:val="none"/>
                <w:shd w:val="clear" w:color="auto" w:fill="FFFFFF"/>
                <w:lang w:val="en-US" w:eastAsia="zh-CN"/>
              </w:rPr>
              <w:t>296153.00</w:t>
            </w:r>
          </w:p>
        </w:tc>
      </w:tr>
    </w:tbl>
    <w:p w14:paraId="74025D67">
      <w:pPr>
        <w:pStyle w:val="6"/>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480" w:lineRule="auto"/>
        <w:ind w:right="0" w:firstLine="476" w:firstLineChars="200"/>
        <w:jc w:val="both"/>
        <w:textAlignment w:val="baseline"/>
        <w:rPr>
          <w:rFonts w:hint="default"/>
          <w:color w:val="auto"/>
          <w:highlight w:val="none"/>
          <w:lang w:val="en-US" w:eastAsia="zh-CN"/>
        </w:rPr>
      </w:pPr>
      <w:r>
        <w:rPr>
          <w:rFonts w:hint="eastAsia" w:ascii="Arial" w:hAnsi="Arial" w:eastAsia="Arial" w:cs="宋体"/>
          <w:snapToGrid w:val="0"/>
          <w:color w:val="auto"/>
          <w:spacing w:val="-1"/>
          <w:kern w:val="0"/>
          <w:sz w:val="24"/>
          <w:szCs w:val="24"/>
          <w:highlight w:val="none"/>
          <w:lang w:val="en-US" w:eastAsia="zh-CN" w:bidi="ar-SA"/>
        </w:rPr>
        <w:t>采购需求：（包括但不限于标的的名称、数量、简要技术需求或服务要求等）</w:t>
      </w:r>
    </w:p>
    <w:p w14:paraId="74FD2FD8">
      <w:pPr>
        <w:keepNext w:val="0"/>
        <w:keepLines w:val="0"/>
        <w:pageBreakBefore w:val="0"/>
        <w:widowControl w:val="0"/>
        <w:numPr>
          <w:ilvl w:val="0"/>
          <w:numId w:val="2"/>
        </w:numPr>
        <w:kinsoku/>
        <w:wordWrap/>
        <w:overflowPunct/>
        <w:topLinePunct w:val="0"/>
        <w:autoSpaceDE w:val="0"/>
        <w:autoSpaceDN w:val="0"/>
        <w:bidi w:val="0"/>
        <w:adjustRightInd/>
        <w:snapToGrid/>
        <w:spacing w:before="0" w:beforeLines="1" w:after="0" w:afterLines="1" w:line="480" w:lineRule="auto"/>
        <w:ind w:left="-56" w:leftChars="0" w:firstLine="476" w:firstLineChars="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项目名称：唐河县教育体育局2026年中招体育考试购买第三方服务采购项目</w:t>
      </w:r>
    </w:p>
    <w:p w14:paraId="7A805407">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（2）服务地点：采购人指定地点</w:t>
      </w:r>
      <w:r>
        <w:rPr>
          <w:rFonts w:hint="eastAsia" w:ascii="宋体" w:hAnsi="宋体" w:eastAsia="宋体"/>
          <w:color w:val="auto"/>
          <w:sz w:val="24"/>
          <w:szCs w:val="24"/>
          <w:highlight w:val="none"/>
          <w:lang w:val="en-US" w:eastAsia="zh-CN"/>
        </w:rPr>
        <w:t>；</w:t>
      </w:r>
    </w:p>
    <w:p w14:paraId="6950E069">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bidi="ar-SA"/>
        </w:rPr>
        <w:t>（3）采购内容：</w:t>
      </w:r>
      <w:r>
        <w:rPr>
          <w:rFonts w:hint="eastAsia" w:ascii="宋体" w:hAnsi="宋体" w:eastAsia="宋体"/>
          <w:color w:val="auto"/>
          <w:sz w:val="24"/>
          <w:szCs w:val="24"/>
          <w:highlight w:val="none"/>
          <w:lang w:val="en-US" w:eastAsia="zh-CN"/>
        </w:rPr>
        <w:t>中招体育考试第三方技术服务（服务要求详见采购文件）。</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（4）标段划分：共一个标段。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（5）服务要求：合格，符合国家现行服务规范要求标准；</w:t>
      </w:r>
    </w:p>
    <w:p w14:paraId="34FF5B92">
      <w:pPr>
        <w:keepNext w:val="0"/>
        <w:keepLines w:val="0"/>
        <w:pageBreakBefore w:val="0"/>
        <w:widowControl/>
        <w:kinsoku w:val="0"/>
        <w:wordWrap/>
        <w:overflowPunct/>
        <w:topLinePunct w:val="0"/>
        <w:autoSpaceDE w:val="0"/>
        <w:autoSpaceDN w:val="0"/>
        <w:bidi w:val="0"/>
        <w:adjustRightInd w:val="0"/>
        <w:snapToGrid w:val="0"/>
        <w:spacing w:line="480" w:lineRule="auto"/>
        <w:ind w:firstLine="476" w:firstLineChars="200"/>
        <w:textAlignment w:val="baseline"/>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w:t>
      </w:r>
      <w:r>
        <w:rPr>
          <w:rFonts w:hint="eastAsia" w:hAnsi="宋体" w:eastAsia="宋体" w:cs="宋体"/>
          <w:snapToGrid w:val="0"/>
          <w:color w:val="auto"/>
          <w:spacing w:val="-1"/>
          <w:kern w:val="0"/>
          <w:sz w:val="24"/>
          <w:szCs w:val="24"/>
          <w:highlight w:val="none"/>
          <w:lang w:val="en-US" w:eastAsia="zh-CN" w:bidi="ar-SA"/>
        </w:rPr>
        <w:t>6</w:t>
      </w:r>
      <w:r>
        <w:rPr>
          <w:rFonts w:hint="eastAsia" w:ascii="宋体" w:hAnsi="宋体" w:eastAsia="宋体" w:cs="宋体"/>
          <w:snapToGrid w:val="0"/>
          <w:color w:val="auto"/>
          <w:spacing w:val="-1"/>
          <w:kern w:val="0"/>
          <w:sz w:val="24"/>
          <w:szCs w:val="24"/>
          <w:highlight w:val="none"/>
          <w:lang w:val="en-US" w:eastAsia="zh-CN" w:bidi="ar-SA"/>
        </w:rPr>
        <w:t>）服务期限：自合同签订之日起至2026年唐河中招体育考试成绩上报结束止。</w:t>
      </w:r>
    </w:p>
    <w:p w14:paraId="3DC97710">
      <w:pPr>
        <w:keepNext w:val="0"/>
        <w:keepLines w:val="0"/>
        <w:pageBreakBefore w:val="0"/>
        <w:widowControl/>
        <w:kinsoku w:val="0"/>
        <w:wordWrap/>
        <w:overflowPunct/>
        <w:topLinePunct w:val="0"/>
        <w:autoSpaceDE w:val="0"/>
        <w:autoSpaceDN w:val="0"/>
        <w:bidi w:val="0"/>
        <w:adjustRightInd w:val="0"/>
        <w:snapToGrid w:val="0"/>
        <w:spacing w:line="480" w:lineRule="auto"/>
        <w:ind w:firstLine="476" w:firstLineChars="200"/>
        <w:textAlignment w:val="baseline"/>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6.合同履行期限：同服务期限。</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8、是否接受进口产品：否</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b/>
          <w:bCs/>
          <w:color w:val="auto"/>
          <w:spacing w:val="-1"/>
          <w:kern w:val="0"/>
          <w:sz w:val="24"/>
          <w:szCs w:val="24"/>
          <w:highlight w:val="none"/>
          <w:lang w:val="en-US" w:eastAsia="zh-CN" w:bidi="ar-SA"/>
        </w:rPr>
      </w:pPr>
      <w:bookmarkStart w:id="3" w:name="_Toc6785"/>
      <w:r>
        <w:rPr>
          <w:rFonts w:hint="eastAsia" w:ascii="宋体" w:hAnsi="宋体" w:eastAsia="宋体" w:cs="宋体"/>
          <w:b/>
          <w:bCs/>
          <w:color w:val="auto"/>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3.1具有独立承担民事责任的能力以及有效的营业执照；</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3.2供应商须具有良好的商业信誉和健全的财务会计制度：供应商需提供2024年年度财务审计报告（若成立不足一年的公司，则提供成立月份以来的企业财务报表）；</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3.3供应商依法缴纳税收（提供2025年1月1日以来任意三个月完税证明或缴税凭证）和社会保障资金（提供2025年1月1日以来任意三个月的社保缴纳凭证或社保缴费记录)。依法免税或不需要缴纳社会保障资金的供应商，应提供相应证明文件。</w:t>
      </w:r>
    </w:p>
    <w:p w14:paraId="0D2C3B50">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3.4具有履行合同所必需的设备和专业技术能力；</w:t>
      </w:r>
    </w:p>
    <w:p w14:paraId="70C646A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3.5参加本次政府采购活动前三年内，在经营活动中没有重大违法犯罪记录；</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3.6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3.7本次招标不接受联合体投标，不允许分包和转包。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3.8遵守国家有关法律、法规、规章。</w:t>
      </w:r>
    </w:p>
    <w:p w14:paraId="64CB99EA">
      <w:pPr>
        <w:pStyle w:val="15"/>
        <w:keepNext w:val="0"/>
        <w:keepLines w:val="0"/>
        <w:pageBreakBefore w:val="0"/>
        <w:widowControl/>
        <w:kinsoku w:val="0"/>
        <w:wordWrap/>
        <w:overflowPunct/>
        <w:topLinePunct w:val="0"/>
        <w:autoSpaceDE w:val="0"/>
        <w:autoSpaceDN w:val="0"/>
        <w:bidi w:val="0"/>
        <w:adjustRightInd w:val="0"/>
        <w:snapToGrid w:val="0"/>
        <w:spacing w:line="520" w:lineRule="exact"/>
        <w:ind w:firstLine="476" w:firstLineChars="200"/>
        <w:textAlignment w:val="baseline"/>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w:t>
      </w:r>
      <w:r>
        <w:rPr>
          <w:rFonts w:hint="eastAsia" w:cs="宋体"/>
          <w:snapToGrid w:val="0"/>
          <w:color w:val="auto"/>
          <w:spacing w:val="-1"/>
          <w:kern w:val="0"/>
          <w:sz w:val="24"/>
          <w:szCs w:val="24"/>
          <w:highlight w:val="none"/>
          <w:lang w:val="en-US" w:eastAsia="zh-CN" w:bidi="ar-SA"/>
        </w:rPr>
        <w:t>2</w:t>
      </w:r>
      <w:r>
        <w:rPr>
          <w:rFonts w:hint="eastAsia" w:ascii="宋体" w:hAnsi="宋体" w:eastAsia="宋体" w:cs="宋体"/>
          <w:snapToGrid w:val="0"/>
          <w:color w:val="auto"/>
          <w:spacing w:val="-1"/>
          <w:kern w:val="0"/>
          <w:sz w:val="24"/>
          <w:szCs w:val="24"/>
          <w:highlight w:val="none"/>
          <w:lang w:val="en-US" w:eastAsia="zh-CN" w:bidi="ar-SA"/>
        </w:rPr>
        <w:t>）（3.</w:t>
      </w:r>
      <w:r>
        <w:rPr>
          <w:rFonts w:hint="eastAsia" w:cs="宋体"/>
          <w:snapToGrid w:val="0"/>
          <w:color w:val="auto"/>
          <w:spacing w:val="-1"/>
          <w:kern w:val="0"/>
          <w:sz w:val="24"/>
          <w:szCs w:val="24"/>
          <w:highlight w:val="none"/>
          <w:lang w:val="en-US" w:eastAsia="zh-CN" w:bidi="ar-SA"/>
        </w:rPr>
        <w:t>3</w:t>
      </w:r>
      <w:r>
        <w:rPr>
          <w:rFonts w:hint="eastAsia" w:ascii="宋体" w:hAnsi="宋体" w:eastAsia="宋体" w:cs="宋体"/>
          <w:snapToGrid w:val="0"/>
          <w:color w:val="auto"/>
          <w:spacing w:val="-1"/>
          <w:kern w:val="0"/>
          <w:sz w:val="24"/>
          <w:szCs w:val="24"/>
          <w:highlight w:val="none"/>
          <w:lang w:val="en-US" w:eastAsia="zh-CN" w:bidi="ar-SA"/>
        </w:rPr>
        <w:t>）的证明材料。供应商在中标(成交)后，应将上述由投标承诺函替代的证明材料提交采购人、采购代理机构，证明材料将随公告一并公示。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color w:val="auto"/>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color w:val="auto"/>
          <w:spacing w:val="-1"/>
          <w:kern w:val="0"/>
          <w:sz w:val="24"/>
          <w:szCs w:val="24"/>
          <w:highlight w:val="none"/>
          <w:lang w:val="en-US" w:eastAsia="zh-CN" w:bidi="ar-SA"/>
        </w:rPr>
        <w:t>三、获取采购文件</w:t>
      </w:r>
      <w:bookmarkEnd w:id="4"/>
      <w:bookmarkEnd w:id="5"/>
      <w:r>
        <w:rPr>
          <w:rFonts w:hint="eastAsia" w:ascii="宋体" w:hAnsi="宋体" w:eastAsia="宋体" w:cs="宋体"/>
          <w:color w:val="auto"/>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1.时间：2026年03月30日至2026年04月03日，每天上午08:00至12:00，下午12:00至17:30（北京时间，法定节假日除外。）</w:t>
      </w:r>
      <w:r>
        <w:rPr>
          <w:rFonts w:hint="eastAsia" w:ascii="宋体" w:hAnsi="宋体" w:eastAsia="宋体" w:cs="宋体"/>
          <w:color w:val="auto"/>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2.地点：唐河县公共资源交易中心网站（http://ggzyjy.tanghe.gov.cn）</w:t>
      </w:r>
      <w:r>
        <w:rPr>
          <w:rFonts w:hint="eastAsia" w:ascii="宋体" w:hAnsi="宋体" w:eastAsia="宋体" w:cs="宋体"/>
          <w:color w:val="auto"/>
          <w:spacing w:val="-1"/>
          <w:kern w:val="0"/>
          <w:sz w:val="24"/>
          <w:szCs w:val="24"/>
          <w:highlight w:val="none"/>
          <w:lang w:val="en-US" w:eastAsia="zh-CN" w:bidi="ar-SA"/>
        </w:rPr>
        <w:tab/>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3.方式：潜在供应商在唐河县公共资源交易中心网站（http://ggzyjy.tanghe.gov.cn/）登录交易主体系统获取采购文件。</w:t>
      </w:r>
      <w:r>
        <w:rPr>
          <w:rFonts w:hint="eastAsia" w:ascii="宋体" w:hAnsi="宋体" w:eastAsia="宋体" w:cs="宋体"/>
          <w:color w:val="auto"/>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4.售价：0元</w:t>
      </w:r>
      <w:r>
        <w:rPr>
          <w:rFonts w:hint="eastAsia" w:ascii="宋体" w:hAnsi="宋体" w:eastAsia="宋体" w:cs="宋体"/>
          <w:color w:val="auto"/>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color w:val="auto"/>
          <w:spacing w:val="-1"/>
          <w:kern w:val="0"/>
          <w:sz w:val="24"/>
          <w:szCs w:val="24"/>
          <w:highlight w:val="none"/>
          <w:lang w:val="en-US" w:eastAsia="zh-CN" w:bidi="ar-SA"/>
        </w:rPr>
        <w:t>四、响应文件提交</w:t>
      </w:r>
      <w:bookmarkEnd w:id="6"/>
      <w:bookmarkEnd w:id="7"/>
      <w:r>
        <w:rPr>
          <w:rFonts w:hint="eastAsia" w:ascii="宋体" w:hAnsi="宋体" w:eastAsia="宋体" w:cs="宋体"/>
          <w:color w:val="auto"/>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1.截止时间：2026年04月10日9时30分（北京时间）</w:t>
      </w:r>
      <w:r>
        <w:rPr>
          <w:rFonts w:hint="eastAsia" w:ascii="宋体" w:hAnsi="宋体" w:eastAsia="宋体" w:cs="宋体"/>
          <w:color w:val="auto"/>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8" w:name="_Toc5182"/>
      <w:bookmarkStart w:id="9" w:name="_Toc529"/>
      <w:r>
        <w:rPr>
          <w:rFonts w:hint="eastAsia" w:ascii="宋体" w:hAnsi="宋体" w:eastAsia="宋体" w:cs="宋体"/>
          <w:b/>
          <w:bCs/>
          <w:color w:val="auto"/>
          <w:spacing w:val="-1"/>
          <w:kern w:val="0"/>
          <w:sz w:val="24"/>
          <w:szCs w:val="24"/>
          <w:highlight w:val="none"/>
          <w:lang w:val="en-US" w:eastAsia="zh-CN" w:bidi="ar-SA"/>
        </w:rPr>
        <w:t>五、响应文件开启</w:t>
      </w:r>
      <w:bookmarkEnd w:id="8"/>
      <w:bookmarkEnd w:id="9"/>
      <w:r>
        <w:rPr>
          <w:rFonts w:hint="eastAsia" w:ascii="宋体" w:hAnsi="宋体" w:eastAsia="宋体" w:cs="宋体"/>
          <w:color w:val="auto"/>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1.时间：2026年04月10日9时30分（北京时间）</w:t>
      </w:r>
      <w:r>
        <w:rPr>
          <w:rFonts w:hint="eastAsia" w:ascii="宋体" w:hAnsi="宋体" w:eastAsia="宋体" w:cs="宋体"/>
          <w:color w:val="auto"/>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10" w:name="_Toc23316"/>
      <w:bookmarkStart w:id="11" w:name="_Toc28"/>
      <w:r>
        <w:rPr>
          <w:rFonts w:hint="eastAsia" w:ascii="宋体" w:hAnsi="宋体" w:eastAsia="宋体" w:cs="宋体"/>
          <w:b/>
          <w:bCs/>
          <w:color w:val="auto"/>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color w:val="auto"/>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color w:val="auto"/>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color w:val="auto"/>
          <w:spacing w:val="-1"/>
          <w:kern w:val="0"/>
          <w:sz w:val="24"/>
          <w:szCs w:val="24"/>
          <w:highlight w:val="none"/>
          <w:lang w:val="en-US" w:eastAsia="zh-CN" w:bidi="ar-SA"/>
        </w:rPr>
        <w:t>七、其他补充事宜</w:t>
      </w:r>
      <w:bookmarkEnd w:id="12"/>
      <w:bookmarkEnd w:id="13"/>
      <w:r>
        <w:rPr>
          <w:rFonts w:hint="eastAsia" w:ascii="宋体" w:hAnsi="宋体" w:eastAsia="宋体" w:cs="宋体"/>
          <w:color w:val="auto"/>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ab/>
      </w:r>
      <w:bookmarkStart w:id="14" w:name="_Toc31993"/>
      <w:r>
        <w:rPr>
          <w:rFonts w:hint="eastAsia" w:ascii="宋体" w:hAnsi="宋体" w:eastAsia="宋体" w:cs="宋体"/>
          <w:b/>
          <w:bCs/>
          <w:color w:val="auto"/>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color w:val="auto"/>
          <w:spacing w:val="-1"/>
          <w:kern w:val="0"/>
          <w:sz w:val="24"/>
          <w:szCs w:val="24"/>
          <w:highlight w:val="none"/>
          <w:lang w:val="en-US" w:eastAsia="zh-CN" w:bidi="ar-SA"/>
        </w:rPr>
        <w:tab/>
      </w:r>
    </w:p>
    <w:p w14:paraId="6994F8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1. 采购人信息 </w:t>
      </w:r>
    </w:p>
    <w:p w14:paraId="45F95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名称：</w:t>
      </w:r>
      <w:r>
        <w:rPr>
          <w:rFonts w:hint="eastAsia" w:cs="宋体"/>
          <w:color w:val="auto"/>
          <w:spacing w:val="-1"/>
          <w:kern w:val="0"/>
          <w:sz w:val="24"/>
          <w:szCs w:val="24"/>
          <w:highlight w:val="none"/>
          <w:lang w:val="en-US" w:eastAsia="zh-CN" w:bidi="ar-SA"/>
        </w:rPr>
        <w:t>唐河县教育体育局</w:t>
      </w:r>
    </w:p>
    <w:p w14:paraId="5773ED8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w:t>
      </w:r>
      <w:r>
        <w:rPr>
          <w:rFonts w:hint="eastAsia" w:cs="宋体"/>
          <w:color w:val="auto"/>
          <w:spacing w:val="-1"/>
          <w:kern w:val="0"/>
          <w:sz w:val="24"/>
          <w:szCs w:val="24"/>
          <w:highlight w:val="none"/>
          <w:lang w:val="en-US" w:eastAsia="zh-CN" w:bidi="ar-SA"/>
        </w:rPr>
        <w:t xml:space="preserve">唐河县新华路与解放路交叉口 </w:t>
      </w:r>
    </w:p>
    <w:p w14:paraId="265174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杨先生  </w:t>
      </w:r>
    </w:p>
    <w:p w14:paraId="624382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联系方式：0377</w:t>
      </w:r>
      <w:r>
        <w:rPr>
          <w:rFonts w:hint="eastAsia" w:cs="宋体"/>
          <w:color w:val="auto"/>
          <w:spacing w:val="-1"/>
          <w:kern w:val="0"/>
          <w:sz w:val="24"/>
          <w:szCs w:val="24"/>
          <w:highlight w:val="none"/>
          <w:lang w:val="en-US" w:eastAsia="zh-CN" w:bidi="ar-SA"/>
        </w:rPr>
        <w:t>-</w:t>
      </w:r>
      <w:r>
        <w:rPr>
          <w:rFonts w:hint="eastAsia" w:ascii="宋体" w:hAnsi="宋体" w:eastAsia="宋体" w:cs="宋体"/>
          <w:color w:val="auto"/>
          <w:spacing w:val="-1"/>
          <w:kern w:val="0"/>
          <w:sz w:val="24"/>
          <w:szCs w:val="24"/>
          <w:highlight w:val="none"/>
          <w:lang w:val="en-US" w:eastAsia="zh-CN" w:bidi="ar-SA"/>
        </w:rPr>
        <w:t>68926369</w:t>
      </w:r>
      <w:r>
        <w:rPr>
          <w:rFonts w:hint="eastAsia" w:cs="宋体"/>
          <w:color w:val="auto"/>
          <w:spacing w:val="-1"/>
          <w:kern w:val="0"/>
          <w:sz w:val="24"/>
          <w:szCs w:val="24"/>
          <w:highlight w:val="none"/>
          <w:lang w:val="en-US" w:eastAsia="zh-CN" w:bidi="ar-SA"/>
        </w:rPr>
        <w:t xml:space="preserve"> </w:t>
      </w:r>
    </w:p>
    <w:p w14:paraId="795FDEE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地址：唐河县文峰街道飞凤路飞凤游园管理楼二楼</w:t>
      </w:r>
    </w:p>
    <w:p w14:paraId="1E6850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常</w:t>
      </w:r>
      <w:r>
        <w:rPr>
          <w:rFonts w:hint="eastAsia" w:ascii="宋体" w:hAnsi="宋体" w:eastAsia="宋体" w:cs="宋体"/>
          <w:color w:val="auto"/>
          <w:spacing w:val="-1"/>
          <w:kern w:val="0"/>
          <w:sz w:val="24"/>
          <w:szCs w:val="24"/>
          <w:highlight w:val="none"/>
          <w:lang w:val="en-US" w:eastAsia="zh-CN" w:bidi="ar-SA"/>
        </w:rPr>
        <w:t>女士</w:t>
      </w:r>
    </w:p>
    <w:p w14:paraId="212639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0377-60888961</w:t>
      </w:r>
    </w:p>
    <w:p w14:paraId="7B0C5E7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3.项目联系方式 </w:t>
      </w:r>
    </w:p>
    <w:p w14:paraId="48F4F9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项目联系人：</w:t>
      </w:r>
      <w:r>
        <w:rPr>
          <w:rFonts w:hint="eastAsia" w:cs="宋体"/>
          <w:color w:val="auto"/>
          <w:spacing w:val="-1"/>
          <w:kern w:val="0"/>
          <w:sz w:val="24"/>
          <w:szCs w:val="24"/>
          <w:highlight w:val="none"/>
          <w:lang w:val="en-US" w:eastAsia="zh-CN" w:bidi="ar-SA"/>
        </w:rPr>
        <w:t>常</w:t>
      </w:r>
      <w:r>
        <w:rPr>
          <w:rFonts w:hint="eastAsia" w:ascii="宋体" w:hAnsi="宋体" w:eastAsia="宋体" w:cs="宋体"/>
          <w:color w:val="auto"/>
          <w:spacing w:val="-1"/>
          <w:kern w:val="0"/>
          <w:sz w:val="24"/>
          <w:szCs w:val="24"/>
          <w:highlight w:val="none"/>
          <w:lang w:val="en-US" w:eastAsia="zh-CN" w:bidi="ar-SA"/>
        </w:rPr>
        <w:t xml:space="preserve">女士 </w:t>
      </w:r>
    </w:p>
    <w:p w14:paraId="26178C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0377-60888961</w:t>
      </w:r>
    </w:p>
    <w:p w14:paraId="72B1F5E8">
      <w:pPr>
        <w:pStyle w:val="23"/>
        <w:rPr>
          <w:rFonts w:hint="eastAsia"/>
          <w:color w:val="auto"/>
          <w:highlight w:val="none"/>
        </w:rPr>
      </w:pPr>
    </w:p>
    <w:p w14:paraId="5F24B4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6B87AA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583E64C4">
      <w:pPr>
        <w:pStyle w:val="15"/>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63826573">
      <w:pPr>
        <w:pStyle w:val="16"/>
        <w:rPr>
          <w:rFonts w:hint="eastAsia"/>
          <w:color w:val="auto"/>
          <w:highlight w:val="none"/>
        </w:rPr>
      </w:pPr>
    </w:p>
    <w:p w14:paraId="13FDD330">
      <w:pPr>
        <w:pStyle w:val="15"/>
        <w:rPr>
          <w:rFonts w:hint="eastAsia"/>
          <w:color w:val="auto"/>
          <w:highlight w:val="none"/>
        </w:rPr>
      </w:pPr>
    </w:p>
    <w:p w14:paraId="679C9FB7">
      <w:pPr>
        <w:pStyle w:val="16"/>
        <w:rPr>
          <w:rFonts w:hint="eastAsia"/>
          <w:color w:val="auto"/>
          <w:highlight w:val="none"/>
        </w:rPr>
      </w:pPr>
    </w:p>
    <w:p w14:paraId="7597FEC4">
      <w:pPr>
        <w:rPr>
          <w:rFonts w:hint="eastAsia"/>
          <w:color w:val="auto"/>
          <w:highlight w:val="none"/>
        </w:rPr>
      </w:pPr>
    </w:p>
    <w:p w14:paraId="0D5A2A1A">
      <w:pPr>
        <w:rPr>
          <w:rFonts w:hint="eastAsia"/>
          <w:color w:val="auto"/>
          <w:highlight w:val="none"/>
        </w:rPr>
      </w:pPr>
    </w:p>
    <w:p w14:paraId="22E7E65E">
      <w:pPr>
        <w:rPr>
          <w:rFonts w:hint="eastAsia"/>
          <w:color w:val="auto"/>
          <w:highlight w:val="none"/>
        </w:rPr>
      </w:pPr>
    </w:p>
    <w:p w14:paraId="1913DA02">
      <w:pPr>
        <w:rPr>
          <w:rFonts w:hint="eastAsia"/>
          <w:color w:val="auto"/>
          <w:highlight w:val="none"/>
        </w:rPr>
      </w:pPr>
    </w:p>
    <w:p w14:paraId="3FDE41C7">
      <w:pPr>
        <w:pStyle w:val="15"/>
        <w:rPr>
          <w:rFonts w:hint="eastAsia"/>
          <w:color w:val="auto"/>
          <w:highlight w:val="none"/>
        </w:rPr>
      </w:pPr>
    </w:p>
    <w:p w14:paraId="767B353B">
      <w:pPr>
        <w:pStyle w:val="16"/>
        <w:rPr>
          <w:rFonts w:hint="eastAsia"/>
        </w:rPr>
      </w:pPr>
      <w:bookmarkStart w:id="126" w:name="_GoBack"/>
      <w:bookmarkEnd w:id="126"/>
    </w:p>
    <w:p w14:paraId="2007D67C">
      <w:pPr>
        <w:pStyle w:val="16"/>
        <w:rPr>
          <w:rFonts w:hint="eastAsia"/>
          <w:color w:val="auto"/>
          <w:highlight w:val="none"/>
        </w:rPr>
      </w:pPr>
    </w:p>
    <w:p w14:paraId="4C14107D">
      <w:pPr>
        <w:rPr>
          <w:rFonts w:hint="eastAsia"/>
          <w:color w:val="auto"/>
          <w:highlight w:val="none"/>
        </w:rPr>
      </w:pPr>
    </w:p>
    <w:p w14:paraId="68763A87">
      <w:pPr>
        <w:pStyle w:val="16"/>
        <w:ind w:left="0" w:leftChars="0" w:firstLine="0" w:firstLineChars="0"/>
        <w:rPr>
          <w:rFonts w:hint="eastAsia"/>
          <w:color w:val="auto"/>
          <w:highlight w:val="none"/>
        </w:rPr>
      </w:pPr>
    </w:p>
    <w:p w14:paraId="4307369A">
      <w:pPr>
        <w:rPr>
          <w:rFonts w:hint="eastAsia"/>
        </w:rPr>
      </w:pPr>
    </w:p>
    <w:p w14:paraId="43C203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采购需求</w:t>
      </w:r>
      <w:bookmarkEnd w:id="15"/>
    </w:p>
    <w:p w14:paraId="2EDECD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bookmarkStart w:id="16" w:name="_Toc11121"/>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一、测试设备总体要求及服务内容</w:t>
      </w:r>
    </w:p>
    <w:p w14:paraId="5B741249">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1）智能化测试仪器需满足南阳市教育局要求的以下标准：一是考生入场时使用电子检录系统核对考生信息；二是保证单项测试成绩能够当场即时公示；三是每个单元考试结束后，成绩即时打印并反馈给考生，同时将汇总成绩反馈至学校；四是实行阳光考试，智能视频监控系统覆盖考试各环节。</w:t>
      </w:r>
    </w:p>
    <w:p w14:paraId="168C5A2D">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2）测试器材必须是经过国家体育用品质量监督检验中心检测合格的产品。测试器材必须能够存储和快速搜索查询各学校的所有学生的姓名、性别、班级及各项目的测试数据、测试日期和具体时间，所有数据从测试之日起存储时间不得少于半年，以便教体局验收、抽查、复核、监督。</w:t>
      </w:r>
    </w:p>
    <w:p w14:paraId="01ABD970">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（3）测试器材须使用无线智能仪器，测试器材配备数量必须满足现场测试需要。</w:t>
      </w:r>
    </w:p>
    <w:p w14:paraId="2ABD0E8D">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（4）测试器材必须使用内置电池和内置天线，现场测试杜绝使用交流电方式。</w:t>
      </w:r>
    </w:p>
    <w:p w14:paraId="10BFF139">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（5）提供学生体育中考测试器材的产品清单、配备数量及要求。</w:t>
      </w:r>
    </w:p>
    <w:p w14:paraId="012168BB">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（6）需满足规定时间内完成全县 1-2 万学生的体育中考测试需求的学生体育中考器材及服务人员。</w:t>
      </w:r>
    </w:p>
    <w:p w14:paraId="564250C1">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（7）中标方需在中标公示结束后 3 天内完成对接演示，若产生相关费用，均由中标方承担，若在规定时间内无法完成按虚假应标处理。</w:t>
      </w:r>
    </w:p>
    <w:p w14:paraId="06436C10">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（8）考试管理系统需与本地考试系统无缝对接，可实现数据直传。</w:t>
      </w:r>
    </w:p>
    <w:p w14:paraId="73A0A0DA">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商务要求</w:t>
      </w:r>
      <w:bookmarkEnd w:id="16"/>
    </w:p>
    <w:p w14:paraId="47B84708">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1.服务期限：自合同签订之日起至2026年唐河中招体育考试成绩上报结束止。</w:t>
      </w:r>
    </w:p>
    <w:p w14:paraId="4796946B">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 xml:space="preserve">2.付款方式：考试服务全部结束并经采购人验收合格后，按照合同约定一次性支付全部服务费用。  </w:t>
      </w:r>
    </w:p>
    <w:p w14:paraId="53A059E8">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3.服务质量：合格，符合国家现行服务规范要求标准；</w:t>
      </w:r>
    </w:p>
    <w:p w14:paraId="2731158C">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 xml:space="preserve">4.验收标准及方式： </w:t>
      </w:r>
    </w:p>
    <w:p w14:paraId="553B7EDC">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 xml:space="preserve">4.1 验收标准：中标人在验收活动中必须遵守采购人的有关规定。依照国家有关规定以及 </w:t>
      </w:r>
    </w:p>
    <w:p w14:paraId="0EA8F3C2">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 xml:space="preserve">竞争性磋商文件、响应文件、中标承诺和合同约定的标准等要求进行验收；经采购人完全确认 </w:t>
      </w:r>
    </w:p>
    <w:p w14:paraId="54D142E8">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 xml:space="preserve">后，完成验收。 </w:t>
      </w:r>
    </w:p>
    <w:p w14:paraId="3B86080D">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 xml:space="preserve">4.2 验收方式：现场验收。 </w:t>
      </w:r>
    </w:p>
    <w:p w14:paraId="7B99409F">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 xml:space="preserve">5.中标人必须承担总包责任，必须独立完成项目，不得以任何形式转包和分包，否则采购 </w:t>
      </w:r>
    </w:p>
    <w:p w14:paraId="6E4A6673">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人有权终止合同并追究中标人的责任。</w:t>
      </w:r>
    </w:p>
    <w:p w14:paraId="12CBB705">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color w:val="auto"/>
          <w:spacing w:val="-8"/>
          <w:sz w:val="24"/>
          <w:szCs w:val="24"/>
          <w:highlight w:val="none"/>
          <w:lang w:val="en-US" w:eastAsia="zh-CN"/>
        </w:rPr>
      </w:pPr>
    </w:p>
    <w:p w14:paraId="73E4212C">
      <w:pPr>
        <w:pStyle w:val="16"/>
        <w:rPr>
          <w:rFonts w:hint="eastAsia" w:asciiTheme="minorEastAsia" w:hAnsiTheme="minorEastAsia" w:eastAsiaTheme="minorEastAsia" w:cstheme="minorEastAsia"/>
          <w:color w:val="auto"/>
          <w:spacing w:val="-8"/>
          <w:sz w:val="24"/>
          <w:szCs w:val="24"/>
          <w:highlight w:val="none"/>
          <w:lang w:val="en-US" w:eastAsia="zh-CN"/>
        </w:rPr>
      </w:pPr>
    </w:p>
    <w:p w14:paraId="5A83E543">
      <w:pPr>
        <w:pStyle w:val="15"/>
        <w:ind w:left="0" w:leftChars="0" w:firstLine="0" w:firstLineChars="0"/>
        <w:rPr>
          <w:rFonts w:hint="eastAsia"/>
          <w:color w:val="auto"/>
          <w:highlight w:val="none"/>
        </w:rPr>
      </w:pPr>
    </w:p>
    <w:p w14:paraId="27B50E8A">
      <w:pPr>
        <w:pStyle w:val="16"/>
        <w:rPr>
          <w:rFonts w:hint="eastAsia"/>
        </w:rPr>
      </w:pPr>
    </w:p>
    <w:p w14:paraId="164918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bookmarkStart w:id="17" w:name="_Toc8690"/>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供应商须知</w:t>
      </w:r>
      <w:bookmarkEnd w:id="17"/>
    </w:p>
    <w:p w14:paraId="4C15C511">
      <w:pPr>
        <w:pStyle w:val="6"/>
        <w:keepNext w:val="0"/>
        <w:keepLines w:val="0"/>
        <w:pageBreakBefore w:val="0"/>
        <w:kinsoku/>
        <w:wordWrap w:val="0"/>
        <w:overflowPunct/>
        <w:topLinePunct w:val="0"/>
        <w:bidi w:val="0"/>
        <w:spacing w:line="220" w:lineRule="auto"/>
        <w:ind w:left="3861"/>
        <w:jc w:val="both"/>
        <w:rPr>
          <w:color w:val="auto"/>
          <w:spacing w:val="-1"/>
          <w:sz w:val="28"/>
          <w:szCs w:val="28"/>
          <w:highlight w:val="none"/>
          <w14:textOutline w14:w="1800" w14:cap="flat" w14:cmpd="sng">
            <w14:solidFill>
              <w14:srgbClr w14:val="000000"/>
            </w14:solidFill>
            <w14:prstDash w14:val="solid"/>
            <w14:miter w14:val="0"/>
          </w14:textOutline>
        </w:rPr>
      </w:pPr>
      <w:r>
        <w:rPr>
          <w:color w:val="auto"/>
          <w:spacing w:val="-1"/>
          <w:sz w:val="28"/>
          <w:szCs w:val="28"/>
          <w:highlight w:val="none"/>
          <w14:textOutline w14:w="1800" w14:cap="flat" w14:cmpd="sng">
            <w14:solidFill>
              <w14:srgbClr w14:val="000000"/>
            </w14:solidFill>
            <w14:prstDash w14:val="solid"/>
            <w14:miter w14:val="0"/>
          </w14:textOutline>
        </w:rPr>
        <w:t>供应商须知表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7"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3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服务</w:t>
            </w:r>
          </w:p>
          <w:p w14:paraId="087F1BF1">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9"/>
                <w:sz w:val="24"/>
                <w:szCs w:val="24"/>
                <w:highlight w:val="none"/>
              </w:rPr>
              <w:t>□货物</w:t>
            </w:r>
          </w:p>
          <w:p w14:paraId="7E9D5A60">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pacing w:val="19"/>
                <w:sz w:val="24"/>
                <w:szCs w:val="24"/>
                <w:highlight w:val="none"/>
                <w:lang w:val="en-US" w:eastAsia="zh-CN"/>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219D9924">
            <w:pPr>
              <w:pStyle w:val="3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rPr>
              <w:t>□是</w:t>
            </w:r>
          </w:p>
          <w:p w14:paraId="3F8FE870">
            <w:pPr>
              <w:pStyle w:val="3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不组织</w:t>
            </w:r>
          </w:p>
          <w:p w14:paraId="503FA75D">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□组织，考察时间：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5"/>
                <w:sz w:val="24"/>
                <w:szCs w:val="24"/>
                <w:highlight w:val="none"/>
              </w:rPr>
              <w:t>考察地点：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不召开</w:t>
            </w:r>
          </w:p>
          <w:p w14:paraId="11FD72C2">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□召开，召开时间：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shd w:val="clear"/>
                <w:lang w:val="en-US" w:eastAsia="zh-CN" w:bidi="ar-SA"/>
              </w:rPr>
              <w:t xml:space="preserve"> 其他未列明行业 </w:t>
            </w:r>
          </w:p>
          <w:p w14:paraId="797838D6">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
              </w:rPr>
              <w:t>□本项目小微企业价格折扣比例</w:t>
            </w:r>
            <w:r>
              <w:rPr>
                <w:rFonts w:hint="eastAsia" w:ascii="宋体" w:hAnsi="宋体" w:eastAsia="宋体" w:cs="宋体"/>
                <w:snapToGrid w:val="0"/>
                <w:color w:val="auto"/>
                <w:kern w:val="0"/>
                <w:sz w:val="24"/>
                <w:szCs w:val="24"/>
                <w:highlight w:val="none"/>
                <w:u w:val="single"/>
                <w:lang w:val="en-US" w:eastAsia="zh-CN" w:bidi="ar"/>
              </w:rPr>
              <w:t xml:space="preserve"> 20 </w:t>
            </w:r>
            <w:r>
              <w:rPr>
                <w:rFonts w:hint="eastAsia" w:ascii="宋体" w:hAnsi="宋体" w:eastAsia="宋体" w:cs="宋体"/>
                <w:snapToGrid w:val="0"/>
                <w:color w:val="auto"/>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3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磋商</w:t>
            </w:r>
            <w:r>
              <w:rPr>
                <w:rFonts w:hint="eastAsia" w:asciiTheme="minorEastAsia" w:hAnsiTheme="minorEastAsia" w:eastAsiaTheme="minorEastAsia" w:cstheme="minorEastAsia"/>
                <w:color w:val="auto"/>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磋商</w:t>
            </w:r>
            <w:r>
              <w:rPr>
                <w:rFonts w:hint="eastAsia" w:asciiTheme="minorEastAsia" w:hAnsiTheme="minorEastAsia" w:eastAsiaTheme="minorEastAsia" w:cstheme="minorEastAsia"/>
                <w:color w:val="auto"/>
                <w:spacing w:val="-7"/>
                <w:sz w:val="24"/>
                <w:szCs w:val="24"/>
                <w:highlight w:val="none"/>
              </w:rPr>
              <w:t>报价的特殊规定：</w:t>
            </w:r>
          </w:p>
          <w:p w14:paraId="517269F8">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无</w:t>
            </w:r>
          </w:p>
          <w:p w14:paraId="0BEECE92">
            <w:pPr>
              <w:pStyle w:val="3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□有，具体情形：。</w:t>
            </w:r>
          </w:p>
          <w:p w14:paraId="323E9708">
            <w:pPr>
              <w:pStyle w:val="3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2"/>
                <w:sz w:val="24"/>
                <w:szCs w:val="24"/>
                <w:highlight w:val="none"/>
                <w:u w:val="none"/>
                <w:lang w:val="en-US" w:eastAsia="zh-CN"/>
              </w:rPr>
              <w:t>小写：296153.00元    大写：贰拾玖万陆仟壹佰伍拾叁元整</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开标之日起</w:t>
            </w:r>
            <w:r>
              <w:rPr>
                <w:rFonts w:hint="eastAsia" w:asciiTheme="minorEastAsia" w:hAnsiTheme="minorEastAsia" w:eastAsiaTheme="minorEastAsia" w:cstheme="minorEastAsia"/>
                <w:color w:val="auto"/>
                <w:sz w:val="24"/>
                <w:szCs w:val="24"/>
                <w:highlight w:val="none"/>
                <w:lang w:eastAsia="zh-CN"/>
              </w:rPr>
              <w:t>60</w:t>
            </w:r>
            <w:r>
              <w:rPr>
                <w:rFonts w:hint="eastAsia" w:asciiTheme="minorEastAsia" w:hAnsiTheme="minorEastAsia" w:eastAsiaTheme="minorEastAsia" w:cstheme="minorEastAsia"/>
                <w:color w:val="auto"/>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上传</w:t>
            </w:r>
            <w:r>
              <w:rPr>
                <w:rFonts w:hint="eastAsia" w:asciiTheme="minorEastAsia" w:hAnsiTheme="minorEastAsia" w:eastAsiaTheme="minorEastAsia" w:cstheme="minorEastAsia"/>
                <w:color w:val="auto"/>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04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10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04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10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434F5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FD9B53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供应商资格要求（须同时满足）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68845B5">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同竞争性磋商公告</w:t>
            </w:r>
          </w:p>
        </w:tc>
      </w:tr>
      <w:tr w14:paraId="7DDA8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2A82B68">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743A48B">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本项目不收投标保证金。</w:t>
            </w:r>
          </w:p>
        </w:tc>
      </w:tr>
      <w:tr w14:paraId="2B639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CE9D979">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CC231CE">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本项目免收履约保证金。</w:t>
            </w:r>
          </w:p>
        </w:tc>
      </w:tr>
      <w:tr w14:paraId="58400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6E9BEB1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0BEC9D1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是否委托</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lang w:eastAsia="zh-CN"/>
              </w:rPr>
              <w:t>直接确定</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3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集中采购机构不收费</w:t>
            </w:r>
          </w:p>
          <w:p w14:paraId="4EF4FF49">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收费对象：</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29"/>
                <w:sz w:val="24"/>
                <w:szCs w:val="24"/>
                <w:highlight w:val="none"/>
                <w:lang w:val="en-US" w:eastAsia="zh-CN"/>
              </w:rPr>
              <w:t>采购人</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13"/>
                <w:sz w:val="24"/>
                <w:szCs w:val="24"/>
                <w:highlight w:val="none"/>
                <w:lang w:val="en-US" w:eastAsia="zh-CN"/>
              </w:rPr>
              <w:t>中标人</w:t>
            </w:r>
          </w:p>
          <w:p w14:paraId="0D4F037A">
            <w:pPr>
              <w:pStyle w:val="30"/>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val="en-US" w:eastAsia="zh-CN"/>
              </w:rPr>
              <w:t>收费标准：</w:t>
            </w:r>
            <w:r>
              <w:rPr>
                <w:rFonts w:hint="eastAsia" w:asciiTheme="minorEastAsia" w:hAnsiTheme="minorEastAsia" w:eastAsiaTheme="minorEastAsia" w:cstheme="minorEastAsia"/>
                <w:color w:val="auto"/>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color w:val="auto"/>
                <w:spacing w:val="0"/>
                <w:sz w:val="24"/>
                <w:szCs w:val="24"/>
                <w:highlight w:val="none"/>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13"/>
                <w:sz w:val="24"/>
                <w:szCs w:val="24"/>
                <w:highlight w:val="none"/>
                <w:lang w:val="en-US" w:eastAsia="zh-CN"/>
              </w:rPr>
            </w:pPr>
            <w:r>
              <w:rPr>
                <w:color w:val="auto"/>
                <w:spacing w:val="0"/>
                <w:sz w:val="24"/>
                <w:szCs w:val="24"/>
                <w:highlight w:val="none"/>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“招标人”与“采购人”，“投标人”与“供应商”按照同一意思理解。</w:t>
            </w:r>
          </w:p>
        </w:tc>
      </w:tr>
    </w:tbl>
    <w:p w14:paraId="31002BC0">
      <w:pPr>
        <w:pStyle w:val="6"/>
        <w:keepNext w:val="0"/>
        <w:keepLines w:val="0"/>
        <w:pageBreakBefore w:val="0"/>
        <w:kinsoku/>
        <w:wordWrap w:val="0"/>
        <w:overflowPunct/>
        <w:topLinePunct w:val="0"/>
        <w:bidi w:val="0"/>
        <w:spacing w:before="91" w:line="360" w:lineRule="auto"/>
        <w:ind w:left="3844"/>
        <w:jc w:val="both"/>
        <w:rPr>
          <w:color w:val="auto"/>
          <w:sz w:val="28"/>
          <w:szCs w:val="28"/>
          <w:highlight w:val="none"/>
        </w:rPr>
      </w:pPr>
      <w:bookmarkStart w:id="18" w:name="_Toc10621"/>
      <w:r>
        <w:rPr>
          <w:color w:val="auto"/>
          <w:spacing w:val="-1"/>
          <w:sz w:val="28"/>
          <w:szCs w:val="28"/>
          <w:highlight w:val="none"/>
          <w14:textOutline w14:w="1800" w14:cap="flat" w14:cmpd="sng">
            <w14:solidFill>
              <w14:srgbClr w14:val="000000"/>
            </w14:solidFill>
            <w14:prstDash w14:val="solid"/>
            <w14:miter w14:val="0"/>
          </w14:textOutline>
        </w:rPr>
        <w:t>供应商须知</w:t>
      </w:r>
    </w:p>
    <w:p w14:paraId="7FB6890D">
      <w:pPr>
        <w:pStyle w:val="6"/>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color w:val="auto"/>
          <w:spacing w:val="-1"/>
          <w:sz w:val="24"/>
          <w:szCs w:val="24"/>
          <w:highlight w:val="none"/>
        </w:rPr>
      </w:pPr>
      <w:bookmarkStart w:id="19" w:name="_Toc9525"/>
      <w:r>
        <w:rPr>
          <w:color w:val="auto"/>
          <w:spacing w:val="-10"/>
          <w:sz w:val="28"/>
          <w:szCs w:val="28"/>
          <w:highlight w:val="none"/>
          <w14:textOutline w14:w="1800" w14:cap="flat" w14:cmpd="sng">
            <w14:solidFill>
              <w14:srgbClr w14:val="000000"/>
            </w14:solidFill>
            <w14:prstDash w14:val="solid"/>
            <w14:miter w14:val="0"/>
          </w14:textOutline>
        </w:rPr>
        <w:t>一</w:t>
      </w:r>
      <w:r>
        <w:rPr>
          <w:rFonts w:hint="eastAsia"/>
          <w:color w:val="auto"/>
          <w:spacing w:val="5"/>
          <w:sz w:val="28"/>
          <w:szCs w:val="28"/>
          <w:highlight w:val="none"/>
          <w:lang w:eastAsia="zh-CN"/>
        </w:rPr>
        <w:t>、</w:t>
      </w:r>
      <w:r>
        <w:rPr>
          <w:color w:val="auto"/>
          <w:spacing w:val="-10"/>
          <w:sz w:val="28"/>
          <w:szCs w:val="28"/>
          <w:highlight w:val="none"/>
          <w14:textOutline w14:w="1800" w14:cap="flat" w14:cmpd="sng">
            <w14:solidFill>
              <w14:srgbClr w14:val="000000"/>
            </w14:solidFill>
            <w14:prstDash w14:val="solid"/>
            <w14:miter w14:val="0"/>
          </w14:textOutline>
        </w:rPr>
        <w:t>说明</w:t>
      </w:r>
      <w:bookmarkEnd w:id="19"/>
    </w:p>
    <w:p w14:paraId="01B0B9B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采购人、采购代理机构、</w:t>
      </w:r>
      <w:r>
        <w:rPr>
          <w:rFonts w:hint="eastAsia" w:asciiTheme="minorEastAsia" w:hAnsiTheme="minorEastAsia" w:eastAsiaTheme="minorEastAsia" w:cstheme="minorEastAsia"/>
          <w:b/>
          <w:bCs/>
          <w:color w:val="auto"/>
          <w:spacing w:val="-4"/>
          <w:sz w:val="24"/>
          <w:szCs w:val="24"/>
          <w:highlight w:val="none"/>
          <w:lang w:val="en-US" w:eastAsia="zh-CN"/>
        </w:rPr>
        <w:t>供应商</w:t>
      </w:r>
      <w:r>
        <w:rPr>
          <w:rFonts w:hint="eastAsia" w:asciiTheme="minorEastAsia" w:hAnsiTheme="minorEastAsia" w:eastAsiaTheme="minorEastAsia" w:cstheme="minorEastAsia"/>
          <w:b/>
          <w:bCs/>
          <w:color w:val="auto"/>
          <w:spacing w:val="-1"/>
          <w:sz w:val="24"/>
          <w:szCs w:val="24"/>
          <w:highlight w:val="none"/>
        </w:rPr>
        <w:t>、联合体</w:t>
      </w:r>
    </w:p>
    <w:p w14:paraId="7E633B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val="en-US" w:eastAsia="zh-CN"/>
        </w:rPr>
        <w:t>竞争性磋商公告</w:t>
      </w:r>
      <w:r>
        <w:rPr>
          <w:rFonts w:hint="eastAsia" w:asciiTheme="minorEastAsia" w:hAnsiTheme="minorEastAsia" w:eastAsiaTheme="minorEastAsia" w:cstheme="minorEastAsia"/>
          <w:color w:val="auto"/>
          <w:spacing w:val="2"/>
          <w:sz w:val="24"/>
          <w:szCs w:val="24"/>
          <w:highlight w:val="none"/>
        </w:rPr>
        <w:t>》。</w:t>
      </w:r>
    </w:p>
    <w:p w14:paraId="1FA8C7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供应商（也称申请人）：指向采购人</w:t>
      </w:r>
      <w:r>
        <w:rPr>
          <w:rFonts w:hint="eastAsia" w:asciiTheme="minorEastAsia" w:hAnsiTheme="minorEastAsia" w:eastAsiaTheme="minorEastAsia" w:cstheme="minorEastAsia"/>
          <w:color w:val="auto"/>
          <w:spacing w:val="2"/>
          <w:sz w:val="24"/>
          <w:szCs w:val="24"/>
          <w:highlight w:val="none"/>
          <w:lang w:val="en-US" w:eastAsia="zh-CN"/>
        </w:rPr>
        <w:t>提</w:t>
      </w:r>
      <w:r>
        <w:rPr>
          <w:rFonts w:hint="eastAsia" w:asciiTheme="minorEastAsia" w:hAnsiTheme="minorEastAsia" w:eastAsiaTheme="minorEastAsia" w:cstheme="minorEastAsia"/>
          <w:color w:val="auto"/>
          <w:spacing w:val="2"/>
          <w:sz w:val="24"/>
          <w:szCs w:val="24"/>
          <w:highlight w:val="none"/>
        </w:rPr>
        <w:t>供货物、工程或者服务的法人、其他组织或者自然人。</w:t>
      </w:r>
    </w:p>
    <w:p w14:paraId="73B646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联合体：指两个以上的自然人、法人或者其他组织组成一个联合体，以一个供应商的身份共同参加政府采购。</w:t>
      </w:r>
    </w:p>
    <w:p w14:paraId="2301C59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资金来源、项目属性、科研仪器设备采购</w:t>
      </w:r>
    </w:p>
    <w:p w14:paraId="2FB8DF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2.1</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w:t>
      </w:r>
      <w:r>
        <w:rPr>
          <w:rFonts w:hint="eastAsia" w:asciiTheme="minorEastAsia" w:hAnsiTheme="minorEastAsia" w:eastAsiaTheme="minorEastAsia" w:cstheme="minorEastAsia"/>
          <w:color w:val="auto"/>
          <w:spacing w:val="7"/>
          <w:sz w:val="24"/>
          <w:szCs w:val="24"/>
          <w:highlight w:val="none"/>
          <w:lang w:val="en-US" w:eastAsia="zh-CN"/>
        </w:rPr>
        <w:t>财政资金</w:t>
      </w:r>
      <w:r>
        <w:rPr>
          <w:rFonts w:hint="eastAsia" w:asciiTheme="minorEastAsia" w:hAnsiTheme="minorEastAsia" w:eastAsiaTheme="minorEastAsia" w:cstheme="minorEastAsia"/>
          <w:color w:val="auto"/>
          <w:spacing w:val="-9"/>
          <w:sz w:val="24"/>
          <w:szCs w:val="24"/>
          <w:highlight w:val="none"/>
        </w:rPr>
        <w:t>。</w:t>
      </w:r>
    </w:p>
    <w:p w14:paraId="57B8A1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项目属性见《</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lang w:eastAsia="zh-CN"/>
        </w:rPr>
        <w:t>须知表</w:t>
      </w:r>
      <w:r>
        <w:rPr>
          <w:rFonts w:hint="eastAsia" w:asciiTheme="minorEastAsia" w:hAnsiTheme="minorEastAsia" w:eastAsiaTheme="minorEastAsia" w:cstheme="minorEastAsia"/>
          <w:color w:val="auto"/>
          <w:spacing w:val="2"/>
          <w:sz w:val="24"/>
          <w:szCs w:val="24"/>
          <w:highlight w:val="none"/>
        </w:rPr>
        <w:t>》。</w:t>
      </w:r>
    </w:p>
    <w:p w14:paraId="44E86C5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是否属于科研仪器设备采购见《</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lang w:eastAsia="zh-CN"/>
        </w:rPr>
        <w:t>须知表</w:t>
      </w:r>
      <w:r>
        <w:rPr>
          <w:rFonts w:hint="eastAsia" w:asciiTheme="minorEastAsia" w:hAnsiTheme="minorEastAsia" w:eastAsiaTheme="minorEastAsia" w:cstheme="minorEastAsia"/>
          <w:color w:val="auto"/>
          <w:spacing w:val="2"/>
          <w:sz w:val="24"/>
          <w:szCs w:val="24"/>
          <w:highlight w:val="none"/>
        </w:rPr>
        <w:t>》。</w:t>
      </w:r>
    </w:p>
    <w:p w14:paraId="7964B6F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现场考察、开标前答疑会</w:t>
      </w:r>
    </w:p>
    <w:p w14:paraId="31800F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3.1</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若《</w:t>
      </w:r>
      <w:r>
        <w:rPr>
          <w:rFonts w:hint="eastAsia" w:asciiTheme="minorEastAsia" w:hAnsiTheme="minorEastAsia" w:eastAsiaTheme="minorEastAsia" w:cstheme="minorEastAsia"/>
          <w:color w:val="auto"/>
          <w:spacing w:val="3"/>
          <w:sz w:val="24"/>
          <w:szCs w:val="24"/>
          <w:highlight w:val="none"/>
          <w:lang w:val="en-US" w:eastAsia="zh-CN"/>
        </w:rPr>
        <w:t>供应商</w:t>
      </w:r>
      <w:r>
        <w:rPr>
          <w:rFonts w:hint="eastAsia" w:asciiTheme="minorEastAsia" w:hAnsiTheme="minorEastAsia" w:eastAsiaTheme="minorEastAsia" w:cstheme="minorEastAsia"/>
          <w:color w:val="auto"/>
          <w:spacing w:val="3"/>
          <w:sz w:val="24"/>
          <w:szCs w:val="24"/>
          <w:highlight w:val="none"/>
          <w:lang w:eastAsia="zh-CN"/>
        </w:rPr>
        <w:t>须知表</w:t>
      </w:r>
      <w:r>
        <w:rPr>
          <w:rFonts w:hint="eastAsia" w:asciiTheme="minorEastAsia" w:hAnsiTheme="minorEastAsia" w:eastAsiaTheme="minorEastAsia" w:cstheme="minorEastAsia"/>
          <w:color w:val="auto"/>
          <w:spacing w:val="3"/>
          <w:sz w:val="24"/>
          <w:szCs w:val="24"/>
          <w:highlight w:val="none"/>
        </w:rPr>
        <w:t>》中规定了组</w:t>
      </w:r>
      <w:r>
        <w:rPr>
          <w:rFonts w:hint="eastAsia" w:asciiTheme="minorEastAsia" w:hAnsiTheme="minorEastAsia" w:eastAsiaTheme="minorEastAsia" w:cstheme="minorEastAsia"/>
          <w:color w:val="auto"/>
          <w:spacing w:val="2"/>
          <w:sz w:val="24"/>
          <w:szCs w:val="24"/>
          <w:highlight w:val="none"/>
        </w:rPr>
        <w:t>织现场考察、召开</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前答疑会，则供应商</w:t>
      </w:r>
      <w:r>
        <w:rPr>
          <w:rFonts w:hint="eastAsia" w:asciiTheme="minorEastAsia" w:hAnsiTheme="minorEastAsia" w:eastAsiaTheme="minorEastAsia" w:cstheme="minorEastAsia"/>
          <w:color w:val="auto"/>
          <w:spacing w:val="-3"/>
          <w:sz w:val="24"/>
          <w:szCs w:val="24"/>
          <w:highlight w:val="none"/>
        </w:rPr>
        <w:t>应按要求在规定的时间和地点参加。</w:t>
      </w:r>
    </w:p>
    <w:p w14:paraId="027691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由于未参加现场考察或</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前答疑会而导致对项目实际情况不了解，影响</w:t>
      </w:r>
      <w:r>
        <w:rPr>
          <w:rFonts w:hint="eastAsia" w:asciiTheme="minorEastAsia" w:hAnsiTheme="minorEastAsia" w:eastAsiaTheme="minorEastAsia" w:cstheme="minorEastAsia"/>
          <w:color w:val="auto"/>
          <w:spacing w:val="2"/>
          <w:sz w:val="24"/>
          <w:szCs w:val="24"/>
          <w:highlight w:val="none"/>
          <w:lang w:val="en-US" w:eastAsia="zh-CN"/>
        </w:rPr>
        <w:t>响应</w:t>
      </w:r>
      <w:r>
        <w:rPr>
          <w:rFonts w:hint="eastAsia" w:asciiTheme="minorEastAsia" w:hAnsiTheme="minorEastAsia" w:eastAsiaTheme="minorEastAsia" w:cstheme="minorEastAsia"/>
          <w:color w:val="auto"/>
          <w:spacing w:val="2"/>
          <w:sz w:val="24"/>
          <w:szCs w:val="24"/>
          <w:highlight w:val="none"/>
        </w:rPr>
        <w:t>文件编制、</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报价准确性、综合因素响应不全面等问题的，由</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rPr>
        <w:t>自行承担不利评审后果。</w:t>
      </w:r>
    </w:p>
    <w:p w14:paraId="681E76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position w:val="17"/>
          <w:sz w:val="24"/>
          <w:szCs w:val="24"/>
          <w:highlight w:val="none"/>
          <w:lang w:val="en-US" w:eastAsia="zh-CN"/>
        </w:rPr>
        <w:t>4.</w:t>
      </w:r>
      <w:r>
        <w:rPr>
          <w:rFonts w:hint="eastAsia" w:asciiTheme="minorEastAsia" w:hAnsiTheme="minorEastAsia" w:eastAsiaTheme="minorEastAsia" w:cstheme="minorEastAsia"/>
          <w:b/>
          <w:bCs/>
          <w:color w:val="auto"/>
          <w:spacing w:val="-1"/>
          <w:position w:val="17"/>
          <w:sz w:val="24"/>
          <w:szCs w:val="24"/>
          <w:highlight w:val="none"/>
        </w:rPr>
        <w:t>政府采购政策（包括但不限于下列具体政策要求）</w:t>
      </w:r>
    </w:p>
    <w:p w14:paraId="7617F7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采购本国货物、工程和服务</w:t>
      </w:r>
    </w:p>
    <w:p w14:paraId="22F8139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政府采购应当采购本国货物、工程和服务。但有《中华人民共和国政府采购法》第十条规定情形的除外。</w:t>
      </w:r>
    </w:p>
    <w:p w14:paraId="43D90C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本项目如接受非本国货</w:t>
      </w:r>
      <w:r>
        <w:rPr>
          <w:rFonts w:hint="eastAsia" w:asciiTheme="minorEastAsia" w:hAnsiTheme="minorEastAsia" w:eastAsiaTheme="minorEastAsia" w:cstheme="minorEastAsia"/>
          <w:color w:val="auto"/>
          <w:spacing w:val="-5"/>
          <w:sz w:val="24"/>
          <w:szCs w:val="24"/>
          <w:highlight w:val="none"/>
        </w:rPr>
        <w:t>物、工程、服务参与</w:t>
      </w:r>
      <w:r>
        <w:rPr>
          <w:rFonts w:hint="eastAsia" w:asciiTheme="minorEastAsia" w:hAnsiTheme="minorEastAsia" w:eastAsiaTheme="minorEastAsia" w:cstheme="minorEastAsia"/>
          <w:color w:val="auto"/>
          <w:spacing w:val="-5"/>
          <w:sz w:val="24"/>
          <w:szCs w:val="24"/>
          <w:highlight w:val="none"/>
          <w:lang w:val="en-US" w:eastAsia="zh-CN"/>
        </w:rPr>
        <w:t>磋商</w:t>
      </w:r>
      <w:r>
        <w:rPr>
          <w:rFonts w:hint="eastAsia" w:asciiTheme="minorEastAsia" w:hAnsiTheme="minorEastAsia" w:eastAsiaTheme="minorEastAsia" w:cstheme="minorEastAsia"/>
          <w:color w:val="auto"/>
          <w:spacing w:val="-5"/>
          <w:sz w:val="24"/>
          <w:szCs w:val="24"/>
          <w:highlight w:val="none"/>
        </w:rPr>
        <w:t>，则具体要求见第</w:t>
      </w:r>
      <w:r>
        <w:rPr>
          <w:rFonts w:hint="eastAsia" w:asciiTheme="minorEastAsia" w:hAnsiTheme="minorEastAsia" w:eastAsiaTheme="minorEastAsia" w:cstheme="minorEastAsia"/>
          <w:color w:val="auto"/>
          <w:spacing w:val="-5"/>
          <w:sz w:val="24"/>
          <w:szCs w:val="24"/>
          <w:highlight w:val="none"/>
          <w:lang w:val="en-US" w:eastAsia="zh-CN"/>
        </w:rPr>
        <w:t>二</w:t>
      </w:r>
      <w:r>
        <w:rPr>
          <w:rFonts w:hint="eastAsia" w:asciiTheme="minorEastAsia" w:hAnsiTheme="minorEastAsia" w:eastAsiaTheme="minorEastAsia" w:cstheme="minorEastAsia"/>
          <w:color w:val="auto"/>
          <w:spacing w:val="-19"/>
          <w:sz w:val="24"/>
          <w:szCs w:val="24"/>
          <w:highlight w:val="none"/>
        </w:rPr>
        <w:t>章《采购需求》。</w:t>
      </w:r>
    </w:p>
    <w:p w14:paraId="01DD8EE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lang w:val="en-US" w:eastAsia="zh-CN"/>
        </w:rPr>
        <w:t>以及唐河县财政局的具体规定</w:t>
      </w:r>
      <w:r>
        <w:rPr>
          <w:rFonts w:hint="eastAsia" w:asciiTheme="minorEastAsia" w:hAnsiTheme="minorEastAsia" w:eastAsiaTheme="minorEastAsia" w:cstheme="minorEastAsia"/>
          <w:color w:val="auto"/>
          <w:spacing w:val="5"/>
          <w:sz w:val="24"/>
          <w:szCs w:val="24"/>
          <w:highlight w:val="none"/>
        </w:rPr>
        <w:t>。</w:t>
      </w:r>
    </w:p>
    <w:p w14:paraId="366C8F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中小企业、监狱企业及残疾人福利性单位</w:t>
      </w:r>
    </w:p>
    <w:p w14:paraId="1A06F0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中小企业定义：</w:t>
      </w:r>
    </w:p>
    <w:p w14:paraId="48041E9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HYPERLINK"5.2.1.1"</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.2.1.1</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val="en-US" w:eastAsia="zh-CN"/>
        </w:rPr>
        <w:t>执行</w:t>
      </w:r>
      <w:r>
        <w:rPr>
          <w:rFonts w:hint="eastAsia" w:asciiTheme="minorEastAsia" w:hAnsiTheme="minorEastAsia" w:eastAsiaTheme="minorEastAsia" w:cstheme="minorEastAsia"/>
          <w:color w:val="auto"/>
          <w:spacing w:val="-4"/>
          <w:sz w:val="24"/>
          <w:szCs w:val="24"/>
          <w:highlight w:val="none"/>
        </w:rPr>
        <w:t>。</w:t>
      </w:r>
    </w:p>
    <w:p w14:paraId="3A254E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HYPERLINK"5.2.1.2"</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.2.1.2</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供的货物、工程或者服务符合下列情形的，享受中小企业扶持政策：</w:t>
      </w:r>
    </w:p>
    <w:p w14:paraId="3E13DAE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35F4E0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16E48C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供服务的人员为中小企业依照《中华人民共和国劳动合同法》订立劳动合同的从业人员。</w:t>
      </w:r>
    </w:p>
    <w:p w14:paraId="3B2B181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HYPERLINK"5.2.1.3"</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.2.1.3</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在货物采购项目中，供应商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14:paraId="643518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HYPERLINK"5.2.1.4"</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.2.1.4</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602B48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val="en-US"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14:paraId="6508E7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14:paraId="7DA47E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HYPERLINK"5.2.3.1"</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安置的残疾人占本单位在职职工人数的比例不低于25%（含25%），并且安置的残疾人人数不少于10人（含10人）；</w:t>
      </w:r>
    </w:p>
    <w:p w14:paraId="064C9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HYPERLINK"5.2.3.2"</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依法与安置的每位残疾人签订了一年以上（含一年）的劳动合同或服务协议；</w:t>
      </w:r>
    </w:p>
    <w:p w14:paraId="5B1586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HYPERLINK"5.2.3.3"</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14:paraId="502138B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HYPERLINK"5.2.3.4"</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通过银行等金融机构向安置的每位残疾人，按月支付了不低于单位所在区县的月最低工资标准的工资；</w:t>
      </w:r>
    </w:p>
    <w:p w14:paraId="5CDD73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HYPERLINK"5.2.3.5"</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提</w:t>
      </w:r>
      <w:r>
        <w:rPr>
          <w:rFonts w:hint="eastAsia" w:asciiTheme="minorEastAsia" w:hAnsiTheme="minorEastAsia" w:eastAsiaTheme="minorEastAsia" w:cstheme="minorEastAsia"/>
          <w:color w:val="auto"/>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14:paraId="4AAB410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HYPERLINK"5.2.3.6"</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94FDE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val="en-US" w:eastAsia="zh-CN"/>
        </w:rPr>
        <w:t>竞争性磋商公告</w:t>
      </w:r>
      <w:r>
        <w:rPr>
          <w:rFonts w:hint="eastAsia" w:asciiTheme="minorEastAsia" w:hAnsiTheme="minorEastAsia" w:eastAsiaTheme="minorEastAsia" w:cstheme="minorEastAsia"/>
          <w:color w:val="auto"/>
          <w:spacing w:val="-8"/>
          <w:sz w:val="24"/>
          <w:szCs w:val="24"/>
          <w:highlight w:val="none"/>
        </w:rPr>
        <w:t>》。</w:t>
      </w:r>
    </w:p>
    <w:p w14:paraId="733C62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.2.5</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采购标的对应的中小企业划分标准所属行业见《</w:t>
      </w:r>
      <w:r>
        <w:rPr>
          <w:rFonts w:hint="eastAsia" w:asciiTheme="minorEastAsia" w:hAnsiTheme="minorEastAsia" w:eastAsiaTheme="minorEastAsia" w:cstheme="minorEastAsia"/>
          <w:color w:val="auto"/>
          <w:spacing w:val="-8"/>
          <w:sz w:val="24"/>
          <w:szCs w:val="24"/>
          <w:highlight w:val="none"/>
          <w:lang w:val="en-US" w:eastAsia="zh-CN"/>
        </w:rPr>
        <w:t>供应商</w:t>
      </w:r>
      <w:r>
        <w:rPr>
          <w:rFonts w:hint="eastAsia" w:asciiTheme="minorEastAsia" w:hAnsiTheme="minorEastAsia" w:eastAsiaTheme="minorEastAsia" w:cstheme="minorEastAsia"/>
          <w:color w:val="auto"/>
          <w:spacing w:val="-8"/>
          <w:sz w:val="24"/>
          <w:szCs w:val="24"/>
          <w:highlight w:val="none"/>
          <w:lang w:eastAsia="zh-CN"/>
        </w:rPr>
        <w:t>须知表</w:t>
      </w:r>
      <w:r>
        <w:rPr>
          <w:rFonts w:hint="eastAsia" w:asciiTheme="minorEastAsia" w:hAnsiTheme="minorEastAsia" w:eastAsiaTheme="minorEastAsia" w:cstheme="minorEastAsia"/>
          <w:color w:val="auto"/>
          <w:spacing w:val="-8"/>
          <w:sz w:val="24"/>
          <w:szCs w:val="24"/>
          <w:highlight w:val="none"/>
        </w:rPr>
        <w:t>》。</w:t>
      </w:r>
    </w:p>
    <w:p w14:paraId="7CE43E2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.2.6</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小微企业价格评审优惠的政策调整：见第四章《评</w:t>
      </w:r>
      <w:r>
        <w:rPr>
          <w:rFonts w:hint="eastAsia" w:asciiTheme="minorEastAsia" w:hAnsiTheme="minorEastAsia" w:eastAsiaTheme="minorEastAsia" w:cstheme="minorEastAsia"/>
          <w:color w:val="auto"/>
          <w:spacing w:val="-8"/>
          <w:sz w:val="24"/>
          <w:szCs w:val="24"/>
          <w:highlight w:val="none"/>
          <w:lang w:val="en-US" w:eastAsia="zh-CN"/>
        </w:rPr>
        <w:t>审</w:t>
      </w:r>
      <w:r>
        <w:rPr>
          <w:rFonts w:hint="eastAsia" w:asciiTheme="minorEastAsia" w:hAnsiTheme="minorEastAsia" w:eastAsiaTheme="minorEastAsia" w:cstheme="minorEastAsia"/>
          <w:color w:val="auto"/>
          <w:spacing w:val="-8"/>
          <w:sz w:val="24"/>
          <w:szCs w:val="24"/>
          <w:highlight w:val="none"/>
        </w:rPr>
        <w:t>程序、评审方法和评审标准》。</w:t>
      </w:r>
    </w:p>
    <w:p w14:paraId="2C778C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w:t>
      </w:r>
    </w:p>
    <w:p w14:paraId="421802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2AD80D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.3.2</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DC92B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rPr>
        <w:t>无效</w:t>
      </w:r>
      <w:r>
        <w:rPr>
          <w:rFonts w:hint="eastAsia" w:asciiTheme="minorEastAsia" w:hAnsiTheme="minorEastAsia" w:eastAsiaTheme="minorEastAsia" w:cstheme="minorEastAsia"/>
          <w:color w:val="auto"/>
          <w:spacing w:val="-8"/>
          <w:sz w:val="24"/>
          <w:szCs w:val="24"/>
          <w:highlight w:val="none"/>
          <w:lang w:val="en-US" w:eastAsia="zh-CN"/>
        </w:rPr>
        <w:t>；</w:t>
      </w:r>
    </w:p>
    <w:p w14:paraId="2EEE995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color w:val="auto"/>
          <w:spacing w:val="-8"/>
          <w:sz w:val="24"/>
          <w:szCs w:val="24"/>
          <w:highlight w:val="none"/>
          <w:lang w:val="en-US" w:eastAsia="zh-CN"/>
        </w:rPr>
        <w:t>审</w:t>
      </w:r>
      <w:r>
        <w:rPr>
          <w:rFonts w:hint="eastAsia" w:asciiTheme="minorEastAsia" w:hAnsiTheme="minorEastAsia" w:eastAsiaTheme="minorEastAsia" w:cstheme="minorEastAsia"/>
          <w:color w:val="auto"/>
          <w:spacing w:val="-8"/>
          <w:sz w:val="24"/>
          <w:szCs w:val="24"/>
          <w:highlight w:val="none"/>
        </w:rPr>
        <w:t>程序、评审方法和评审标准》。（如涉及）。</w:t>
      </w:r>
    </w:p>
    <w:p w14:paraId="208983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正版软件</w:t>
      </w:r>
    </w:p>
    <w:p w14:paraId="4B3C66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依据《财政部</w:t>
      </w:r>
      <w:r>
        <w:rPr>
          <w:rFonts w:hint="eastAsia" w:asciiTheme="minorEastAsia" w:hAnsiTheme="minorEastAsia" w:eastAsiaTheme="minorEastAsia" w:cstheme="minorEastAsia"/>
          <w:color w:val="auto"/>
          <w:spacing w:val="-8"/>
          <w:sz w:val="24"/>
          <w:szCs w:val="24"/>
          <w:highlight w:val="none"/>
          <w:lang w:eastAsia="zh-CN"/>
        </w:rPr>
        <w:t>、</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rPr>
        <w:t>无效。财政部、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14:paraId="416F439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.4.2</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14:paraId="1A32BAA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网络安全专用产品</w:t>
      </w:r>
    </w:p>
    <w:p w14:paraId="606C57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.5.1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color w:val="auto"/>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highlight w:val="none"/>
        </w:rPr>
        <w:t>公安部、国家认证认可监督管理委员会统一公布和更新</w:t>
      </w:r>
      <w:r>
        <w:rPr>
          <w:rFonts w:hint="eastAsia" w:asciiTheme="minorEastAsia" w:hAnsiTheme="minorEastAsia" w:eastAsiaTheme="minorEastAsia" w:cstheme="minorEastAsia"/>
          <w:color w:val="auto"/>
          <w:spacing w:val="-5"/>
          <w:sz w:val="24"/>
          <w:szCs w:val="24"/>
          <w:highlight w:val="none"/>
        </w:rPr>
        <w:t>的符合要求的</w:t>
      </w:r>
      <w:r>
        <w:rPr>
          <w:rFonts w:hint="eastAsia" w:asciiTheme="minorEastAsia" w:hAnsiTheme="minorEastAsia" w:eastAsiaTheme="minorEastAsia" w:cstheme="minorEastAsia"/>
          <w:color w:val="auto"/>
          <w:spacing w:val="-4"/>
          <w:sz w:val="24"/>
          <w:szCs w:val="24"/>
          <w:highlight w:val="none"/>
        </w:rPr>
        <w:t>网络关键设备和网络安全专用产品清单中。</w:t>
      </w:r>
    </w:p>
    <w:p w14:paraId="5B5A88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 xml:space="preserve">6 </w:t>
      </w:r>
      <w:r>
        <w:rPr>
          <w:rFonts w:hint="eastAsia" w:asciiTheme="minorEastAsia" w:hAnsiTheme="minorEastAsia" w:eastAsiaTheme="minorEastAsia" w:cstheme="minorEastAsia"/>
          <w:color w:val="auto"/>
          <w:spacing w:val="2"/>
          <w:sz w:val="24"/>
          <w:szCs w:val="24"/>
          <w:highlight w:val="none"/>
        </w:rPr>
        <w:t>采购需求标准</w:t>
      </w:r>
    </w:p>
    <w:p w14:paraId="7BC0D8F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章《采购需求》。</w:t>
      </w:r>
    </w:p>
    <w:p w14:paraId="1F560A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lang w:val="en-US" w:eastAsia="zh-CN"/>
        </w:rPr>
        <w:t>4</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val="en-US" w:eastAsia="zh-CN"/>
        </w:rPr>
        <w:t>6</w:t>
      </w:r>
      <w:r>
        <w:rPr>
          <w:rFonts w:hint="eastAsia" w:asciiTheme="minorEastAsia" w:hAnsiTheme="minorEastAsia" w:eastAsiaTheme="minorEastAsia" w:cstheme="minorEastAsia"/>
          <w:color w:val="auto"/>
          <w:spacing w:val="-12"/>
          <w:sz w:val="24"/>
          <w:szCs w:val="24"/>
          <w:highlight w:val="none"/>
        </w:rPr>
        <w:t>.2</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rPr>
        <w:t>绿色数据中心政府采购需求标准（试行）</w:t>
      </w:r>
    </w:p>
    <w:p w14:paraId="03C3231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rPr>
        <w:t>为加快数据中心绿色转型，根据财政部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生态环境部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4"/>
          <w:szCs w:val="24"/>
          <w:highlight w:val="none"/>
          <w:lang w:val="en-US" w:eastAsia="zh-CN"/>
        </w:rPr>
        <w:t>二</w:t>
      </w:r>
      <w:r>
        <w:rPr>
          <w:rFonts w:hint="eastAsia" w:asciiTheme="minorEastAsia" w:hAnsiTheme="minorEastAsia" w:eastAsiaTheme="minorEastAsia" w:cstheme="minorEastAsia"/>
          <w:color w:val="auto"/>
          <w:spacing w:val="-12"/>
          <w:sz w:val="24"/>
          <w:szCs w:val="24"/>
          <w:highlight w:val="none"/>
        </w:rPr>
        <w:t>章《采购需求》。</w:t>
      </w:r>
    </w:p>
    <w:p w14:paraId="659FC8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lang w:val="en-US" w:eastAsia="zh-CN"/>
        </w:rPr>
        <w:t>5.采购</w:t>
      </w:r>
      <w:r>
        <w:rPr>
          <w:rFonts w:hint="eastAsia" w:asciiTheme="minorEastAsia" w:hAnsiTheme="minorEastAsia" w:eastAsiaTheme="minorEastAsia" w:cstheme="minorEastAsia"/>
          <w:b w:val="0"/>
          <w:bCs w:val="0"/>
          <w:color w:val="auto"/>
          <w:spacing w:val="-2"/>
          <w:sz w:val="24"/>
          <w:szCs w:val="24"/>
          <w:highlight w:val="none"/>
        </w:rPr>
        <w:t>费用</w:t>
      </w:r>
    </w:p>
    <w:p w14:paraId="0EEFDA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4"/>
          <w:sz w:val="24"/>
          <w:szCs w:val="24"/>
          <w:highlight w:val="none"/>
        </w:rPr>
        <w:t>应自行承担所有与准备和参加</w:t>
      </w:r>
      <w:r>
        <w:rPr>
          <w:rFonts w:hint="eastAsia" w:asciiTheme="minorEastAsia" w:hAnsiTheme="minorEastAsia" w:eastAsiaTheme="minorEastAsia" w:cstheme="minorEastAsia"/>
          <w:color w:val="auto"/>
          <w:spacing w:val="-4"/>
          <w:sz w:val="24"/>
          <w:szCs w:val="24"/>
          <w:highlight w:val="none"/>
          <w:lang w:val="en-US" w:eastAsia="zh-CN"/>
        </w:rPr>
        <w:t>本次采购</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val="en-US" w:eastAsia="zh-CN"/>
        </w:rPr>
        <w:t>磋商</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14:paraId="50C38F1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6.采购范围及适用法律</w:t>
      </w:r>
    </w:p>
    <w:p w14:paraId="27E9D7C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298A0F7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591E46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w:t>
      </w:r>
    </w:p>
    <w:p w14:paraId="3CC9A83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6.4 “服务”指采购文件中规定的供应商应承担的服务内容。</w:t>
      </w:r>
    </w:p>
    <w:p w14:paraId="54B9A701">
      <w:pPr>
        <w:pStyle w:val="6"/>
        <w:keepNext w:val="0"/>
        <w:keepLines w:val="0"/>
        <w:pageBreakBefore w:val="0"/>
        <w:kinsoku/>
        <w:wordWrap w:val="0"/>
        <w:overflowPunct/>
        <w:topLinePunct w:val="0"/>
        <w:bidi w:val="0"/>
        <w:spacing w:before="91" w:line="360" w:lineRule="auto"/>
        <w:jc w:val="both"/>
        <w:outlineLvl w:val="1"/>
        <w:rPr>
          <w:rFonts w:hint="eastAsia"/>
          <w:color w:val="auto"/>
          <w:sz w:val="24"/>
          <w:szCs w:val="24"/>
          <w:highlight w:val="none"/>
          <w:lang w:val="en-US" w:eastAsia="zh-CN"/>
        </w:rPr>
      </w:pPr>
      <w:bookmarkStart w:id="20" w:name="_Toc11788"/>
      <w:r>
        <w:rPr>
          <w:color w:val="auto"/>
          <w:spacing w:val="-1"/>
          <w:sz w:val="28"/>
          <w:szCs w:val="28"/>
          <w:highlight w:val="none"/>
          <w14:textOutline w14:w="1800" w14:cap="flat" w14:cmpd="sng">
            <w14:solidFill>
              <w14:srgbClr w14:val="000000"/>
            </w14:solidFill>
            <w14:prstDash w14:val="solid"/>
            <w14:miter w14:val="0"/>
          </w14:textOutline>
        </w:rPr>
        <w:t>二</w:t>
      </w:r>
      <w:r>
        <w:rPr>
          <w:rFonts w:hint="eastAsia"/>
          <w:color w:val="auto"/>
          <w:spacing w:val="-1"/>
          <w:sz w:val="28"/>
          <w:szCs w:val="28"/>
          <w:highlight w:val="none"/>
          <w:lang w:eastAsia="zh-CN"/>
        </w:rPr>
        <w:t>、</w:t>
      </w:r>
      <w:r>
        <w:rPr>
          <w:color w:val="auto"/>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73EE3E2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color w:val="auto"/>
          <w:sz w:val="24"/>
          <w:szCs w:val="24"/>
          <w:highlight w:val="none"/>
        </w:rPr>
      </w:pPr>
      <w:r>
        <w:rPr>
          <w:rFonts w:hint="eastAsia"/>
          <w:b/>
          <w:bCs/>
          <w:color w:val="auto"/>
          <w:sz w:val="24"/>
          <w:szCs w:val="24"/>
          <w:highlight w:val="none"/>
          <w:lang w:val="en-US" w:eastAsia="zh-CN"/>
        </w:rPr>
        <w:t>7.</w:t>
      </w:r>
      <w:r>
        <w:rPr>
          <w:b/>
          <w:bCs/>
          <w:color w:val="auto"/>
          <w:sz w:val="24"/>
          <w:szCs w:val="24"/>
          <w:highlight w:val="none"/>
        </w:rPr>
        <w:t>竞争性磋商文件构成</w:t>
      </w:r>
    </w:p>
    <w:p w14:paraId="722FCCE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rFonts w:hint="eastAsia"/>
          <w:color w:val="auto"/>
          <w:spacing w:val="-1"/>
          <w:sz w:val="24"/>
          <w:szCs w:val="24"/>
          <w:highlight w:val="none"/>
          <w:lang w:val="en-US" w:eastAsia="zh-CN"/>
        </w:rPr>
        <w:t>7</w:t>
      </w:r>
      <w:r>
        <w:rPr>
          <w:color w:val="auto"/>
          <w:spacing w:val="-1"/>
          <w:sz w:val="24"/>
          <w:szCs w:val="24"/>
          <w:highlight w:val="none"/>
        </w:rPr>
        <w:t>.1</w:t>
      </w:r>
      <w:r>
        <w:rPr>
          <w:rFonts w:hint="eastAsia"/>
          <w:color w:val="auto"/>
          <w:spacing w:val="-1"/>
          <w:sz w:val="24"/>
          <w:szCs w:val="24"/>
          <w:highlight w:val="none"/>
          <w:lang w:val="en-US" w:eastAsia="zh-CN"/>
        </w:rPr>
        <w:t xml:space="preserve"> </w:t>
      </w:r>
      <w:r>
        <w:rPr>
          <w:color w:val="auto"/>
          <w:spacing w:val="-1"/>
          <w:sz w:val="24"/>
          <w:szCs w:val="24"/>
          <w:highlight w:val="none"/>
        </w:rPr>
        <w:t>竞争性磋商文件包括以下部分：</w:t>
      </w:r>
    </w:p>
    <w:p w14:paraId="27FDF99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fldChar w:fldCharType="begin"/>
      </w:r>
      <w:r>
        <w:rPr>
          <w:color w:val="auto"/>
          <w:spacing w:val="-1"/>
          <w:sz w:val="24"/>
          <w:szCs w:val="24"/>
          <w:highlight w:val="none"/>
        </w:rPr>
        <w:instrText xml:space="preserve">HYPERLINK\l"bookmark1"</w:instrText>
      </w:r>
      <w:r>
        <w:rPr>
          <w:color w:val="auto"/>
          <w:spacing w:val="-1"/>
          <w:sz w:val="24"/>
          <w:szCs w:val="24"/>
          <w:highlight w:val="none"/>
        </w:rPr>
        <w:fldChar w:fldCharType="separate"/>
      </w:r>
      <w:r>
        <w:rPr>
          <w:color w:val="auto"/>
          <w:spacing w:val="-1"/>
          <w:sz w:val="24"/>
          <w:szCs w:val="24"/>
          <w:highlight w:val="none"/>
        </w:rPr>
        <w:t>第一章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竞争性磋商公告</w:t>
      </w:r>
      <w:r>
        <w:rPr>
          <w:color w:val="auto"/>
          <w:spacing w:val="-1"/>
          <w:sz w:val="24"/>
          <w:szCs w:val="24"/>
          <w:highlight w:val="none"/>
        </w:rPr>
        <w:fldChar w:fldCharType="end"/>
      </w:r>
    </w:p>
    <w:p w14:paraId="5083BD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第二章</w:t>
      </w:r>
      <w:r>
        <w:rPr>
          <w:rFonts w:hint="eastAsia"/>
          <w:color w:val="auto"/>
          <w:spacing w:val="-1"/>
          <w:sz w:val="24"/>
          <w:szCs w:val="24"/>
          <w:highlight w:val="none"/>
          <w:lang w:val="en-US" w:eastAsia="zh-CN"/>
        </w:rPr>
        <w:t xml:space="preserve"> </w:t>
      </w:r>
      <w:r>
        <w:rPr>
          <w:color w:val="auto"/>
          <w:spacing w:val="-1"/>
          <w:sz w:val="24"/>
          <w:szCs w:val="24"/>
          <w:highlight w:val="none"/>
        </w:rPr>
        <w:t>采购需求</w:t>
      </w:r>
    </w:p>
    <w:p w14:paraId="65C5FD7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第三章</w:t>
      </w:r>
      <w:r>
        <w:rPr>
          <w:rFonts w:hint="eastAsia"/>
          <w:color w:val="auto"/>
          <w:spacing w:val="-1"/>
          <w:sz w:val="24"/>
          <w:szCs w:val="24"/>
          <w:highlight w:val="none"/>
          <w:lang w:val="en-US" w:eastAsia="zh-CN"/>
        </w:rPr>
        <w:t xml:space="preserve"> </w:t>
      </w:r>
      <w:r>
        <w:rPr>
          <w:color w:val="auto"/>
          <w:spacing w:val="-1"/>
          <w:sz w:val="24"/>
          <w:szCs w:val="24"/>
          <w:highlight w:val="none"/>
        </w:rPr>
        <w:t>供应商须知</w:t>
      </w:r>
    </w:p>
    <w:p w14:paraId="48F232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第四章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rPr>
        <w:t>评</w:t>
      </w:r>
      <w:r>
        <w:rPr>
          <w:rFonts w:hint="eastAsia"/>
          <w:color w:val="auto"/>
          <w:spacing w:val="-1"/>
          <w:sz w:val="24"/>
          <w:szCs w:val="24"/>
          <w:highlight w:val="none"/>
          <w:lang w:val="en-US" w:eastAsia="zh-CN"/>
        </w:rPr>
        <w:t>审</w:t>
      </w:r>
      <w:r>
        <w:rPr>
          <w:rFonts w:hint="eastAsia"/>
          <w:color w:val="auto"/>
          <w:spacing w:val="-1"/>
          <w:sz w:val="24"/>
          <w:szCs w:val="24"/>
          <w:highlight w:val="none"/>
        </w:rPr>
        <w:t>程序、</w:t>
      </w:r>
      <w:r>
        <w:rPr>
          <w:color w:val="auto"/>
          <w:spacing w:val="-1"/>
          <w:sz w:val="24"/>
          <w:szCs w:val="24"/>
          <w:highlight w:val="none"/>
        </w:rPr>
        <w:t>评审方法和评审标准</w:t>
      </w:r>
    </w:p>
    <w:p w14:paraId="347035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第五章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政府采购合同（草案）</w:t>
      </w:r>
    </w:p>
    <w:p w14:paraId="702083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第六章</w:t>
      </w:r>
      <w:r>
        <w:rPr>
          <w:rFonts w:hint="eastAsia"/>
          <w:color w:val="auto"/>
          <w:spacing w:val="-1"/>
          <w:sz w:val="24"/>
          <w:szCs w:val="24"/>
          <w:highlight w:val="none"/>
          <w:lang w:val="en-US" w:eastAsia="zh-CN"/>
        </w:rPr>
        <w:t xml:space="preserve"> </w:t>
      </w:r>
      <w:r>
        <w:rPr>
          <w:color w:val="auto"/>
          <w:spacing w:val="-1"/>
          <w:sz w:val="24"/>
          <w:szCs w:val="24"/>
          <w:highlight w:val="none"/>
        </w:rPr>
        <w:t>响应文件格式</w:t>
      </w:r>
    </w:p>
    <w:p w14:paraId="17E30F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6748C68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8.对竞争性磋商文件的澄清或修改</w:t>
      </w:r>
    </w:p>
    <w:p w14:paraId="49F202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8.1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9EFC40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8.2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可以酌情延长上传截止时间，并将此变更以公告形式通知所有竞争性磋商文件收受人。</w:t>
      </w:r>
    </w:p>
    <w:p w14:paraId="2DF628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color w:val="auto"/>
          <w:spacing w:val="-8"/>
          <w:sz w:val="24"/>
          <w:szCs w:val="24"/>
          <w:highlight w:val="none"/>
          <w:lang w:val="en-US" w:eastAsia="zh-CN"/>
        </w:rPr>
        <w:t>（必须在原公告发布媒体上发布公告）</w:t>
      </w:r>
      <w:r>
        <w:rPr>
          <w:rFonts w:hint="eastAsia"/>
          <w:color w:val="auto"/>
          <w:spacing w:val="-1"/>
          <w:sz w:val="24"/>
          <w:szCs w:val="24"/>
          <w:highlight w:val="none"/>
          <w:lang w:val="en-US" w:eastAsia="zh-CN"/>
        </w:rPr>
        <w:t>通知所有获取磋商文件的供应商；不足5日的，将顺延上传响应文件截止时间。</w:t>
      </w:r>
    </w:p>
    <w:p w14:paraId="7075CFC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color w:val="auto"/>
          <w:spacing w:val="-8"/>
          <w:sz w:val="24"/>
          <w:szCs w:val="24"/>
          <w:highlight w:val="none"/>
          <w:lang w:val="en-US" w:eastAsia="zh-CN"/>
        </w:rPr>
        <w:t>采购人或采购代理机构</w:t>
      </w:r>
      <w:r>
        <w:rPr>
          <w:rFonts w:hint="eastAsia"/>
          <w:b/>
          <w:bCs/>
          <w:color w:val="auto"/>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13775A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color w:val="auto"/>
          <w:sz w:val="24"/>
          <w:szCs w:val="24"/>
          <w:highlight w:val="none"/>
        </w:rPr>
      </w:pPr>
      <w:r>
        <w:rPr>
          <w:rFonts w:hint="eastAsia" w:asciiTheme="minorEastAsia" w:hAnsiTheme="minorEastAsia" w:eastAsiaTheme="minorEastAsia" w:cstheme="minorEastAsia"/>
          <w:b/>
          <w:bCs/>
          <w:color w:val="auto"/>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3140CFB8">
      <w:pPr>
        <w:pStyle w:val="6"/>
        <w:keepNext w:val="0"/>
        <w:keepLines w:val="0"/>
        <w:pageBreakBefore w:val="0"/>
        <w:kinsoku/>
        <w:wordWrap w:val="0"/>
        <w:overflowPunct/>
        <w:topLinePunct w:val="0"/>
        <w:bidi w:val="0"/>
        <w:spacing w:before="91" w:line="360" w:lineRule="auto"/>
        <w:jc w:val="both"/>
        <w:outlineLvl w:val="1"/>
        <w:rPr>
          <w:rFonts w:hint="eastAsia" w:ascii="Arial" w:hAnsi="Arial" w:eastAsia="宋体" w:cs="Arial"/>
          <w:color w:val="auto"/>
          <w:sz w:val="24"/>
          <w:szCs w:val="24"/>
          <w:highlight w:val="none"/>
          <w:lang w:val="en-US" w:eastAsia="zh-CN"/>
        </w:rPr>
      </w:pPr>
      <w:bookmarkStart w:id="21" w:name="_Toc18131"/>
      <w:r>
        <w:rPr>
          <w:color w:val="auto"/>
          <w:spacing w:val="-4"/>
          <w:sz w:val="28"/>
          <w:szCs w:val="28"/>
          <w:highlight w:val="none"/>
          <w14:textOutline w14:w="1800" w14:cap="flat" w14:cmpd="sng">
            <w14:solidFill>
              <w14:srgbClr w14:val="000000"/>
            </w14:solidFill>
            <w14:prstDash w14:val="solid"/>
            <w14:miter w14:val="0"/>
          </w14:textOutline>
        </w:rPr>
        <w:t>三</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6148CD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9.响应范围、竞争性磋商文件中计量单位的使用及磋商语言</w:t>
      </w:r>
    </w:p>
    <w:p w14:paraId="103114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69838BA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9.2 除竞争性磋商文件有特殊要求外，本项目磋商所使用的计量单位，应采用中华人民共和国法定计量单位。</w:t>
      </w:r>
    </w:p>
    <w:p w14:paraId="1C9D35D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31E8D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10.响应文件构成</w:t>
      </w:r>
    </w:p>
    <w:p w14:paraId="5D216B1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2ECAF1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3553493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10.3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color w:val="auto"/>
          <w:sz w:val="24"/>
          <w:szCs w:val="24"/>
          <w:highlight w:val="none"/>
          <w:lang w:val="en-US" w:eastAsia="zh-CN"/>
        </w:rPr>
        <w:t>根据磋商文件中规定的下载平台要求，</w:t>
      </w:r>
      <w:r>
        <w:rPr>
          <w:rFonts w:hint="eastAsia" w:asciiTheme="minorEastAsia" w:hAnsiTheme="minorEastAsia" w:eastAsiaTheme="minorEastAsia" w:cstheme="minorEastAsia"/>
          <w:color w:val="auto"/>
          <w:sz w:val="24"/>
          <w:szCs w:val="24"/>
          <w:highlight w:val="none"/>
          <w:lang w:eastAsia="zh-CN"/>
        </w:rPr>
        <w:t>具体详见《投标文件制作工具操作手册》。</w:t>
      </w:r>
      <w:r>
        <w:rPr>
          <w:rFonts w:hint="eastAsia" w:asciiTheme="minorEastAsia" w:hAnsiTheme="minorEastAsia" w:eastAsiaTheme="minorEastAsia" w:cstheme="minorEastAsia"/>
          <w:b/>
          <w:bCs/>
          <w:color w:val="auto"/>
          <w:sz w:val="24"/>
          <w:szCs w:val="24"/>
          <w:highlight w:val="none"/>
          <w:lang w:eastAsia="zh-CN"/>
        </w:rPr>
        <w:t>否则，被视为无效</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lang w:eastAsia="zh-CN"/>
        </w:rPr>
        <w:t>文件，将被平台系统拒绝。</w:t>
      </w:r>
    </w:p>
    <w:p w14:paraId="33D4F75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 </w:t>
      </w:r>
      <w:r>
        <w:rPr>
          <w:rFonts w:hint="eastAsia" w:asciiTheme="minorEastAsia" w:hAnsiTheme="minorEastAsia" w:eastAsiaTheme="minorEastAsia" w:cstheme="minorEastAsia"/>
          <w:color w:val="auto"/>
          <w:sz w:val="24"/>
          <w:szCs w:val="24"/>
          <w:highlight w:val="none"/>
        </w:rPr>
        <w:t>第四章《</w:t>
      </w:r>
      <w:r>
        <w:rPr>
          <w:rFonts w:hint="eastAsia"/>
          <w:color w:val="auto"/>
          <w:spacing w:val="-1"/>
          <w:sz w:val="24"/>
          <w:szCs w:val="24"/>
          <w:highlight w:val="none"/>
        </w:rPr>
        <w:t>评</w:t>
      </w:r>
      <w:r>
        <w:rPr>
          <w:rFonts w:hint="eastAsia"/>
          <w:color w:val="auto"/>
          <w:spacing w:val="-1"/>
          <w:sz w:val="24"/>
          <w:szCs w:val="24"/>
          <w:highlight w:val="none"/>
          <w:lang w:val="en-US" w:eastAsia="zh-CN"/>
        </w:rPr>
        <w:t>审</w:t>
      </w:r>
      <w:r>
        <w:rPr>
          <w:rFonts w:hint="eastAsia"/>
          <w:color w:val="auto"/>
          <w:spacing w:val="-1"/>
          <w:sz w:val="24"/>
          <w:szCs w:val="24"/>
          <w:highlight w:val="none"/>
        </w:rPr>
        <w:t>程序、</w:t>
      </w:r>
      <w:r>
        <w:rPr>
          <w:color w:val="auto"/>
          <w:spacing w:val="-1"/>
          <w:sz w:val="24"/>
          <w:szCs w:val="24"/>
          <w:highlight w:val="none"/>
        </w:rPr>
        <w:t>评审方法和评审标准</w:t>
      </w:r>
      <w:r>
        <w:rPr>
          <w:rFonts w:hint="eastAsia" w:asciiTheme="minorEastAsia" w:hAnsiTheme="minorEastAsia" w:eastAsiaTheme="minorEastAsia" w:cstheme="minorEastAsia"/>
          <w:color w:val="auto"/>
          <w:sz w:val="24"/>
          <w:szCs w:val="24"/>
          <w:highlight w:val="none"/>
        </w:rPr>
        <w:t>》中涉及的证明文件。</w:t>
      </w:r>
    </w:p>
    <w:p w14:paraId="561A65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供货物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或工程</w:t>
      </w:r>
      <w:r>
        <w:rPr>
          <w:rFonts w:hint="eastAsia" w:asciiTheme="minorEastAsia" w:hAnsiTheme="minorEastAsia" w:eastAsiaTheme="minorEastAsia" w:cstheme="minorEastAsia"/>
          <w:color w:val="auto"/>
          <w:sz w:val="24"/>
          <w:szCs w:val="24"/>
          <w:highlight w:val="none"/>
        </w:rPr>
        <w:t>已对第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供证明文件的，</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rPr>
        <w:t>应当按具体要求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w:t>
      </w:r>
    </w:p>
    <w:p w14:paraId="3702BB9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10.6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编制响应文件时，涉及营业执照、资质、业绩、财务、社保、纳税及各类证书、报告等内容，必须是原件的扫描件。</w:t>
      </w:r>
    </w:p>
    <w:p w14:paraId="5803A2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10.7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认为应附的其他材料。</w:t>
      </w:r>
    </w:p>
    <w:p w14:paraId="6E00250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11.报价</w:t>
      </w:r>
    </w:p>
    <w:p w14:paraId="12C2E3F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 xml:space="preserve"> 报价</w:t>
      </w:r>
      <w:r>
        <w:rPr>
          <w:rFonts w:hint="eastAsia" w:asciiTheme="minorEastAsia" w:hAnsiTheme="minorEastAsia" w:eastAsiaTheme="minorEastAsia" w:cstheme="minorEastAsia"/>
          <w:color w:val="auto"/>
          <w:sz w:val="24"/>
          <w:szCs w:val="24"/>
          <w:highlight w:val="none"/>
        </w:rPr>
        <w:t>均以人民币报价。</w:t>
      </w:r>
    </w:p>
    <w:p w14:paraId="151DCA9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的报价应包括但不限于下列内容，</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中有特殊规定的，从其规定。</w:t>
      </w:r>
    </w:p>
    <w:p w14:paraId="442173B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1 </w:t>
      </w: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stheme="minorEastAsia"/>
          <w:color w:val="auto"/>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229396F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服务项目</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文件要求完成本项目的全部相关费用。</w:t>
      </w:r>
    </w:p>
    <w:p w14:paraId="6455AA4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采购人不得向供应商索要或者接受其给予的赠品、回扣或者与采购无关的其他商品、服务。</w:t>
      </w:r>
    </w:p>
    <w:p w14:paraId="10A620F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竞争性磋商</w:t>
      </w:r>
      <w:r>
        <w:rPr>
          <w:rFonts w:hint="eastAsia" w:asciiTheme="minorEastAsia" w:hAnsiTheme="minorEastAsia" w:eastAsiaTheme="minorEastAsia" w:cstheme="minorEastAsia"/>
          <w:color w:val="auto"/>
          <w:sz w:val="24"/>
          <w:szCs w:val="24"/>
          <w:highlight w:val="none"/>
        </w:rPr>
        <w:t>文件另有规定的除外），否则其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无效。</w:t>
      </w:r>
    </w:p>
    <w:p w14:paraId="5D94B8E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4EBA5F8F">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11.6 磋商结束，供应商进行网上最终报价。</w:t>
      </w:r>
    </w:p>
    <w:p w14:paraId="2C4D129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11.7 本次采购设有预算，供应商最终报价超过预算的，磋商小组将不予评议。</w:t>
      </w:r>
    </w:p>
    <w:p w14:paraId="1F2C0D0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11.8 供应商的所有报价不得低于成本恶意竞争。</w:t>
      </w:r>
    </w:p>
    <w:p w14:paraId="38C08C61">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12.响应有效期</w:t>
      </w:r>
    </w:p>
    <w:p w14:paraId="51575E08">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5783AF8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CAD594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13.响应</w:t>
      </w:r>
      <w:r>
        <w:rPr>
          <w:rFonts w:hint="eastAsia" w:asciiTheme="minorEastAsia" w:hAnsiTheme="minorEastAsia" w:eastAsiaTheme="minorEastAsia" w:cstheme="minorEastAsia"/>
          <w:b/>
          <w:bCs/>
          <w:color w:val="auto"/>
          <w:sz w:val="24"/>
          <w:szCs w:val="24"/>
          <w:highlight w:val="none"/>
        </w:rPr>
        <w:t>文件的签署、盖章</w:t>
      </w:r>
    </w:p>
    <w:p w14:paraId="08038B6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13.1 电子响应文件必须在规定签章处电子签章或手写签字后扫描上传进响应文件。</w:t>
      </w:r>
    </w:p>
    <w:p w14:paraId="079DBF6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13.2 竞争性磋商文件要求盖章的内容，一般通过CA证书加盖电子签章。</w:t>
      </w:r>
    </w:p>
    <w:p w14:paraId="2ABF3115">
      <w:pPr>
        <w:pStyle w:val="6"/>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auto"/>
          <w:spacing w:val="-1"/>
          <w:kern w:val="0"/>
          <w:sz w:val="24"/>
          <w:szCs w:val="24"/>
          <w:highlight w:val="none"/>
          <w:lang w:val="en-US" w:eastAsia="zh-CN" w:bidi="ar-SA"/>
        </w:rPr>
      </w:pPr>
      <w:bookmarkStart w:id="22" w:name="_Toc24840"/>
      <w:r>
        <w:rPr>
          <w:color w:val="auto"/>
          <w:spacing w:val="-4"/>
          <w:sz w:val="28"/>
          <w:szCs w:val="28"/>
          <w:highlight w:val="none"/>
          <w14:textOutline w14:w="1800" w14:cap="flat" w14:cmpd="sng">
            <w14:solidFill>
              <w14:srgbClr w14:val="000000"/>
            </w14:solidFill>
            <w14:prstDash w14:val="solid"/>
            <w14:miter w14:val="0"/>
          </w14:textOutline>
        </w:rPr>
        <w:t>四</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color w:val="auto"/>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color w:val="auto"/>
          <w:spacing w:val="-4"/>
          <w:sz w:val="28"/>
          <w:szCs w:val="28"/>
          <w:highlight w:val="none"/>
          <w14:textOutline w14:w="1800" w14:cap="flat" w14:cmpd="sng">
            <w14:solidFill>
              <w14:srgbClr w14:val="000000"/>
            </w14:solidFill>
            <w14:prstDash w14:val="solid"/>
            <w14:miter w14:val="0"/>
          </w14:textOutline>
        </w:rPr>
        <w:t>交</w:t>
      </w:r>
      <w:bookmarkEnd w:id="22"/>
    </w:p>
    <w:p w14:paraId="40CB99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14.响应文件的提交</w:t>
      </w:r>
    </w:p>
    <w:p w14:paraId="34D9948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6055DAB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14.2 采购人及采购代理机构拒绝接受通过电子交易平台以外任何形式提交的响应文件。</w:t>
      </w:r>
    </w:p>
    <w:p w14:paraId="267A5F6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15.响应文件上传截止时间</w:t>
      </w:r>
    </w:p>
    <w:p w14:paraId="574342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供应商应在竞争性磋商文件要求响应文件上传截止时间前，将电子响应文件提交至电子交易平台。</w:t>
      </w:r>
    </w:p>
    <w:p w14:paraId="5314F92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16.响应文件的修改与撤回</w:t>
      </w:r>
    </w:p>
    <w:p w14:paraId="34B8674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color w:val="auto"/>
          <w:spacing w:val="3"/>
          <w:sz w:val="24"/>
          <w:szCs w:val="24"/>
          <w:highlight w:val="none"/>
          <w:lang w:val="en-US" w:eastAsia="zh-CN"/>
        </w:rPr>
        <w:t>上传截止时间之后，供应商不得修改或撤回电子响应文件。</w:t>
      </w:r>
    </w:p>
    <w:p w14:paraId="368BA654">
      <w:pPr>
        <w:pStyle w:val="6"/>
        <w:keepNext w:val="0"/>
        <w:keepLines w:val="0"/>
        <w:pageBreakBefore w:val="0"/>
        <w:kinsoku/>
        <w:wordWrap w:val="0"/>
        <w:overflowPunct/>
        <w:topLinePunct w:val="0"/>
        <w:bidi w:val="0"/>
        <w:spacing w:before="358" w:line="360" w:lineRule="auto"/>
        <w:jc w:val="center"/>
        <w:outlineLvl w:val="0"/>
        <w:rPr>
          <w:color w:val="auto"/>
          <w:spacing w:val="-1"/>
          <w:sz w:val="36"/>
          <w:szCs w:val="36"/>
          <w:highlight w:val="none"/>
          <w14:textOutline w14:w="2306" w14:cap="flat" w14:cmpd="sng">
            <w14:solidFill>
              <w14:srgbClr w14:val="000000"/>
            </w14:solidFill>
            <w14:prstDash w14:val="solid"/>
            <w14:miter w14:val="0"/>
          </w14:textOutline>
        </w:rPr>
      </w:pPr>
    </w:p>
    <w:p w14:paraId="4E57E985">
      <w:pPr>
        <w:rPr>
          <w:color w:val="auto"/>
          <w:spacing w:val="-1"/>
          <w:sz w:val="36"/>
          <w:szCs w:val="36"/>
          <w:highlight w:val="none"/>
          <w14:textOutline w14:w="2306" w14:cap="flat" w14:cmpd="sng">
            <w14:solidFill>
              <w14:srgbClr w14:val="000000"/>
            </w14:solidFill>
            <w14:prstDash w14:val="solid"/>
            <w14:miter w14:val="0"/>
          </w14:textOutline>
        </w:rPr>
      </w:pPr>
    </w:p>
    <w:p w14:paraId="7E118AE6">
      <w:pPr>
        <w:pStyle w:val="16"/>
        <w:rPr>
          <w:color w:val="auto"/>
          <w:spacing w:val="-1"/>
          <w:sz w:val="36"/>
          <w:szCs w:val="36"/>
          <w:highlight w:val="none"/>
          <w14:textOutline w14:w="2306" w14:cap="flat" w14:cmpd="sng">
            <w14:solidFill>
              <w14:srgbClr w14:val="000000"/>
            </w14:solidFill>
            <w14:prstDash w14:val="solid"/>
            <w14:miter w14:val="0"/>
          </w14:textOutline>
        </w:rPr>
      </w:pPr>
    </w:p>
    <w:p w14:paraId="7A9F4210">
      <w:pPr>
        <w:rPr>
          <w:color w:val="auto"/>
          <w:spacing w:val="-1"/>
          <w:sz w:val="36"/>
          <w:szCs w:val="36"/>
          <w:highlight w:val="none"/>
          <w14:textOutline w14:w="2306" w14:cap="flat" w14:cmpd="sng">
            <w14:solidFill>
              <w14:srgbClr w14:val="000000"/>
            </w14:solidFill>
            <w14:prstDash w14:val="solid"/>
            <w14:miter w14:val="0"/>
          </w14:textOutline>
        </w:rPr>
      </w:pPr>
    </w:p>
    <w:p w14:paraId="19EEF5CA">
      <w:pPr>
        <w:pStyle w:val="16"/>
        <w:rPr>
          <w:color w:val="auto"/>
          <w:spacing w:val="-1"/>
          <w:sz w:val="36"/>
          <w:szCs w:val="36"/>
          <w:highlight w:val="none"/>
          <w14:textOutline w14:w="2306" w14:cap="flat" w14:cmpd="sng">
            <w14:solidFill>
              <w14:srgbClr w14:val="000000"/>
            </w14:solidFill>
            <w14:prstDash w14:val="solid"/>
            <w14:miter w14:val="0"/>
          </w14:textOutline>
        </w:rPr>
      </w:pPr>
    </w:p>
    <w:p w14:paraId="07B0A0B3">
      <w:pPr>
        <w:rPr>
          <w:color w:val="auto"/>
          <w:spacing w:val="-1"/>
          <w:sz w:val="36"/>
          <w:szCs w:val="36"/>
          <w:highlight w:val="none"/>
          <w14:textOutline w14:w="2306" w14:cap="flat" w14:cmpd="sng">
            <w14:solidFill>
              <w14:srgbClr w14:val="000000"/>
            </w14:solidFill>
            <w14:prstDash w14:val="solid"/>
            <w14:miter w14:val="0"/>
          </w14:textOutline>
        </w:rPr>
      </w:pPr>
    </w:p>
    <w:p w14:paraId="6255C0D5">
      <w:pPr>
        <w:rPr>
          <w:color w:val="auto"/>
          <w:spacing w:val="-1"/>
          <w:sz w:val="36"/>
          <w:szCs w:val="36"/>
          <w:highlight w:val="none"/>
          <w14:textOutline w14:w="2306" w14:cap="flat" w14:cmpd="sng">
            <w14:solidFill>
              <w14:srgbClr w14:val="000000"/>
            </w14:solidFill>
            <w14:prstDash w14:val="solid"/>
            <w14:miter w14:val="0"/>
          </w14:textOutline>
        </w:rPr>
      </w:pPr>
    </w:p>
    <w:p w14:paraId="05320917">
      <w:pPr>
        <w:rPr>
          <w:color w:val="auto"/>
          <w:spacing w:val="-1"/>
          <w:sz w:val="36"/>
          <w:szCs w:val="36"/>
          <w:highlight w:val="none"/>
          <w14:textOutline w14:w="2306" w14:cap="flat" w14:cmpd="sng">
            <w14:solidFill>
              <w14:srgbClr w14:val="000000"/>
            </w14:solidFill>
            <w14:prstDash w14:val="solid"/>
            <w14:miter w14:val="0"/>
          </w14:textOutline>
        </w:rPr>
      </w:pPr>
    </w:p>
    <w:p w14:paraId="149D4810">
      <w:pPr>
        <w:rPr>
          <w:color w:val="auto"/>
          <w:spacing w:val="-1"/>
          <w:sz w:val="36"/>
          <w:szCs w:val="36"/>
          <w:highlight w:val="none"/>
          <w14:textOutline w14:w="2306" w14:cap="flat" w14:cmpd="sng">
            <w14:solidFill>
              <w14:srgbClr w14:val="000000"/>
            </w14:solidFill>
            <w14:prstDash w14:val="solid"/>
            <w14:miter w14:val="0"/>
          </w14:textOutline>
        </w:rPr>
      </w:pPr>
    </w:p>
    <w:p w14:paraId="7AA27B3F">
      <w:pPr>
        <w:rPr>
          <w:color w:val="auto"/>
          <w:spacing w:val="-1"/>
          <w:sz w:val="36"/>
          <w:szCs w:val="36"/>
          <w:highlight w:val="none"/>
          <w14:textOutline w14:w="2306" w14:cap="flat" w14:cmpd="sng">
            <w14:solidFill>
              <w14:srgbClr w14:val="000000"/>
            </w14:solidFill>
            <w14:prstDash w14:val="solid"/>
            <w14:miter w14:val="0"/>
          </w14:textOutline>
        </w:rPr>
      </w:pPr>
    </w:p>
    <w:p w14:paraId="790B3F80">
      <w:pPr>
        <w:pStyle w:val="16"/>
        <w:rPr>
          <w:color w:val="auto"/>
          <w:spacing w:val="-1"/>
          <w:sz w:val="36"/>
          <w:szCs w:val="36"/>
          <w:highlight w:val="none"/>
          <w14:textOutline w14:w="2306" w14:cap="flat" w14:cmpd="sng">
            <w14:solidFill>
              <w14:srgbClr w14:val="000000"/>
            </w14:solidFill>
            <w14:prstDash w14:val="solid"/>
            <w14:miter w14:val="0"/>
          </w14:textOutline>
        </w:rPr>
      </w:pPr>
    </w:p>
    <w:p w14:paraId="4C71ED30">
      <w:pPr>
        <w:rPr>
          <w:color w:val="auto"/>
          <w:spacing w:val="-1"/>
          <w:sz w:val="36"/>
          <w:szCs w:val="36"/>
          <w:highlight w:val="none"/>
          <w14:textOutline w14:w="2306" w14:cap="flat" w14:cmpd="sng">
            <w14:solidFill>
              <w14:srgbClr w14:val="000000"/>
            </w14:solidFill>
            <w14:prstDash w14:val="solid"/>
            <w14:miter w14:val="0"/>
          </w14:textOutline>
        </w:rPr>
      </w:pPr>
    </w:p>
    <w:p w14:paraId="0FB224B1">
      <w:pPr>
        <w:pStyle w:val="16"/>
        <w:ind w:left="0" w:leftChars="0" w:firstLine="0" w:firstLineChars="0"/>
      </w:pPr>
    </w:p>
    <w:bookmarkEnd w:id="18"/>
    <w:p w14:paraId="70DA134D">
      <w:pPr>
        <w:pStyle w:val="6"/>
        <w:keepNext w:val="0"/>
        <w:keepLines w:val="0"/>
        <w:pageBreakBefore w:val="0"/>
        <w:kinsoku/>
        <w:wordWrap w:val="0"/>
        <w:overflowPunct/>
        <w:topLinePunct w:val="0"/>
        <w:bidi w:val="0"/>
        <w:spacing w:before="358" w:line="360" w:lineRule="auto"/>
        <w:jc w:val="center"/>
        <w:outlineLvl w:val="0"/>
        <w:rPr>
          <w:color w:val="auto"/>
          <w:spacing w:val="-2"/>
          <w:sz w:val="24"/>
          <w:szCs w:val="24"/>
          <w:highlight w:val="none"/>
          <w14:textOutline w14:w="1537" w14:cap="flat" w14:cmpd="sng">
            <w14:solidFill>
              <w14:srgbClr w14:val="000000"/>
            </w14:solidFill>
            <w14:prstDash w14:val="solid"/>
            <w14:miter w14:val="0"/>
          </w14:textOutline>
        </w:rPr>
      </w:pPr>
      <w:r>
        <w:rPr>
          <w:color w:val="auto"/>
          <w:spacing w:val="-1"/>
          <w:sz w:val="36"/>
          <w:szCs w:val="36"/>
          <w:highlight w:val="none"/>
          <w14:textOutline w14:w="2306" w14:cap="flat" w14:cmpd="sng">
            <w14:solidFill>
              <w14:srgbClr w14:val="000000"/>
            </w14:solidFill>
            <w14:prstDash w14:val="solid"/>
            <w14:miter w14:val="0"/>
          </w14:textOutline>
        </w:rPr>
        <w:t>第</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四</w:t>
      </w:r>
      <w:r>
        <w:rPr>
          <w:color w:val="auto"/>
          <w:spacing w:val="-1"/>
          <w:sz w:val="36"/>
          <w:szCs w:val="36"/>
          <w:highlight w:val="none"/>
          <w14:textOutline w14:w="2306" w14:cap="flat" w14:cmpd="sng">
            <w14:solidFill>
              <w14:srgbClr w14:val="000000"/>
            </w14:solidFill>
            <w14:prstDash w14:val="solid"/>
            <w14:miter w14:val="0"/>
          </w14:textOutline>
        </w:rPr>
        <w:t>章</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color w:val="auto"/>
          <w:spacing w:val="-1"/>
          <w:sz w:val="36"/>
          <w:szCs w:val="36"/>
          <w:highlight w:val="none"/>
          <w14:textOutline w14:w="2306" w14:cap="flat" w14:cmpd="sng">
            <w14:solidFill>
              <w14:srgbClr w14:val="000000"/>
            </w14:solidFill>
            <w14:prstDash w14:val="solid"/>
            <w14:miter w14:val="0"/>
          </w14:textOutline>
        </w:rPr>
        <w:t>评</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color w:val="auto"/>
          <w:spacing w:val="-1"/>
          <w:sz w:val="36"/>
          <w:szCs w:val="36"/>
          <w:highlight w:val="none"/>
          <w14:textOutline w14:w="2306" w14:cap="flat" w14:cmpd="sng">
            <w14:solidFill>
              <w14:srgbClr w14:val="000000"/>
            </w14:solidFill>
            <w14:prstDash w14:val="solid"/>
            <w14:miter w14:val="0"/>
          </w14:textOutline>
        </w:rPr>
        <w:t>程序、</w:t>
      </w:r>
      <w:r>
        <w:rPr>
          <w:color w:val="auto"/>
          <w:spacing w:val="-1"/>
          <w:sz w:val="36"/>
          <w:szCs w:val="36"/>
          <w:highlight w:val="none"/>
          <w14:textOutline w14:w="2306" w14:cap="flat" w14:cmpd="sng">
            <w14:solidFill>
              <w14:srgbClr w14:val="000000"/>
            </w14:solidFill>
            <w14:prstDash w14:val="solid"/>
            <w14:miter w14:val="0"/>
          </w14:textOutline>
        </w:rPr>
        <w:t>评审方法和评审标准</w:t>
      </w:r>
    </w:p>
    <w:p w14:paraId="76431E40">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3" w:name="_Toc31954"/>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一、编制、确认竞争性磋商文件</w:t>
      </w:r>
      <w:bookmarkEnd w:id="23"/>
    </w:p>
    <w:p w14:paraId="03E57B4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根据采购项目特点和采购实际需求编制竞争性磋商文件，编制的竞争性磋商文件应由采购人审核并确认。</w:t>
      </w:r>
    </w:p>
    <w:p w14:paraId="5E4376EF">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4" w:name="_Toc26340"/>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二、发布竞争性磋商公告，邀请供应商参加磋商</w:t>
      </w:r>
      <w:bookmarkEnd w:id="24"/>
    </w:p>
    <w:p w14:paraId="72EAB9E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50BA3EC8">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5" w:name="_Toc32234"/>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三、组建磋商小组</w:t>
      </w:r>
      <w:bookmarkEnd w:id="25"/>
    </w:p>
    <w:p w14:paraId="5B1E865C">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5C8BB22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竞争性磋商小组负责对响应文件进行评审、质疑、评估、比较、评分，组织磋商和最后报价。</w:t>
      </w:r>
    </w:p>
    <w:p w14:paraId="7A6BDC4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02392FA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1FD63A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评审活动结束，按照《河南省政府采购评审专家劳务报酬支付标准》的通知(豫财购〔2017〕9号)的规定，发放劳务报酬。</w:t>
      </w:r>
    </w:p>
    <w:p w14:paraId="04EDA00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01EA075A">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26" w:name="_Toc29911"/>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四、解密电子响应文件</w:t>
      </w:r>
      <w:bookmarkEnd w:id="26"/>
    </w:p>
    <w:p w14:paraId="4A6DA9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7" w:name="_Toc26883"/>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7"/>
    </w:p>
    <w:p w14:paraId="1E83D6D2">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28" w:name="_Toc6867"/>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五、评审</w:t>
      </w:r>
      <w:bookmarkEnd w:id="28"/>
    </w:p>
    <w:p w14:paraId="24AD24C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资格性审查</w:t>
      </w:r>
    </w:p>
    <w:tbl>
      <w:tblPr>
        <w:tblStyle w:val="29"/>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3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color w:val="auto"/>
                <w:highlight w:val="none"/>
              </w:rPr>
            </w:pPr>
          </w:p>
          <w:p w14:paraId="7032A4D6">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58" w:type="dxa"/>
            <w:vAlign w:val="center"/>
          </w:tcPr>
          <w:p w14:paraId="15D6E04C">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满足第一章《竞争性磋商公告》供应商具备的资格要求</w:t>
            </w:r>
          </w:p>
        </w:tc>
        <w:tc>
          <w:tcPr>
            <w:tcW w:w="4773" w:type="dxa"/>
            <w:vAlign w:val="top"/>
          </w:tcPr>
          <w:p w14:paraId="0D2B7600">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具有独立承担民事责任的能力以及有效的营业执照；</w:t>
            </w:r>
          </w:p>
          <w:p w14:paraId="3AFCA419">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供应商须具有良好的商业信誉和健全的财务会计制度：供应商需提供2024年年度财务审计报告（若成立不足一年的公司，则提供成立月份以来的企业财务报表）；</w:t>
            </w:r>
          </w:p>
          <w:p w14:paraId="05666E75">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3）供应商依法缴纳税收（提供2025年1月1日以来任意三个月完税证明或缴税凭证）和社会保障资金（提供2025年1月1日以来任意三个月的社保缴纳凭证或社保缴费记录)。依法免税或不需要缴纳社会保障资金的供应商，应提供相应证明文件。</w:t>
            </w:r>
          </w:p>
          <w:p w14:paraId="431BFE55">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（4）具有履行合同所必需的设备和专业技术能力；</w:t>
            </w:r>
          </w:p>
          <w:p w14:paraId="6F648CF6">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（5）参加本次政府采购活动前三年内，在经营活动中没有重大违法犯罪记录；</w:t>
            </w:r>
          </w:p>
          <w:p w14:paraId="0E7925EA">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6）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2E82AC00">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（7）本次招标不接受联合体投标，不允许分包和转包。</w:t>
            </w:r>
          </w:p>
          <w:p w14:paraId="34A01640">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zh-CN" w:bidi="ar-SA"/>
              </w:rPr>
              <w:t>（8）遵守国家有关法律、法规、规章。</w:t>
            </w:r>
          </w:p>
        </w:tc>
        <w:tc>
          <w:tcPr>
            <w:tcW w:w="3227" w:type="dxa"/>
            <w:vAlign w:val="top"/>
          </w:tcPr>
          <w:p w14:paraId="686B56D0">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供应商为企业（包括合伙企业、个体工商户）的，应提供有效的营业执照；</w:t>
            </w:r>
          </w:p>
          <w:p w14:paraId="3BD1B613">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供应商为事业单位的，应提供有效的事业单位法人证书；</w:t>
            </w:r>
          </w:p>
          <w:p w14:paraId="4246512F">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供应商是非企业机构的，应提供有效的执业许可证、登记证书等证明文件；</w:t>
            </w:r>
          </w:p>
          <w:p w14:paraId="2A5CBB7E">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供应商是自然人的，应提供有效的自然人身份证明。</w:t>
            </w:r>
          </w:p>
          <w:p w14:paraId="2E288192">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中 小 企业政策</w:t>
            </w:r>
          </w:p>
        </w:tc>
        <w:tc>
          <w:tcPr>
            <w:tcW w:w="4773" w:type="dxa"/>
            <w:vAlign w:val="top"/>
          </w:tcPr>
          <w:p w14:paraId="3A90878E">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具体要求见第一章《竞争性磋商公告》</w:t>
            </w:r>
          </w:p>
        </w:tc>
        <w:tc>
          <w:tcPr>
            <w:tcW w:w="3227" w:type="dxa"/>
            <w:vAlign w:val="top"/>
          </w:tcPr>
          <w:p w14:paraId="585F770F">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中 小 企</w:t>
            </w:r>
          </w:p>
          <w:p w14:paraId="6331F779">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业 证 明</w:t>
            </w:r>
          </w:p>
          <w:p w14:paraId="3D4B83E7">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文件</w:t>
            </w:r>
          </w:p>
          <w:p w14:paraId="1E95EBF9">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p>
        </w:tc>
        <w:tc>
          <w:tcPr>
            <w:tcW w:w="4773" w:type="dxa"/>
            <w:vAlign w:val="top"/>
          </w:tcPr>
          <w:p w14:paraId="1CDF351B">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当本项目（包）涉及预留份额专门面向中小企业采购，此时须在《资格证明文件》中提供。</w:t>
            </w:r>
          </w:p>
          <w:p w14:paraId="4124D9F8">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30"/>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058" w:type="dxa"/>
            <w:vAlign w:val="center"/>
          </w:tcPr>
          <w:p w14:paraId="5D0C8FD2">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本 项 目</w:t>
            </w:r>
          </w:p>
          <w:p w14:paraId="71391EEC">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的 其 他</w:t>
            </w:r>
          </w:p>
          <w:p w14:paraId="3D101264">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资 格 要</w:t>
            </w:r>
          </w:p>
          <w:p w14:paraId="5FBBA66C">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求</w:t>
            </w:r>
          </w:p>
        </w:tc>
        <w:tc>
          <w:tcPr>
            <w:tcW w:w="4773" w:type="dxa"/>
            <w:vAlign w:val="top"/>
          </w:tcPr>
          <w:p w14:paraId="0A33A108">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如有，见第一章《竞争性磋商公告》</w:t>
            </w:r>
          </w:p>
        </w:tc>
        <w:tc>
          <w:tcPr>
            <w:tcW w:w="3227" w:type="dxa"/>
            <w:vAlign w:val="top"/>
          </w:tcPr>
          <w:p w14:paraId="5921663D">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p>
        </w:tc>
      </w:tr>
    </w:tbl>
    <w:p w14:paraId="5BA638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asciiTheme="minorEastAsia" w:hAnsiTheme="minorEastAsia" w:eastAsiaTheme="minorEastAsia" w:cstheme="minorEastAsia"/>
          <w:b/>
          <w:bCs/>
          <w:snapToGrid w:val="0"/>
          <w:color w:val="auto"/>
          <w:kern w:val="0"/>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按照唐河县财政局《关于在政府采购活动中试行供应商资格信用承诺制的通知》唐财购</w:t>
      </w:r>
    </w:p>
    <w:p w14:paraId="722ACE4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kern w:val="0"/>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[2021]18号的要求，供应商在投标(响应)时，按照规定提供“投标承诺函”(详见采购文件)的，无需再提交上述（2）、（3）的证明材料。供应商在中标(成交)后，应将上述由投标承诺函替代的证明材料提交采购人、采购代理机构，证明材料将随公告一并公示。</w:t>
      </w:r>
    </w:p>
    <w:p w14:paraId="3F9673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asciiTheme="minorEastAsia" w:hAnsiTheme="minorEastAsia" w:eastAsiaTheme="minorEastAsia" w:cstheme="minorEastAsia"/>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是否符合竞争性磋商文件的各项要求。</w:t>
      </w:r>
    </w:p>
    <w:tbl>
      <w:tblPr>
        <w:tblStyle w:val="1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auto"/>
                <w:kern w:val="0"/>
                <w:sz w:val="24"/>
                <w:highlight w:val="none"/>
                <w:lang w:eastAsia="en-US"/>
              </w:rPr>
            </w:pPr>
            <w:r>
              <w:rPr>
                <w:rFonts w:hint="eastAsia" w:ascii="宋体" w:hAnsi="宋体" w:cs="宋体"/>
                <w:b/>
                <w:snapToGrid w:val="0"/>
                <w:color w:val="auto"/>
                <w:kern w:val="0"/>
                <w:sz w:val="24"/>
                <w:highlight w:val="none"/>
              </w:rPr>
              <w:t>序</w:t>
            </w:r>
            <w:r>
              <w:rPr>
                <w:rFonts w:hint="eastAsia" w:ascii="宋体" w:hAnsi="宋体" w:cs="宋体"/>
                <w:b/>
                <w:snapToGrid w:val="0"/>
                <w:color w:val="auto"/>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auto"/>
                <w:kern w:val="0"/>
                <w:sz w:val="24"/>
                <w:highlight w:val="none"/>
                <w:lang w:eastAsia="en-US"/>
              </w:rPr>
            </w:pPr>
            <w:r>
              <w:rPr>
                <w:rFonts w:hint="eastAsia" w:ascii="宋体" w:hAnsi="宋体" w:cs="宋体"/>
                <w:b/>
                <w:snapToGrid w:val="0"/>
                <w:color w:val="auto"/>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auto"/>
                <w:kern w:val="0"/>
                <w:sz w:val="24"/>
                <w:highlight w:val="none"/>
                <w:lang w:eastAsia="en-US"/>
              </w:rPr>
            </w:pPr>
            <w:r>
              <w:rPr>
                <w:rFonts w:hint="eastAsia" w:ascii="宋体" w:hAnsi="宋体" w:cs="宋体"/>
                <w:b/>
                <w:snapToGrid w:val="0"/>
                <w:color w:val="auto"/>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auto"/>
                <w:kern w:val="0"/>
                <w:sz w:val="24"/>
                <w:highlight w:val="none"/>
              </w:rPr>
            </w:pPr>
            <w:r>
              <w:rPr>
                <w:rFonts w:hint="eastAsia"/>
                <w:color w:val="auto"/>
                <w:sz w:val="24"/>
                <w:highlight w:val="none"/>
              </w:rPr>
              <w:t>与营业执照或其他资格证明文件（</w:t>
            </w:r>
            <w:r>
              <w:rPr>
                <w:rFonts w:hint="eastAsia" w:ascii="宋体" w:hAnsi="宋体" w:cs="宋体"/>
                <w:color w:val="auto"/>
                <w:spacing w:val="-2"/>
                <w:sz w:val="24"/>
                <w:highlight w:val="none"/>
              </w:rPr>
              <w:t>如事业单位法人证书等</w:t>
            </w:r>
            <w:r>
              <w:rPr>
                <w:rFonts w:hint="eastAsia"/>
                <w:color w:val="auto"/>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符合第六章</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rPr>
              <w:t>响应文件格式</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lang w:val="en-US" w:eastAsia="zh-CN"/>
              </w:rPr>
              <w:t>服务期限</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hint="eastAsia" w:ascii="宋体" w:hAnsi="宋体" w:eastAsia="宋体" w:cs="宋体"/>
                <w:bCs/>
                <w:snapToGrid w:val="0"/>
                <w:color w:val="auto"/>
                <w:kern w:val="0"/>
                <w:sz w:val="24"/>
                <w:highlight w:val="none"/>
                <w:lang w:eastAsia="zh-CN"/>
              </w:rPr>
            </w:pPr>
            <w:r>
              <w:rPr>
                <w:rFonts w:hint="eastAsia" w:ascii="宋体" w:hAnsi="宋体" w:eastAsia="宋体" w:cs="宋体"/>
                <w:bCs/>
                <w:snapToGrid w:val="0"/>
                <w:color w:val="auto"/>
                <w:kern w:val="0"/>
                <w:sz w:val="24"/>
                <w:highlight w:val="none"/>
                <w:lang w:val="en-US" w:eastAsia="zh-CN"/>
              </w:rPr>
              <w:t>7</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hint="eastAsia" w:ascii="宋体" w:hAnsi="宋体" w:eastAsia="宋体" w:cs="宋体"/>
                <w:bCs/>
                <w:snapToGrid w:val="0"/>
                <w:color w:val="auto"/>
                <w:kern w:val="0"/>
                <w:sz w:val="24"/>
                <w:highlight w:val="none"/>
                <w:lang w:eastAsia="zh-CN"/>
              </w:rPr>
            </w:pPr>
            <w:r>
              <w:rPr>
                <w:rFonts w:hint="eastAsia" w:ascii="宋体" w:hAnsi="宋体" w:eastAsia="宋体" w:cs="宋体"/>
                <w:bCs/>
                <w:snapToGrid w:val="0"/>
                <w:color w:val="auto"/>
                <w:kern w:val="0"/>
                <w:sz w:val="24"/>
                <w:highlight w:val="none"/>
                <w:lang w:val="en-US" w:eastAsia="zh-CN"/>
              </w:rPr>
              <w:t>8</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w:t>
      </w:r>
    </w:p>
    <w:p w14:paraId="67F2CC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磋商、响应文件有关事项的澄清、说明或者更正和最后报价</w:t>
      </w:r>
    </w:p>
    <w:p w14:paraId="0F7AA2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.1</w:t>
      </w:r>
      <w:r>
        <w:rPr>
          <w:rFonts w:hint="eastAsia"/>
          <w:color w:val="auto"/>
          <w:sz w:val="24"/>
          <w:szCs w:val="24"/>
          <w:highlight w:val="none"/>
          <w:lang w:val="en-US" w:eastAsia="zh-CN"/>
        </w:rPr>
        <w:t xml:space="preserve"> </w:t>
      </w:r>
      <w:r>
        <w:rPr>
          <w:color w:val="auto"/>
          <w:sz w:val="24"/>
          <w:szCs w:val="24"/>
          <w:highlight w:val="none"/>
        </w:rPr>
        <w:t>磋商小组所有成员将集中与单一供应商分别进行磋商，并给予所有参加磋商的供应商平等的磋商机会。</w:t>
      </w:r>
    </w:p>
    <w:p w14:paraId="2FB56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.2</w:t>
      </w:r>
      <w:r>
        <w:rPr>
          <w:rFonts w:hint="eastAsia"/>
          <w:color w:val="auto"/>
          <w:sz w:val="24"/>
          <w:szCs w:val="24"/>
          <w:highlight w:val="none"/>
          <w:lang w:val="en-US" w:eastAsia="zh-CN"/>
        </w:rPr>
        <w:t xml:space="preserve"> </w:t>
      </w:r>
      <w:r>
        <w:rPr>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.3</w:t>
      </w:r>
      <w:r>
        <w:rPr>
          <w:rFonts w:hint="eastAsia"/>
          <w:color w:val="auto"/>
          <w:sz w:val="24"/>
          <w:szCs w:val="24"/>
          <w:highlight w:val="none"/>
          <w:lang w:val="en-US" w:eastAsia="zh-CN"/>
        </w:rPr>
        <w:t xml:space="preserve"> </w:t>
      </w:r>
      <w:r>
        <w:rPr>
          <w:color w:val="auto"/>
          <w:sz w:val="24"/>
          <w:szCs w:val="24"/>
          <w:highlight w:val="none"/>
        </w:rPr>
        <w:t>对磋商文件作出的实质性变动是磋商文件的有效组成部分，磋商小组应当及时</w:t>
      </w:r>
      <w:r>
        <w:rPr>
          <w:rFonts w:hint="eastAsia"/>
          <w:color w:val="auto"/>
          <w:sz w:val="24"/>
          <w:szCs w:val="24"/>
          <w:highlight w:val="none"/>
          <w:lang w:val="en-US" w:eastAsia="zh-CN"/>
        </w:rPr>
        <w:t>通过</w:t>
      </w:r>
      <w:r>
        <w:rPr>
          <w:rFonts w:hint="eastAsia"/>
          <w:color w:val="auto"/>
          <w:sz w:val="24"/>
          <w:szCs w:val="24"/>
          <w:highlight w:val="none"/>
        </w:rPr>
        <w:t>评标系统通知</w:t>
      </w:r>
      <w:r>
        <w:rPr>
          <w:color w:val="auto"/>
          <w:sz w:val="24"/>
          <w:szCs w:val="24"/>
          <w:highlight w:val="none"/>
        </w:rPr>
        <w:t>所有参加磋商的供应商。</w:t>
      </w:r>
      <w:r>
        <w:rPr>
          <w:rFonts w:hint="eastAsia"/>
          <w:color w:val="auto"/>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w:t>
      </w:r>
      <w:r>
        <w:rPr>
          <w:rFonts w:ascii="宋体" w:hAnsi="宋体" w:eastAsia="宋体" w:cs="宋体"/>
          <w:snapToGrid w:val="0"/>
          <w:color w:val="auto"/>
          <w:kern w:val="0"/>
          <w:sz w:val="24"/>
          <w:szCs w:val="24"/>
          <w:highlight w:val="none"/>
          <w:lang w:val="en-US" w:eastAsia="en-US" w:bidi="ar-SA"/>
        </w:rPr>
        <w:t>.4</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auto"/>
          <w:kern w:val="0"/>
          <w:sz w:val="24"/>
          <w:szCs w:val="24"/>
          <w:highlight w:val="none"/>
          <w:lang w:val="en-US" w:eastAsia="zh-CN" w:bidi="ar-SA"/>
        </w:rPr>
        <w:t>评标</w:t>
      </w:r>
      <w:r>
        <w:rPr>
          <w:rFonts w:hint="eastAsia" w:ascii="宋体" w:hAnsi="宋体" w:eastAsia="宋体" w:cs="宋体"/>
          <w:snapToGrid w:val="0"/>
          <w:color w:val="auto"/>
          <w:kern w:val="0"/>
          <w:sz w:val="24"/>
          <w:szCs w:val="24"/>
          <w:highlight w:val="none"/>
          <w:lang w:val="en-US" w:eastAsia="en-US" w:bidi="ar-SA"/>
        </w:rPr>
        <w:t>系统以在线形式提交承诺，并用</w:t>
      </w:r>
      <w:r>
        <w:rPr>
          <w:rFonts w:hint="eastAsia" w:ascii="宋体" w:hAnsi="宋体" w:eastAsia="宋体" w:cs="宋体"/>
          <w:snapToGrid w:val="0"/>
          <w:color w:val="auto"/>
          <w:kern w:val="0"/>
          <w:sz w:val="24"/>
          <w:szCs w:val="24"/>
          <w:highlight w:val="none"/>
          <w:lang w:val="en-US" w:eastAsia="zh-CN" w:bidi="ar-SA"/>
        </w:rPr>
        <w:t>CA</w:t>
      </w:r>
      <w:r>
        <w:rPr>
          <w:rFonts w:hint="eastAsia" w:ascii="宋体" w:hAnsi="宋体" w:eastAsia="宋体" w:cs="宋体"/>
          <w:snapToGrid w:val="0"/>
          <w:color w:val="auto"/>
          <w:kern w:val="0"/>
          <w:sz w:val="24"/>
          <w:szCs w:val="24"/>
          <w:highlight w:val="none"/>
          <w:lang w:val="en-US" w:eastAsia="en-US" w:bidi="ar-SA"/>
        </w:rPr>
        <w:t>签章。</w:t>
      </w:r>
    </w:p>
    <w:p w14:paraId="7A82E9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ascii="宋体" w:hAnsi="宋体" w:eastAsia="宋体" w:cs="宋体"/>
          <w:snapToGrid w:val="0"/>
          <w:color w:val="auto"/>
          <w:kern w:val="0"/>
          <w:sz w:val="24"/>
          <w:szCs w:val="24"/>
          <w:highlight w:val="none"/>
          <w:lang w:val="en-US" w:eastAsia="en-US" w:bidi="ar-SA"/>
        </w:rPr>
        <w:t>.5</w:t>
      </w:r>
      <w:r>
        <w:rPr>
          <w:rFonts w:hint="eastAsia" w:cs="宋体"/>
          <w:snapToGrid w:val="0"/>
          <w:color w:val="auto"/>
          <w:kern w:val="0"/>
          <w:sz w:val="24"/>
          <w:szCs w:val="24"/>
          <w:highlight w:val="none"/>
          <w:lang w:val="en-US" w:eastAsia="zh-CN" w:bidi="ar-SA"/>
        </w:rPr>
        <w:t xml:space="preserve"> </w:t>
      </w:r>
      <w:r>
        <w:rPr>
          <w:rFonts w:ascii="宋体" w:hAnsi="宋体" w:eastAsia="宋体" w:cs="宋体"/>
          <w:snapToGrid w:val="0"/>
          <w:color w:val="auto"/>
          <w:kern w:val="0"/>
          <w:sz w:val="24"/>
          <w:szCs w:val="24"/>
          <w:highlight w:val="none"/>
          <w:lang w:val="en-US" w:eastAsia="en-US" w:bidi="ar-SA"/>
        </w:rPr>
        <w:t>响应文件的澄清、说明或者更正：</w:t>
      </w:r>
    </w:p>
    <w:p w14:paraId="40112D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.5.1</w:t>
      </w:r>
      <w:r>
        <w:rPr>
          <w:rFonts w:hint="eastAsia"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.5.</w:t>
      </w:r>
      <w:r>
        <w:rPr>
          <w:rFonts w:hint="eastAsia" w:cs="宋体"/>
          <w:snapToGrid w:val="0"/>
          <w:color w:val="auto"/>
          <w:kern w:val="0"/>
          <w:sz w:val="24"/>
          <w:szCs w:val="24"/>
          <w:highlight w:val="none"/>
          <w:lang w:val="en-US" w:eastAsia="zh-CN" w:bidi="ar-SA"/>
        </w:rPr>
        <w:t xml:space="preserve">2 </w:t>
      </w:r>
      <w:r>
        <w:rPr>
          <w:rFonts w:hint="eastAsia" w:ascii="宋体" w:hAnsi="宋体" w:eastAsia="宋体" w:cs="宋体"/>
          <w:snapToGrid w:val="0"/>
          <w:color w:val="auto"/>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.6</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auto"/>
          <w:kern w:val="0"/>
          <w:sz w:val="24"/>
          <w:szCs w:val="24"/>
          <w:highlight w:val="none"/>
          <w:lang w:val="en-US" w:eastAsia="zh-CN" w:bidi="ar-SA"/>
        </w:rPr>
        <w:t>得</w:t>
      </w:r>
      <w:r>
        <w:rPr>
          <w:rFonts w:hint="eastAsia" w:ascii="宋体" w:hAnsi="宋体" w:eastAsia="宋体" w:cs="宋体"/>
          <w:snapToGrid w:val="0"/>
          <w:color w:val="auto"/>
          <w:kern w:val="0"/>
          <w:sz w:val="24"/>
          <w:szCs w:val="24"/>
          <w:highlight w:val="none"/>
          <w:lang w:val="en-US" w:eastAsia="en-US" w:bidi="ar-SA"/>
        </w:rPr>
        <w:t>少于</w:t>
      </w: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家。《</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auto"/>
          <w:kern w:val="0"/>
          <w:sz w:val="24"/>
          <w:szCs w:val="24"/>
          <w:highlight w:val="none"/>
          <w:lang w:val="en-US" w:eastAsia="en-US" w:bidi="ar-SA"/>
        </w:rPr>
        <w:t>》第</w:t>
      </w:r>
      <w:r>
        <w:rPr>
          <w:rFonts w:hint="eastAsia" w:ascii="宋体" w:hAnsi="宋体" w:eastAsia="宋体" w:cs="宋体"/>
          <w:snapToGrid w:val="0"/>
          <w:color w:val="auto"/>
          <w:kern w:val="0"/>
          <w:sz w:val="24"/>
          <w:szCs w:val="24"/>
          <w:highlight w:val="none"/>
          <w:lang w:val="en-US" w:eastAsia="zh-CN" w:bidi="ar-SA"/>
        </w:rPr>
        <w:t>三</w:t>
      </w:r>
      <w:r>
        <w:rPr>
          <w:rFonts w:hint="eastAsia" w:ascii="宋体" w:hAnsi="宋体" w:eastAsia="宋体" w:cs="宋体"/>
          <w:snapToGrid w:val="0"/>
          <w:color w:val="auto"/>
          <w:kern w:val="0"/>
          <w:sz w:val="24"/>
          <w:szCs w:val="24"/>
          <w:highlight w:val="none"/>
          <w:lang w:val="en-US" w:eastAsia="en-US" w:bidi="ar-SA"/>
        </w:rPr>
        <w:t>条第</w:t>
      </w:r>
      <w:r>
        <w:rPr>
          <w:rFonts w:hint="eastAsia" w:ascii="宋体" w:hAnsi="宋体" w:eastAsia="宋体" w:cs="宋体"/>
          <w:snapToGrid w:val="0"/>
          <w:color w:val="auto"/>
          <w:kern w:val="0"/>
          <w:sz w:val="24"/>
          <w:szCs w:val="24"/>
          <w:highlight w:val="none"/>
          <w:lang w:val="en-US" w:eastAsia="zh-CN" w:bidi="ar-SA"/>
        </w:rPr>
        <w:t>四项</w:t>
      </w:r>
      <w:r>
        <w:rPr>
          <w:rFonts w:hint="eastAsia" w:ascii="宋体" w:hAnsi="宋体" w:eastAsia="宋体" w:cs="宋体"/>
          <w:snapToGrid w:val="0"/>
          <w:color w:val="auto"/>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.7</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 xml:space="preserve">8 </w:t>
      </w:r>
      <w:r>
        <w:rPr>
          <w:rFonts w:hint="eastAsia" w:cs="宋体"/>
          <w:snapToGrid w:val="0"/>
          <w:color w:val="auto"/>
          <w:kern w:val="0"/>
          <w:sz w:val="24"/>
          <w:szCs w:val="24"/>
          <w:highlight w:val="none"/>
          <w:lang w:val="en-US" w:eastAsia="en-US" w:bidi="ar-SA"/>
        </w:rPr>
        <w:t>已</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交响应文件的供应商，在</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交最后报价之前，可以根据磋商情况退出磋商。</w:t>
      </w:r>
    </w:p>
    <w:p w14:paraId="371E09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7.</w:t>
      </w:r>
      <w:r>
        <w:rPr>
          <w:rFonts w:hint="eastAsia" w:cs="宋体"/>
          <w:snapToGrid w:val="0"/>
          <w:color w:val="auto"/>
          <w:kern w:val="0"/>
          <w:sz w:val="24"/>
          <w:szCs w:val="24"/>
          <w:highlight w:val="none"/>
          <w:lang w:val="en-US" w:eastAsia="en-US" w:bidi="ar-SA"/>
        </w:rPr>
        <w:t>最后报价的算术修正及政策调整</w:t>
      </w:r>
    </w:p>
    <w:p w14:paraId="237193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auto"/>
          <w:kern w:val="0"/>
          <w:sz w:val="24"/>
          <w:szCs w:val="24"/>
          <w:highlight w:val="none"/>
          <w:lang w:val="en-US" w:eastAsia="zh-CN" w:bidi="ar-SA"/>
        </w:rPr>
        <w:t>。</w:t>
      </w:r>
    </w:p>
    <w:p w14:paraId="617B7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评审方法和评审标准</w:t>
      </w:r>
    </w:p>
    <w:p w14:paraId="661D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本项目采用的评审方法为</w:t>
      </w: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.2</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竞争性磋商文件中没有规定的评审标准不得作为评审依据。</w:t>
      </w:r>
    </w:p>
    <w:p w14:paraId="679E56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.3</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w:t>
      </w:r>
    </w:p>
    <w:p w14:paraId="13A77A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.4</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关于无线局域网认证产品政府采购清单中的产品，优先采购的具体规定（如涉及）</w:t>
      </w:r>
      <w:r>
        <w:rPr>
          <w:color w:val="auto"/>
          <w:spacing w:val="-25"/>
          <w:sz w:val="24"/>
          <w:szCs w:val="24"/>
          <w:highlight w:val="none"/>
        </w:rPr>
        <w:t>。</w:t>
      </w:r>
    </w:p>
    <w:p w14:paraId="4C6B08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确定成交候选人名单</w:t>
      </w:r>
    </w:p>
    <w:p w14:paraId="050A30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b w:val="0"/>
          <w:bCs w:val="0"/>
          <w:snapToGrid w:val="0"/>
          <w:color w:val="auto"/>
          <w:kern w:val="0"/>
          <w:sz w:val="24"/>
          <w:szCs w:val="24"/>
          <w:highlight w:val="none"/>
          <w:lang w:val="en-US" w:eastAsia="en-US" w:bidi="ar-SA"/>
        </w:rPr>
      </w:pPr>
      <w:r>
        <w:rPr>
          <w:rFonts w:hint="eastAsia" w:cs="宋体"/>
          <w:b w:val="0"/>
          <w:bCs w:val="0"/>
          <w:snapToGrid w:val="0"/>
          <w:color w:val="auto"/>
          <w:kern w:val="0"/>
          <w:sz w:val="24"/>
          <w:szCs w:val="24"/>
          <w:highlight w:val="none"/>
          <w:lang w:val="en-US" w:eastAsia="zh-CN" w:bidi="ar-SA"/>
        </w:rPr>
        <w:t>9</w:t>
      </w:r>
      <w:r>
        <w:rPr>
          <w:rFonts w:hint="eastAsia" w:cs="宋体"/>
          <w:b w:val="0"/>
          <w:bCs w:val="0"/>
          <w:snapToGrid w:val="0"/>
          <w:color w:val="auto"/>
          <w:kern w:val="0"/>
          <w:sz w:val="24"/>
          <w:szCs w:val="24"/>
          <w:highlight w:val="none"/>
          <w:lang w:val="en-US" w:eastAsia="en-US" w:bidi="ar-SA"/>
        </w:rPr>
        <w:t>.</w:t>
      </w:r>
      <w:r>
        <w:rPr>
          <w:rFonts w:hint="eastAsia" w:cs="宋体"/>
          <w:b w:val="0"/>
          <w:bCs w:val="0"/>
          <w:snapToGrid w:val="0"/>
          <w:color w:val="auto"/>
          <w:kern w:val="0"/>
          <w:sz w:val="24"/>
          <w:szCs w:val="24"/>
          <w:highlight w:val="none"/>
          <w:lang w:val="en-US" w:eastAsia="zh-CN" w:bidi="ar-SA"/>
        </w:rPr>
        <w:t xml:space="preserve">2 </w:t>
      </w:r>
      <w:r>
        <w:rPr>
          <w:rFonts w:hint="eastAsia" w:cs="宋体"/>
          <w:b w:val="0"/>
          <w:bCs w:val="0"/>
          <w:snapToGrid w:val="0"/>
          <w:color w:val="auto"/>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3 ☑</w:t>
      </w:r>
      <w:r>
        <w:rPr>
          <w:rFonts w:hint="eastAsia" w:cs="宋体"/>
          <w:snapToGrid w:val="0"/>
          <w:color w:val="auto"/>
          <w:kern w:val="0"/>
          <w:sz w:val="24"/>
          <w:szCs w:val="24"/>
          <w:highlight w:val="none"/>
          <w:lang w:val="en-US" w:eastAsia="en-US" w:bidi="ar-SA"/>
        </w:rPr>
        <w:t>磋商小组根据上述供应商排序，依次推荐排序前</w:t>
      </w:r>
      <w:r>
        <w:rPr>
          <w:rFonts w:hint="eastAsia" w:cs="宋体"/>
          <w:snapToGrid w:val="0"/>
          <w:color w:val="auto"/>
          <w:kern w:val="0"/>
          <w:sz w:val="24"/>
          <w:szCs w:val="24"/>
          <w:highlight w:val="none"/>
          <w:lang w:val="en-US" w:eastAsia="zh-CN" w:bidi="ar-SA"/>
        </w:rPr>
        <w:t>3</w:t>
      </w:r>
      <w:r>
        <w:rPr>
          <w:rFonts w:hint="eastAsia" w:cs="宋体"/>
          <w:snapToGrid w:val="0"/>
          <w:color w:val="auto"/>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10.</w:t>
      </w:r>
      <w:r>
        <w:rPr>
          <w:rFonts w:hint="eastAsia" w:cs="宋体"/>
          <w:snapToGrid w:val="0"/>
          <w:color w:val="auto"/>
          <w:kern w:val="0"/>
          <w:sz w:val="24"/>
          <w:szCs w:val="24"/>
          <w:highlight w:val="none"/>
          <w:lang w:val="en-US" w:eastAsia="en-US" w:bidi="ar-SA"/>
        </w:rPr>
        <w:t>报告违法行为</w:t>
      </w:r>
    </w:p>
    <w:p w14:paraId="7B034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highlight w:val="none"/>
        </w:rPr>
      </w:pPr>
      <w:r>
        <w:rPr>
          <w:rFonts w:hint="eastAsia" w:cs="宋体"/>
          <w:snapToGrid w:val="0"/>
          <w:color w:val="auto"/>
          <w:kern w:val="0"/>
          <w:sz w:val="24"/>
          <w:szCs w:val="24"/>
          <w:highlight w:val="none"/>
          <w:lang w:val="en-US" w:eastAsia="zh-CN" w:bidi="ar-SA"/>
        </w:rPr>
        <w:t>10</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磋商小组在评审过程中发现供应商有行贿、</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供虚假材料或者串通等违法行为时，有向采购人、采购代理机构或者有关部门报告的职责。</w:t>
      </w:r>
      <w:bookmarkStart w:id="29" w:name="_Toc20187"/>
    </w:p>
    <w:p w14:paraId="73D8330D">
      <w:pPr>
        <w:pStyle w:val="6"/>
        <w:keepNext w:val="0"/>
        <w:keepLines w:val="0"/>
        <w:pageBreakBefore w:val="0"/>
        <w:kinsoku/>
        <w:wordWrap w:val="0"/>
        <w:overflowPunct/>
        <w:topLinePunct w:val="0"/>
        <w:bidi w:val="0"/>
        <w:spacing w:before="78" w:line="221" w:lineRule="auto"/>
        <w:jc w:val="center"/>
        <w:outlineLvl w:val="1"/>
        <w:rPr>
          <w:color w:val="auto"/>
          <w:spacing w:val="-2"/>
          <w:sz w:val="24"/>
          <w:szCs w:val="24"/>
          <w:highlight w:val="none"/>
          <w14:textOutline w14:w="1537" w14:cap="flat" w14:cmpd="sng">
            <w14:solidFill>
              <w14:srgbClr w14:val="000000"/>
            </w14:solidFill>
            <w14:prstDash w14:val="solid"/>
            <w14:miter w14:val="0"/>
          </w14:textOutline>
        </w:rPr>
      </w:pPr>
      <w:r>
        <w:rPr>
          <w:color w:val="auto"/>
          <w:spacing w:val="-2"/>
          <w:sz w:val="24"/>
          <w:szCs w:val="24"/>
          <w:highlight w:val="none"/>
          <w14:textOutline w14:w="1537" w14:cap="flat" w14:cmpd="sng">
            <w14:solidFill>
              <w14:srgbClr w14:val="000000"/>
            </w14:solidFill>
            <w14:prstDash w14:val="solid"/>
            <w14:miter w14:val="0"/>
          </w14:textOutline>
        </w:rPr>
        <w:t>评审标准</w:t>
      </w:r>
      <w:bookmarkEnd w:id="29"/>
    </w:p>
    <w:tbl>
      <w:tblPr>
        <w:tblStyle w:val="29"/>
        <w:tblW w:w="514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9"/>
        <w:gridCol w:w="1256"/>
        <w:gridCol w:w="1037"/>
        <w:gridCol w:w="2274"/>
        <w:gridCol w:w="5171"/>
        <w:gridCol w:w="29"/>
      </w:tblGrid>
      <w:tr w14:paraId="16FED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21" w:hRule="atLeast"/>
          <w:jc w:val="center"/>
        </w:trPr>
        <w:tc>
          <w:tcPr>
            <w:tcW w:w="356" w:type="pct"/>
            <w:noWrap w:val="0"/>
            <w:vAlign w:val="top"/>
          </w:tcPr>
          <w:p w14:paraId="1D29534B">
            <w:pPr>
              <w:keepNext w:val="0"/>
              <w:keepLines w:val="0"/>
              <w:pageBreakBefore w:val="0"/>
              <w:widowControl/>
              <w:kinsoku/>
              <w:wordWrap w:val="0"/>
              <w:overflowPunct/>
              <w:topLinePunct w:val="0"/>
              <w:autoSpaceDE w:val="0"/>
              <w:autoSpaceDN w:val="0"/>
              <w:bidi w:val="0"/>
              <w:adjustRightInd w:val="0"/>
              <w:snapToGrid w:val="0"/>
              <w:spacing w:before="40" w:line="208" w:lineRule="auto"/>
              <w:jc w:val="center"/>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spacing w:val="-3"/>
                <w:kern w:val="0"/>
                <w:sz w:val="24"/>
                <w:szCs w:val="24"/>
                <w:lang w:eastAsia="en-US"/>
              </w:rPr>
              <w:t>序号</w:t>
            </w:r>
          </w:p>
        </w:tc>
        <w:tc>
          <w:tcPr>
            <w:tcW w:w="596" w:type="pct"/>
            <w:noWrap w:val="0"/>
            <w:vAlign w:val="top"/>
          </w:tcPr>
          <w:p w14:paraId="0AE27316">
            <w:pPr>
              <w:keepNext w:val="0"/>
              <w:keepLines w:val="0"/>
              <w:pageBreakBefore w:val="0"/>
              <w:widowControl/>
              <w:kinsoku/>
              <w:wordWrap w:val="0"/>
              <w:overflowPunct/>
              <w:topLinePunct w:val="0"/>
              <w:autoSpaceDE w:val="0"/>
              <w:autoSpaceDN w:val="0"/>
              <w:bidi w:val="0"/>
              <w:adjustRightInd w:val="0"/>
              <w:snapToGrid w:val="0"/>
              <w:spacing w:before="40" w:line="208" w:lineRule="auto"/>
              <w:jc w:val="center"/>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spacing w:val="-2"/>
                <w:kern w:val="0"/>
                <w:sz w:val="24"/>
                <w:szCs w:val="24"/>
                <w:lang w:eastAsia="en-US"/>
              </w:rPr>
              <w:t>评分因素</w:t>
            </w:r>
          </w:p>
        </w:tc>
        <w:tc>
          <w:tcPr>
            <w:tcW w:w="493" w:type="pct"/>
            <w:noWrap w:val="0"/>
            <w:vAlign w:val="top"/>
          </w:tcPr>
          <w:p w14:paraId="5A9C207C">
            <w:pPr>
              <w:keepNext w:val="0"/>
              <w:keepLines w:val="0"/>
              <w:pageBreakBefore w:val="0"/>
              <w:widowControl/>
              <w:kinsoku/>
              <w:wordWrap w:val="0"/>
              <w:overflowPunct/>
              <w:topLinePunct w:val="0"/>
              <w:autoSpaceDE w:val="0"/>
              <w:autoSpaceDN w:val="0"/>
              <w:bidi w:val="0"/>
              <w:adjustRightInd w:val="0"/>
              <w:snapToGrid w:val="0"/>
              <w:spacing w:before="40" w:line="208" w:lineRule="auto"/>
              <w:jc w:val="center"/>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spacing w:val="-4"/>
                <w:kern w:val="0"/>
                <w:sz w:val="24"/>
                <w:szCs w:val="24"/>
                <w:lang w:eastAsia="en-US"/>
              </w:rPr>
              <w:t>分值</w:t>
            </w:r>
          </w:p>
        </w:tc>
        <w:tc>
          <w:tcPr>
            <w:tcW w:w="1081" w:type="pct"/>
            <w:noWrap w:val="0"/>
            <w:vAlign w:val="top"/>
          </w:tcPr>
          <w:p w14:paraId="741D28EF">
            <w:pPr>
              <w:keepNext w:val="0"/>
              <w:keepLines w:val="0"/>
              <w:pageBreakBefore w:val="0"/>
              <w:widowControl/>
              <w:kinsoku/>
              <w:wordWrap w:val="0"/>
              <w:overflowPunct/>
              <w:topLinePunct w:val="0"/>
              <w:autoSpaceDE w:val="0"/>
              <w:autoSpaceDN w:val="0"/>
              <w:bidi w:val="0"/>
              <w:adjustRightInd w:val="0"/>
              <w:snapToGrid w:val="0"/>
              <w:spacing w:before="40" w:line="208" w:lineRule="auto"/>
              <w:jc w:val="center"/>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spacing w:val="-2"/>
                <w:kern w:val="0"/>
                <w:sz w:val="24"/>
                <w:szCs w:val="24"/>
                <w:lang w:eastAsia="en-US"/>
              </w:rPr>
              <w:t>评分标准</w:t>
            </w:r>
          </w:p>
        </w:tc>
        <w:tc>
          <w:tcPr>
            <w:tcW w:w="2458" w:type="pct"/>
            <w:noWrap w:val="0"/>
            <w:vAlign w:val="top"/>
          </w:tcPr>
          <w:p w14:paraId="01AADA58">
            <w:pPr>
              <w:keepNext w:val="0"/>
              <w:keepLines w:val="0"/>
              <w:pageBreakBefore w:val="0"/>
              <w:widowControl/>
              <w:kinsoku/>
              <w:wordWrap w:val="0"/>
              <w:overflowPunct/>
              <w:topLinePunct w:val="0"/>
              <w:autoSpaceDE w:val="0"/>
              <w:autoSpaceDN w:val="0"/>
              <w:bidi w:val="0"/>
              <w:adjustRightInd w:val="0"/>
              <w:snapToGrid w:val="0"/>
              <w:spacing w:before="40" w:line="208" w:lineRule="auto"/>
              <w:jc w:val="center"/>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spacing w:val="-4"/>
                <w:kern w:val="0"/>
                <w:sz w:val="24"/>
                <w:szCs w:val="24"/>
                <w:lang w:eastAsia="en-US"/>
              </w:rPr>
              <w:t>说明</w:t>
            </w:r>
          </w:p>
        </w:tc>
      </w:tr>
      <w:tr w14:paraId="5CA02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634" w:hRule="atLeast"/>
          <w:jc w:val="center"/>
        </w:trPr>
        <w:tc>
          <w:tcPr>
            <w:tcW w:w="356" w:type="pct"/>
            <w:noWrap w:val="0"/>
            <w:vAlign w:val="center"/>
          </w:tcPr>
          <w:p w14:paraId="38721DA1">
            <w:pPr>
              <w:rPr>
                <w:rFonts w:hint="eastAsia"/>
                <w:lang w:val="en-US" w:eastAsia="zh-CN"/>
              </w:rPr>
            </w:pPr>
          </w:p>
          <w:p w14:paraId="087B8165">
            <w:pPr>
              <w:rPr>
                <w:rFonts w:hint="eastAsia"/>
                <w:lang w:val="en-US" w:eastAsia="zh-CN"/>
              </w:rPr>
            </w:pPr>
          </w:p>
          <w:p w14:paraId="561E8DB1">
            <w:pPr>
              <w:rPr>
                <w:rFonts w:hint="eastAsia"/>
                <w:lang w:val="en-US" w:eastAsia="zh-CN"/>
              </w:rPr>
            </w:pPr>
          </w:p>
          <w:p w14:paraId="57E660BD">
            <w:pPr>
              <w:rPr>
                <w:rFonts w:hint="eastAsia"/>
                <w:lang w:val="en-US" w:eastAsia="zh-CN"/>
              </w:rPr>
            </w:pPr>
          </w:p>
          <w:p w14:paraId="2654048E">
            <w:pPr>
              <w:rPr>
                <w:rFonts w:hint="eastAsia"/>
                <w:lang w:val="en-US" w:eastAsia="zh-CN"/>
              </w:rPr>
            </w:pPr>
          </w:p>
          <w:p w14:paraId="6C69F94F">
            <w:pPr>
              <w:rPr>
                <w:rFonts w:hint="eastAsia"/>
                <w:lang w:val="en-US" w:eastAsia="zh-CN"/>
              </w:rPr>
            </w:pPr>
          </w:p>
          <w:p w14:paraId="60E8D2E4">
            <w:pPr>
              <w:rPr>
                <w:rFonts w:hint="eastAsia"/>
                <w:lang w:val="en-US" w:eastAsia="zh-CN"/>
              </w:rPr>
            </w:pPr>
          </w:p>
          <w:p w14:paraId="5B4F4B12">
            <w:pPr>
              <w:rPr>
                <w:rFonts w:hint="eastAsia"/>
                <w:lang w:val="en-US" w:eastAsia="zh-CN"/>
              </w:rPr>
            </w:pPr>
          </w:p>
          <w:p w14:paraId="684C2E38">
            <w:pPr>
              <w:rPr>
                <w:rFonts w:hint="default"/>
                <w:lang w:val="en-US" w:eastAsia="zh-CN"/>
              </w:rPr>
            </w:pPr>
            <w:r>
              <w:rPr>
                <w:rFonts w:hint="eastAsia"/>
                <w:lang w:val="en-US" w:eastAsia="zh-CN"/>
              </w:rPr>
              <w:t>1</w:t>
            </w:r>
          </w:p>
          <w:p w14:paraId="7DA08E46">
            <w:pPr>
              <w:rPr>
                <w:rFonts w:hint="eastAsia"/>
                <w:lang w:val="en-US" w:eastAsia="zh-CN"/>
              </w:rPr>
            </w:pPr>
          </w:p>
          <w:p w14:paraId="0950E04C">
            <w:pPr>
              <w:rPr>
                <w:rFonts w:hint="eastAsia"/>
                <w:lang w:val="en-US" w:eastAsia="zh-CN"/>
              </w:rPr>
            </w:pPr>
          </w:p>
          <w:p w14:paraId="41F3D0C9">
            <w:pPr>
              <w:rPr>
                <w:rFonts w:hint="eastAsia"/>
                <w:lang w:val="en-US" w:eastAsia="zh-CN"/>
              </w:rPr>
            </w:pPr>
          </w:p>
          <w:p w14:paraId="3C9322AD">
            <w:pPr>
              <w:rPr>
                <w:rFonts w:hint="eastAsia"/>
                <w:lang w:val="en-US" w:eastAsia="zh-CN"/>
              </w:rPr>
            </w:pPr>
          </w:p>
          <w:p w14:paraId="06A23677">
            <w:pPr>
              <w:rPr>
                <w:rFonts w:hint="eastAsia"/>
                <w:lang w:val="en-US" w:eastAsia="zh-CN"/>
              </w:rPr>
            </w:pPr>
          </w:p>
          <w:p w14:paraId="172CE45C">
            <w:pPr>
              <w:rPr>
                <w:rFonts w:hint="eastAsia"/>
                <w:lang w:val="en-US" w:eastAsia="zh-CN"/>
              </w:rPr>
            </w:pPr>
          </w:p>
          <w:p w14:paraId="547199FD">
            <w:pPr>
              <w:rPr>
                <w:rFonts w:hint="eastAsia"/>
                <w:lang w:val="en-US" w:eastAsia="zh-CN"/>
              </w:rPr>
            </w:pPr>
          </w:p>
          <w:p w14:paraId="028385EC">
            <w:pPr>
              <w:rPr>
                <w:rFonts w:hint="eastAsia"/>
                <w:lang w:val="en-US" w:eastAsia="zh-CN"/>
              </w:rPr>
            </w:pPr>
          </w:p>
          <w:p w14:paraId="6680FF5E">
            <w:pPr>
              <w:rPr>
                <w:rFonts w:hint="eastAsia"/>
                <w:lang w:val="en-US" w:eastAsia="zh-CN"/>
              </w:rPr>
            </w:pPr>
          </w:p>
        </w:tc>
        <w:tc>
          <w:tcPr>
            <w:tcW w:w="596" w:type="pct"/>
            <w:noWrap w:val="0"/>
            <w:vAlign w:val="center"/>
          </w:tcPr>
          <w:p w14:paraId="1640CC40">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1ED80D20">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2D70EEFC">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72D78D56">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6315DF59">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59B6671E">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259A49BF">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磋商</w:t>
            </w:r>
            <w:r>
              <w:rPr>
                <w:rFonts w:hint="eastAsia" w:ascii="宋体" w:hAnsi="宋体" w:eastAsia="宋体" w:cs="宋体"/>
                <w:snapToGrid w:val="0"/>
                <w:color w:val="auto"/>
                <w:spacing w:val="0"/>
                <w:kern w:val="0"/>
                <w:sz w:val="22"/>
                <w:szCs w:val="22"/>
                <w:highlight w:val="none"/>
                <w:lang w:val="en-US" w:eastAsia="en-US" w:bidi="ar-SA"/>
              </w:rPr>
              <w:t>报价</w:t>
            </w:r>
            <w:r>
              <w:rPr>
                <w:rFonts w:hint="eastAsia" w:ascii="宋体" w:hAnsi="宋体" w:eastAsia="宋体" w:cs="宋体"/>
                <w:snapToGrid w:val="0"/>
                <w:color w:val="auto"/>
                <w:spacing w:val="0"/>
                <w:kern w:val="0"/>
                <w:sz w:val="22"/>
                <w:szCs w:val="22"/>
                <w:highlight w:val="none"/>
                <w:lang w:val="en-US" w:eastAsia="zh-CN" w:bidi="ar-SA"/>
              </w:rPr>
              <w:t>（30分）</w:t>
            </w:r>
          </w:p>
          <w:p w14:paraId="418D0B50">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0B91F5B4">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264F2619">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713BEFBF">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6985CA4B">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6122C989">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5F9C6851">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tc>
        <w:tc>
          <w:tcPr>
            <w:tcW w:w="493" w:type="pct"/>
            <w:noWrap w:val="0"/>
            <w:vAlign w:val="top"/>
          </w:tcPr>
          <w:p w14:paraId="215AC3CD">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04C37323">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775C400A">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7CFA8E24">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3D99D9BB">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639C1F57">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7B80F219">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p>
          <w:p w14:paraId="5FB379B0">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p>
          <w:p w14:paraId="51C5DE18">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default"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30分</w:t>
            </w:r>
          </w:p>
        </w:tc>
        <w:tc>
          <w:tcPr>
            <w:tcW w:w="1081" w:type="pct"/>
            <w:noWrap w:val="0"/>
            <w:vAlign w:val="top"/>
          </w:tcPr>
          <w:p w14:paraId="5AAC9E77">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782D25F2">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5137805F">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p w14:paraId="508E7CE5">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满足竞争性磋商文件要求且磋商价格最低的磋商报价为评标基准价，其价格分为满分。其他供应商的价格分统一按照下列公式计算：</w:t>
            </w:r>
          </w:p>
          <w:p w14:paraId="714CF3B7">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磋商报价得分＝（评标基准价/磋商报价）×30。</w:t>
            </w:r>
          </w:p>
          <w:p w14:paraId="741247A8">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p>
        </w:tc>
        <w:tc>
          <w:tcPr>
            <w:tcW w:w="2458" w:type="pct"/>
            <w:noWrap w:val="0"/>
            <w:vAlign w:val="top"/>
          </w:tcPr>
          <w:p w14:paraId="162AD4C9">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zh-CN" w:bidi="ar-SA"/>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ascii="宋体" w:hAnsi="宋体" w:eastAsia="宋体" w:cs="宋体"/>
                <w:snapToGrid w:val="0"/>
                <w:color w:val="auto"/>
                <w:spacing w:val="0"/>
                <w:kern w:val="0"/>
                <w:sz w:val="22"/>
                <w:szCs w:val="22"/>
                <w:highlight w:val="none"/>
                <w:u w:val="single"/>
                <w:lang w:val="en-US" w:eastAsia="zh-CN" w:bidi="ar-SA"/>
              </w:rPr>
              <w:t xml:space="preserve">  20  </w:t>
            </w:r>
            <w:r>
              <w:rPr>
                <w:rFonts w:hint="eastAsia" w:ascii="宋体" w:hAnsi="宋体" w:eastAsia="宋体" w:cs="宋体"/>
                <w:snapToGrid w:val="0"/>
                <w:color w:val="auto"/>
                <w:spacing w:val="0"/>
                <w:kern w:val="0"/>
                <w:sz w:val="22"/>
                <w:szCs w:val="22"/>
                <w:highlight w:val="none"/>
                <w:lang w:val="en-US" w:eastAsia="zh-CN" w:bidi="ar-SA"/>
              </w:rPr>
              <w:t>%后参与评审。对于同时属于小微企业、监狱企业或残疾人福利性单位的，不重复进行投标报价扣除。（专门面向中小企业的项目除外）</w:t>
            </w:r>
          </w:p>
        </w:tc>
      </w:tr>
      <w:tr w14:paraId="7C0E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4" w:hRule="atLeast"/>
          <w:jc w:val="center"/>
        </w:trPr>
        <w:tc>
          <w:tcPr>
            <w:tcW w:w="356" w:type="pct"/>
            <w:vMerge w:val="restart"/>
            <w:noWrap w:val="0"/>
            <w:vAlign w:val="center"/>
          </w:tcPr>
          <w:p w14:paraId="46490DA0">
            <w:pPr>
              <w:keepNext w:val="0"/>
              <w:keepLines w:val="0"/>
              <w:pageBreakBefore w:val="0"/>
              <w:kinsoku/>
              <w:wordWrap w:val="0"/>
              <w:overflowPunct/>
              <w:topLinePunct w:val="0"/>
              <w:autoSpaceDE w:val="0"/>
              <w:autoSpaceDN w:val="0"/>
              <w:bidi w:val="0"/>
              <w:adjustRightInd w:val="0"/>
              <w:snapToGrid w:val="0"/>
              <w:spacing w:line="240" w:lineRule="auto"/>
              <w:ind w:firstLine="214" w:firstLineChars="100"/>
              <w:jc w:val="both"/>
              <w:textAlignment w:val="baseline"/>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2</w:t>
            </w:r>
          </w:p>
        </w:tc>
        <w:tc>
          <w:tcPr>
            <w:tcW w:w="596" w:type="pct"/>
            <w:vMerge w:val="restart"/>
            <w:noWrap w:val="0"/>
            <w:vAlign w:val="center"/>
          </w:tcPr>
          <w:p w14:paraId="58E951CF">
            <w:pPr>
              <w:keepNext w:val="0"/>
              <w:keepLines w:val="0"/>
              <w:pageBreakBefore w:val="0"/>
              <w:widowControl/>
              <w:kinsoku/>
              <w:wordWrap w:val="0"/>
              <w:overflowPunct/>
              <w:topLinePunct w:val="0"/>
              <w:autoSpaceDE w:val="0"/>
              <w:autoSpaceDN w:val="0"/>
              <w:bidi w:val="0"/>
              <w:adjustRightInd w:val="0"/>
              <w:snapToGrid w:val="0"/>
              <w:spacing w:before="78" w:line="219" w:lineRule="auto"/>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技术部分</w:t>
            </w:r>
          </w:p>
          <w:p w14:paraId="3E11DC23">
            <w:pPr>
              <w:keepNext w:val="0"/>
              <w:keepLines w:val="0"/>
              <w:pageBreakBefore w:val="0"/>
              <w:widowControl/>
              <w:kinsoku/>
              <w:wordWrap w:val="0"/>
              <w:overflowPunct/>
              <w:topLinePunct w:val="0"/>
              <w:autoSpaceDE w:val="0"/>
              <w:autoSpaceDN w:val="0"/>
              <w:bidi w:val="0"/>
              <w:adjustRightInd w:val="0"/>
              <w:snapToGrid w:val="0"/>
              <w:spacing w:before="78" w:line="219" w:lineRule="auto"/>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（55分）</w:t>
            </w:r>
          </w:p>
        </w:tc>
        <w:tc>
          <w:tcPr>
            <w:tcW w:w="493" w:type="pct"/>
            <w:noWrap w:val="0"/>
            <w:vAlign w:val="top"/>
          </w:tcPr>
          <w:p w14:paraId="0F088537">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 xml:space="preserve"> </w:t>
            </w:r>
          </w:p>
          <w:p w14:paraId="53FF6762">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4C3BB9B6">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p>
          <w:p w14:paraId="5DAAC127">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p>
          <w:p w14:paraId="035D8C01">
            <w:pPr>
              <w:keepNext w:val="0"/>
              <w:keepLines w:val="0"/>
              <w:pageBreakBefore w:val="0"/>
              <w:kinsoku/>
              <w:wordWrap w:val="0"/>
              <w:overflowPunct/>
              <w:topLinePunct w:val="0"/>
              <w:autoSpaceDE w:val="0"/>
              <w:autoSpaceDN w:val="0"/>
              <w:bidi w:val="0"/>
              <w:adjustRightInd w:val="0"/>
              <w:snapToGrid w:val="0"/>
              <w:spacing w:before="26" w:line="228" w:lineRule="auto"/>
              <w:ind w:right="103" w:firstLine="220" w:firstLineChars="100"/>
              <w:jc w:val="both"/>
              <w:textAlignment w:val="baseline"/>
              <w:rPr>
                <w:rFonts w:hint="default" w:ascii="宋体" w:hAnsi="宋体" w:eastAsia="宋体" w:cs="宋体"/>
                <w:snapToGrid w:val="0"/>
                <w:color w:val="auto"/>
                <w:spacing w:val="0"/>
                <w:kern w:val="0"/>
                <w:sz w:val="22"/>
                <w:szCs w:val="22"/>
                <w:highlight w:val="none"/>
                <w:lang w:val="en-US" w:eastAsia="zh-CN" w:bidi="ar-SA"/>
              </w:rPr>
            </w:pPr>
            <w:r>
              <w:rPr>
                <w:rFonts w:hint="default" w:ascii="宋体" w:hAnsi="宋体" w:eastAsia="宋体" w:cs="宋体"/>
                <w:snapToGrid w:val="0"/>
                <w:color w:val="auto"/>
                <w:spacing w:val="0"/>
                <w:kern w:val="0"/>
                <w:sz w:val="22"/>
                <w:szCs w:val="22"/>
                <w:highlight w:val="none"/>
                <w:lang w:val="en-US" w:eastAsia="zh-CN" w:bidi="ar-SA"/>
              </w:rPr>
              <w:t>8分</w:t>
            </w:r>
          </w:p>
        </w:tc>
        <w:tc>
          <w:tcPr>
            <w:tcW w:w="1081" w:type="pct"/>
            <w:noWrap w:val="0"/>
            <w:vAlign w:val="top"/>
          </w:tcPr>
          <w:p w14:paraId="33E5F173">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both"/>
              <w:textAlignment w:val="baseline"/>
              <w:rPr>
                <w:rFonts w:hint="eastAsia" w:ascii="宋体" w:hAnsi="宋体" w:eastAsia="宋体" w:cs="宋体"/>
                <w:snapToGrid w:val="0"/>
                <w:color w:val="auto"/>
                <w:spacing w:val="0"/>
                <w:kern w:val="0"/>
                <w:sz w:val="22"/>
                <w:szCs w:val="22"/>
                <w:highlight w:val="none"/>
                <w:lang w:val="en-US" w:eastAsia="zh-CN" w:bidi="ar-SA"/>
              </w:rPr>
            </w:pPr>
          </w:p>
          <w:p w14:paraId="3931DC3A">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both"/>
              <w:textAlignment w:val="baseline"/>
              <w:rPr>
                <w:rFonts w:hint="eastAsia" w:ascii="宋体" w:hAnsi="宋体" w:eastAsia="宋体" w:cs="宋体"/>
                <w:snapToGrid w:val="0"/>
                <w:color w:val="auto"/>
                <w:spacing w:val="0"/>
                <w:kern w:val="0"/>
                <w:sz w:val="22"/>
                <w:szCs w:val="22"/>
                <w:highlight w:val="none"/>
                <w:lang w:val="en-US" w:eastAsia="zh-CN" w:bidi="ar-SA"/>
              </w:rPr>
            </w:pPr>
          </w:p>
          <w:p w14:paraId="41E18A7E">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p>
          <w:p w14:paraId="2ED901D6">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项目实施难点、关键过程分析及对策</w:t>
            </w:r>
          </w:p>
        </w:tc>
        <w:tc>
          <w:tcPr>
            <w:tcW w:w="2472" w:type="pct"/>
            <w:gridSpan w:val="2"/>
            <w:noWrap w:val="0"/>
            <w:vAlign w:val="top"/>
          </w:tcPr>
          <w:p w14:paraId="05D8B562">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auto"/>
              <w:ind w:leftChars="0" w:right="0" w:rightChars="0"/>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能全面分析出现有系统应用特点和维护重点、难点，并进行描述，针对维护重点、难点问题能够提出科学合理的维护方案。</w:t>
            </w:r>
          </w:p>
          <w:p w14:paraId="19F8A2ED">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auto"/>
              <w:ind w:leftChars="0" w:right="0" w:rightChars="0"/>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项目理解完整、科学、认识全面且合理得8分，</w:t>
            </w:r>
          </w:p>
          <w:p w14:paraId="4B259611">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auto"/>
              <w:ind w:leftChars="0" w:right="0" w:rightChars="0"/>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项目理解完整、科学、认识一般得5分，</w:t>
            </w:r>
          </w:p>
          <w:p w14:paraId="0A7EF018">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auto"/>
              <w:ind w:leftChars="0" w:right="0" w:rightChars="0"/>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项目理解完整、科学、认识较差得2分，缺项得 0分；</w:t>
            </w:r>
          </w:p>
          <w:p w14:paraId="7A877F34">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auto"/>
              <w:ind w:leftChars="0" w:right="0" w:rightChars="0"/>
              <w:textAlignment w:val="baseline"/>
              <w:rPr>
                <w:rFonts w:hint="eastAsia" w:ascii="宋体" w:hAnsi="宋体" w:eastAsia="宋体" w:cs="宋体"/>
                <w:snapToGrid w:val="0"/>
                <w:color w:val="auto"/>
                <w:spacing w:val="0"/>
                <w:kern w:val="0"/>
                <w:sz w:val="22"/>
                <w:szCs w:val="22"/>
                <w:highlight w:val="none"/>
                <w:lang w:val="en-US" w:eastAsia="en-US" w:bidi="ar-SA"/>
              </w:rPr>
            </w:pPr>
          </w:p>
        </w:tc>
      </w:tr>
      <w:tr w14:paraId="215C8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356" w:type="pct"/>
            <w:vMerge w:val="continue"/>
            <w:noWrap w:val="0"/>
            <w:vAlign w:val="center"/>
          </w:tcPr>
          <w:p w14:paraId="392BB7E7">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napToGrid w:val="0"/>
                <w:color w:val="000000"/>
                <w:spacing w:val="-13"/>
                <w:kern w:val="0"/>
                <w:sz w:val="24"/>
                <w:szCs w:val="24"/>
                <w:lang w:val="en-US" w:eastAsia="zh-CN" w:bidi="ar-SA"/>
              </w:rPr>
            </w:pPr>
          </w:p>
        </w:tc>
        <w:tc>
          <w:tcPr>
            <w:tcW w:w="596" w:type="pct"/>
            <w:vMerge w:val="continue"/>
            <w:noWrap w:val="0"/>
            <w:vAlign w:val="center"/>
          </w:tcPr>
          <w:p w14:paraId="1AA83B4A">
            <w:pPr>
              <w:keepNext w:val="0"/>
              <w:keepLines w:val="0"/>
              <w:pageBreakBefore w:val="0"/>
              <w:widowControl/>
              <w:kinsoku/>
              <w:wordWrap w:val="0"/>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tc>
        <w:tc>
          <w:tcPr>
            <w:tcW w:w="493" w:type="pct"/>
            <w:vMerge w:val="restart"/>
            <w:noWrap w:val="0"/>
            <w:vAlign w:val="top"/>
          </w:tcPr>
          <w:p w14:paraId="355FD674">
            <w:pPr>
              <w:keepNext w:val="0"/>
              <w:keepLines w:val="0"/>
              <w:pageBreakBefore w:val="0"/>
              <w:kinsoku/>
              <w:wordWrap w:val="0"/>
              <w:overflowPunct/>
              <w:topLinePunct w:val="0"/>
              <w:autoSpaceDE w:val="0"/>
              <w:autoSpaceDN w:val="0"/>
              <w:bidi w:val="0"/>
              <w:adjustRightInd w:val="0"/>
              <w:snapToGrid w:val="0"/>
              <w:spacing w:before="26" w:line="228" w:lineRule="auto"/>
              <w:ind w:right="103"/>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p w14:paraId="048C4523">
            <w:pPr>
              <w:keepNext w:val="0"/>
              <w:keepLines w:val="0"/>
              <w:pageBreakBefore w:val="0"/>
              <w:kinsoku/>
              <w:wordWrap w:val="0"/>
              <w:overflowPunct/>
              <w:topLinePunct w:val="0"/>
              <w:autoSpaceDE w:val="0"/>
              <w:autoSpaceDN w:val="0"/>
              <w:bidi w:val="0"/>
              <w:adjustRightInd w:val="0"/>
              <w:snapToGrid w:val="0"/>
              <w:spacing w:before="26" w:line="228" w:lineRule="auto"/>
              <w:ind w:right="103"/>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p w14:paraId="569CEE17">
            <w:pPr>
              <w:keepNext w:val="0"/>
              <w:keepLines w:val="0"/>
              <w:pageBreakBefore w:val="0"/>
              <w:kinsoku/>
              <w:wordWrap w:val="0"/>
              <w:overflowPunct/>
              <w:topLinePunct w:val="0"/>
              <w:autoSpaceDE w:val="0"/>
              <w:autoSpaceDN w:val="0"/>
              <w:bidi w:val="0"/>
              <w:adjustRightInd w:val="0"/>
              <w:snapToGrid w:val="0"/>
              <w:spacing w:before="26" w:line="228" w:lineRule="auto"/>
              <w:ind w:right="103"/>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p w14:paraId="7A9E59BB">
            <w:pPr>
              <w:keepNext w:val="0"/>
              <w:keepLines w:val="0"/>
              <w:pageBreakBefore w:val="0"/>
              <w:kinsoku/>
              <w:wordWrap w:val="0"/>
              <w:overflowPunct/>
              <w:topLinePunct w:val="0"/>
              <w:autoSpaceDE w:val="0"/>
              <w:autoSpaceDN w:val="0"/>
              <w:bidi w:val="0"/>
              <w:adjustRightInd w:val="0"/>
              <w:snapToGrid w:val="0"/>
              <w:spacing w:before="26" w:line="228" w:lineRule="auto"/>
              <w:ind w:right="103"/>
              <w:jc w:val="center"/>
              <w:textAlignment w:val="baseline"/>
              <w:rPr>
                <w:rFonts w:hint="default" w:ascii="宋体" w:hAnsi="宋体" w:eastAsia="宋体" w:cs="宋体"/>
                <w:snapToGrid w:val="0"/>
                <w:color w:val="auto"/>
                <w:spacing w:val="0"/>
                <w:kern w:val="0"/>
                <w:sz w:val="22"/>
                <w:szCs w:val="22"/>
                <w:highlight w:val="none"/>
                <w:lang w:val="en-US" w:eastAsia="zh-CN" w:bidi="ar-SA"/>
              </w:rPr>
            </w:pPr>
            <w:r>
              <w:rPr>
                <w:rFonts w:hint="default" w:ascii="宋体" w:hAnsi="宋体" w:eastAsia="宋体" w:cs="宋体"/>
                <w:snapToGrid w:val="0"/>
                <w:color w:val="auto"/>
                <w:spacing w:val="0"/>
                <w:kern w:val="0"/>
                <w:sz w:val="22"/>
                <w:szCs w:val="22"/>
                <w:highlight w:val="none"/>
                <w:lang w:val="en-US" w:eastAsia="zh-CN" w:bidi="ar-SA"/>
              </w:rPr>
              <w:t>24分</w:t>
            </w:r>
          </w:p>
        </w:tc>
        <w:tc>
          <w:tcPr>
            <w:tcW w:w="1081" w:type="pct"/>
            <w:vMerge w:val="restart"/>
            <w:noWrap w:val="0"/>
            <w:vAlign w:val="top"/>
          </w:tcPr>
          <w:p w14:paraId="039EFF72">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 xml:space="preserve"> </w:t>
            </w:r>
          </w:p>
          <w:p w14:paraId="1CF908BA">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p>
          <w:p w14:paraId="2164735D">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eastAsia" w:ascii="宋体" w:hAnsi="宋体" w:eastAsia="宋体" w:cs="宋体"/>
                <w:snapToGrid w:val="0"/>
                <w:color w:val="auto"/>
                <w:spacing w:val="0"/>
                <w:kern w:val="0"/>
                <w:sz w:val="22"/>
                <w:szCs w:val="22"/>
                <w:highlight w:val="none"/>
                <w:lang w:val="en-US" w:eastAsia="zh-CN" w:bidi="ar-SA"/>
              </w:rPr>
            </w:pPr>
          </w:p>
          <w:p w14:paraId="69EAA63C">
            <w:pPr>
              <w:keepNext w:val="0"/>
              <w:keepLines w:val="0"/>
              <w:pageBreakBefore w:val="0"/>
              <w:kinsoku/>
              <w:wordWrap w:val="0"/>
              <w:overflowPunct/>
              <w:topLinePunct w:val="0"/>
              <w:autoSpaceDE w:val="0"/>
              <w:autoSpaceDN w:val="0"/>
              <w:bidi w:val="0"/>
              <w:adjustRightInd w:val="0"/>
              <w:snapToGrid w:val="0"/>
              <w:spacing w:before="26" w:line="228" w:lineRule="auto"/>
              <w:ind w:right="103"/>
              <w:jc w:val="both"/>
              <w:textAlignment w:val="baseline"/>
              <w:rPr>
                <w:rFonts w:hint="default" w:ascii="宋体" w:hAnsi="宋体" w:eastAsia="宋体" w:cs="宋体"/>
                <w:snapToGrid w:val="0"/>
                <w:color w:val="auto"/>
                <w:spacing w:val="0"/>
                <w:kern w:val="0"/>
                <w:sz w:val="22"/>
                <w:szCs w:val="22"/>
                <w:highlight w:val="none"/>
                <w:lang w:val="en-US" w:eastAsia="en-US" w:bidi="ar-SA"/>
              </w:rPr>
            </w:pPr>
            <w:r>
              <w:rPr>
                <w:rFonts w:hint="default" w:ascii="宋体" w:hAnsi="宋体" w:eastAsia="宋体" w:cs="宋体"/>
                <w:snapToGrid w:val="0"/>
                <w:color w:val="auto"/>
                <w:spacing w:val="0"/>
                <w:kern w:val="0"/>
                <w:sz w:val="22"/>
                <w:szCs w:val="22"/>
                <w:highlight w:val="none"/>
                <w:lang w:val="en-US" w:eastAsia="en-US" w:bidi="ar-SA"/>
              </w:rPr>
              <w:t>保障方案</w:t>
            </w:r>
          </w:p>
        </w:tc>
        <w:tc>
          <w:tcPr>
            <w:tcW w:w="2472" w:type="pct"/>
            <w:gridSpan w:val="2"/>
            <w:noWrap w:val="0"/>
            <w:vAlign w:val="top"/>
          </w:tcPr>
          <w:p w14:paraId="0A91B383">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auto"/>
              <w:ind w:leftChars="0" w:right="0" w:rightChars="0"/>
              <w:textAlignment w:val="baseline"/>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zh-CN" w:bidi="ar-SA"/>
              </w:rPr>
              <w:t>1、</w:t>
            </w:r>
            <w:r>
              <w:rPr>
                <w:rFonts w:hint="eastAsia" w:ascii="宋体" w:hAnsi="宋体" w:eastAsia="宋体" w:cs="宋体"/>
                <w:snapToGrid w:val="0"/>
                <w:color w:val="auto"/>
                <w:spacing w:val="0"/>
                <w:kern w:val="0"/>
                <w:sz w:val="22"/>
                <w:szCs w:val="22"/>
                <w:highlight w:val="none"/>
                <w:lang w:val="en-US" w:eastAsia="en-US" w:bidi="ar-SA"/>
              </w:rPr>
              <w:t>根据岗位职责和工作分工，明确考点负责人、操作人员和技术人员的配备数量及岗位职责；进行综合比较评分</w:t>
            </w:r>
            <w:r>
              <w:rPr>
                <w:rFonts w:hint="eastAsia" w:ascii="宋体" w:hAnsi="宋体" w:eastAsia="宋体" w:cs="宋体"/>
                <w:snapToGrid w:val="0"/>
                <w:color w:val="auto"/>
                <w:spacing w:val="0"/>
                <w:kern w:val="0"/>
                <w:sz w:val="22"/>
                <w:szCs w:val="22"/>
                <w:highlight w:val="none"/>
                <w:lang w:val="en-US" w:eastAsia="zh-CN" w:bidi="ar-SA"/>
              </w:rPr>
              <w:t>。</w:t>
            </w:r>
          </w:p>
          <w:p w14:paraId="1A74B915">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auto"/>
              <w:ind w:leftChars="0" w:right="0" w:rightChars="0"/>
              <w:textAlignment w:val="baseline"/>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方案内容完整、合理、针对性强得8分，</w:t>
            </w:r>
          </w:p>
          <w:p w14:paraId="7FAD4DF4">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auto"/>
              <w:ind w:leftChars="0" w:right="0" w:rightChars="0"/>
              <w:textAlignment w:val="baseline"/>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方案内容完整、计划可行符合项目需求得5分，</w:t>
            </w:r>
          </w:p>
          <w:p w14:paraId="7A872EAA">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auto"/>
              <w:ind w:leftChars="0" w:right="0" w:rightChars="0"/>
              <w:textAlignment w:val="baseline"/>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方案内容完整基本符合项目需求2分，缺项得0分；</w:t>
            </w:r>
          </w:p>
        </w:tc>
      </w:tr>
      <w:tr w14:paraId="2B183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jc w:val="center"/>
        </w:trPr>
        <w:tc>
          <w:tcPr>
            <w:tcW w:w="356" w:type="pct"/>
            <w:vMerge w:val="continue"/>
            <w:noWrap w:val="0"/>
            <w:vAlign w:val="center"/>
          </w:tcPr>
          <w:p w14:paraId="72C4EC46">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13"/>
                <w:kern w:val="0"/>
                <w:sz w:val="24"/>
                <w:szCs w:val="24"/>
                <w:lang w:val="en-US" w:eastAsia="zh-CN" w:bidi="ar-SA"/>
              </w:rPr>
            </w:pPr>
          </w:p>
        </w:tc>
        <w:tc>
          <w:tcPr>
            <w:tcW w:w="596" w:type="pct"/>
            <w:vMerge w:val="continue"/>
            <w:noWrap w:val="0"/>
            <w:vAlign w:val="center"/>
          </w:tcPr>
          <w:p w14:paraId="0907927B">
            <w:pPr>
              <w:keepNext w:val="0"/>
              <w:keepLines w:val="0"/>
              <w:pageBreakBefore w:val="0"/>
              <w:widowControl/>
              <w:kinsoku/>
              <w:wordWrap w:val="0"/>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tc>
        <w:tc>
          <w:tcPr>
            <w:tcW w:w="493" w:type="pct"/>
            <w:vMerge w:val="continue"/>
            <w:noWrap w:val="0"/>
            <w:vAlign w:val="top"/>
          </w:tcPr>
          <w:p w14:paraId="2C584332">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tc>
        <w:tc>
          <w:tcPr>
            <w:tcW w:w="1081" w:type="pct"/>
            <w:vMerge w:val="continue"/>
            <w:noWrap w:val="0"/>
            <w:vAlign w:val="top"/>
          </w:tcPr>
          <w:p w14:paraId="0E7497BC">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both"/>
              <w:textAlignment w:val="baseline"/>
              <w:rPr>
                <w:rFonts w:hint="eastAsia" w:ascii="宋体" w:hAnsi="宋体" w:eastAsia="宋体" w:cs="宋体"/>
                <w:snapToGrid w:val="0"/>
                <w:color w:val="auto"/>
                <w:spacing w:val="0"/>
                <w:kern w:val="0"/>
                <w:sz w:val="22"/>
                <w:szCs w:val="22"/>
                <w:highlight w:val="none"/>
                <w:lang w:val="en-US" w:eastAsia="en-US" w:bidi="ar-SA"/>
              </w:rPr>
            </w:pPr>
          </w:p>
        </w:tc>
        <w:tc>
          <w:tcPr>
            <w:tcW w:w="2472" w:type="pct"/>
            <w:gridSpan w:val="2"/>
            <w:noWrap w:val="0"/>
            <w:vAlign w:val="top"/>
          </w:tcPr>
          <w:p w14:paraId="19C7EEE3">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auto"/>
              <w:ind w:leftChars="0" w:right="0" w:rightChars="0"/>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2、根据考点学生具体选项情况，明确各分项测试设备的备用机器数量及保证措施；进行综合比较评分。</w:t>
            </w:r>
          </w:p>
          <w:p w14:paraId="10E4B225">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auto"/>
              <w:ind w:leftChars="0" w:right="0" w:rightChars="0"/>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方案内容完整、合理、针对性强得8分，</w:t>
            </w:r>
          </w:p>
          <w:p w14:paraId="44C1D8AC">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auto"/>
              <w:ind w:leftChars="0" w:right="0" w:rightChars="0"/>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方案内容完整、计划可行符合项目需求得5分，</w:t>
            </w:r>
          </w:p>
          <w:p w14:paraId="2C94ED1A">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20" w:lineRule="auto"/>
              <w:ind w:leftChars="0" w:right="0" w:rightChars="0"/>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方案内容完整基本符合项目需求2分，缺项得 0分；</w:t>
            </w:r>
          </w:p>
        </w:tc>
      </w:tr>
      <w:tr w14:paraId="57C6A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jc w:val="center"/>
        </w:trPr>
        <w:tc>
          <w:tcPr>
            <w:tcW w:w="356" w:type="pct"/>
            <w:vMerge w:val="continue"/>
            <w:noWrap w:val="0"/>
            <w:vAlign w:val="center"/>
          </w:tcPr>
          <w:p w14:paraId="00A16D38">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13"/>
                <w:kern w:val="0"/>
                <w:sz w:val="24"/>
                <w:szCs w:val="24"/>
                <w:lang w:val="en-US" w:eastAsia="zh-CN" w:bidi="ar-SA"/>
              </w:rPr>
            </w:pPr>
          </w:p>
        </w:tc>
        <w:tc>
          <w:tcPr>
            <w:tcW w:w="596" w:type="pct"/>
            <w:vMerge w:val="continue"/>
            <w:noWrap w:val="0"/>
            <w:vAlign w:val="center"/>
          </w:tcPr>
          <w:p w14:paraId="1D89C7E7">
            <w:pPr>
              <w:keepNext w:val="0"/>
              <w:keepLines w:val="0"/>
              <w:pageBreakBefore w:val="0"/>
              <w:widowControl/>
              <w:kinsoku/>
              <w:wordWrap w:val="0"/>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tc>
        <w:tc>
          <w:tcPr>
            <w:tcW w:w="493" w:type="pct"/>
            <w:vMerge w:val="continue"/>
            <w:noWrap w:val="0"/>
            <w:vAlign w:val="top"/>
          </w:tcPr>
          <w:p w14:paraId="16E318D4">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tc>
        <w:tc>
          <w:tcPr>
            <w:tcW w:w="1081" w:type="pct"/>
            <w:vMerge w:val="continue"/>
            <w:noWrap w:val="0"/>
            <w:vAlign w:val="top"/>
          </w:tcPr>
          <w:p w14:paraId="2C85EB7B">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both"/>
              <w:textAlignment w:val="baseline"/>
              <w:rPr>
                <w:rFonts w:hint="default" w:ascii="宋体" w:hAnsi="宋体" w:eastAsia="宋体" w:cs="宋体"/>
                <w:snapToGrid w:val="0"/>
                <w:color w:val="auto"/>
                <w:spacing w:val="0"/>
                <w:kern w:val="0"/>
                <w:sz w:val="22"/>
                <w:szCs w:val="22"/>
                <w:highlight w:val="none"/>
                <w:lang w:val="en-US" w:eastAsia="en-US" w:bidi="ar-SA"/>
              </w:rPr>
            </w:pPr>
          </w:p>
        </w:tc>
        <w:tc>
          <w:tcPr>
            <w:tcW w:w="2472" w:type="pct"/>
            <w:gridSpan w:val="2"/>
            <w:noWrap w:val="0"/>
            <w:vAlign w:val="top"/>
          </w:tcPr>
          <w:p w14:paraId="30CB63F3">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3、明确设备故障情况下，应急排障护考的实施方案。进行综合比较评分。</w:t>
            </w:r>
          </w:p>
          <w:p w14:paraId="4DD12795">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方案内容完整、合理、针对性强得8分，</w:t>
            </w:r>
          </w:p>
          <w:p w14:paraId="6CE76A5F">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方案内容完整、计划可行符合项目需求得5 分，</w:t>
            </w:r>
          </w:p>
          <w:p w14:paraId="0920F26B">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方案内容完整基本符合项目需求2分，缺项得0分；</w:t>
            </w:r>
          </w:p>
        </w:tc>
      </w:tr>
      <w:tr w14:paraId="70C6C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jc w:val="center"/>
        </w:trPr>
        <w:tc>
          <w:tcPr>
            <w:tcW w:w="356" w:type="pct"/>
            <w:vMerge w:val="continue"/>
            <w:noWrap w:val="0"/>
            <w:vAlign w:val="center"/>
          </w:tcPr>
          <w:p w14:paraId="7E70F617">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13"/>
                <w:kern w:val="0"/>
                <w:sz w:val="24"/>
                <w:szCs w:val="24"/>
                <w:lang w:val="en-US" w:eastAsia="zh-CN" w:bidi="ar-SA"/>
              </w:rPr>
            </w:pPr>
          </w:p>
        </w:tc>
        <w:tc>
          <w:tcPr>
            <w:tcW w:w="596" w:type="pct"/>
            <w:vMerge w:val="continue"/>
            <w:noWrap w:val="0"/>
            <w:vAlign w:val="center"/>
          </w:tcPr>
          <w:p w14:paraId="67322B29">
            <w:pPr>
              <w:keepNext w:val="0"/>
              <w:keepLines w:val="0"/>
              <w:pageBreakBefore w:val="0"/>
              <w:widowControl/>
              <w:kinsoku/>
              <w:wordWrap w:val="0"/>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tc>
        <w:tc>
          <w:tcPr>
            <w:tcW w:w="493" w:type="pct"/>
            <w:vMerge w:val="restart"/>
            <w:noWrap w:val="0"/>
            <w:vAlign w:val="top"/>
          </w:tcPr>
          <w:p w14:paraId="2F833CC7">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p w14:paraId="5A8C855C">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p w14:paraId="100C96E8">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p w14:paraId="7C936DDA">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p w14:paraId="0D345B0D">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p w14:paraId="223813B3">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zh-CN" w:bidi="ar-SA"/>
              </w:rPr>
            </w:pPr>
            <w:r>
              <w:rPr>
                <w:rFonts w:hint="default" w:ascii="宋体" w:hAnsi="宋体" w:eastAsia="宋体" w:cs="宋体"/>
                <w:snapToGrid w:val="0"/>
                <w:color w:val="auto"/>
                <w:spacing w:val="0"/>
                <w:kern w:val="0"/>
                <w:sz w:val="22"/>
                <w:szCs w:val="22"/>
                <w:highlight w:val="none"/>
                <w:lang w:val="en-US" w:eastAsia="zh-CN" w:bidi="ar-SA"/>
              </w:rPr>
              <w:t>16分</w:t>
            </w:r>
          </w:p>
        </w:tc>
        <w:tc>
          <w:tcPr>
            <w:tcW w:w="1081" w:type="pct"/>
            <w:vMerge w:val="restart"/>
            <w:noWrap w:val="0"/>
            <w:vAlign w:val="top"/>
          </w:tcPr>
          <w:p w14:paraId="517639E6">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en-US" w:bidi="ar-SA"/>
              </w:rPr>
            </w:pPr>
          </w:p>
          <w:p w14:paraId="67B20C6C">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en-US" w:bidi="ar-SA"/>
              </w:rPr>
            </w:pPr>
          </w:p>
          <w:p w14:paraId="0EA28417">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en-US" w:bidi="ar-SA"/>
              </w:rPr>
            </w:pPr>
          </w:p>
          <w:p w14:paraId="69E9009E">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en-US" w:bidi="ar-SA"/>
              </w:rPr>
            </w:pPr>
          </w:p>
          <w:p w14:paraId="4F4270F4">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en-US" w:bidi="ar-SA"/>
              </w:rPr>
            </w:pPr>
          </w:p>
          <w:p w14:paraId="62FB649E">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en-US" w:bidi="ar-SA"/>
              </w:rPr>
            </w:pPr>
            <w:r>
              <w:rPr>
                <w:rFonts w:hint="default" w:ascii="宋体" w:hAnsi="宋体" w:eastAsia="宋体" w:cs="宋体"/>
                <w:snapToGrid w:val="0"/>
                <w:color w:val="auto"/>
                <w:spacing w:val="0"/>
                <w:kern w:val="0"/>
                <w:sz w:val="22"/>
                <w:szCs w:val="22"/>
                <w:highlight w:val="none"/>
                <w:lang w:val="en-US" w:eastAsia="en-US" w:bidi="ar-SA"/>
              </w:rPr>
              <w:t>培训方案</w:t>
            </w:r>
          </w:p>
        </w:tc>
        <w:tc>
          <w:tcPr>
            <w:tcW w:w="2472" w:type="pct"/>
            <w:gridSpan w:val="2"/>
            <w:noWrap w:val="0"/>
            <w:vAlign w:val="top"/>
          </w:tcPr>
          <w:p w14:paraId="423699BC">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保证选派人员服务能力，公司对选派的考点负责人、操作人员、技术人员等人员在上岗前的内部培训方案；</w:t>
            </w:r>
          </w:p>
          <w:p w14:paraId="22A57A04">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方案内容完整、合理、针对性强得8分，</w:t>
            </w:r>
          </w:p>
          <w:p w14:paraId="1F190072">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方案内容完整、计划可行符合项目需求得5分，</w:t>
            </w:r>
          </w:p>
          <w:p w14:paraId="531003EC">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方案内容完整基本符合项目需求得2分，缺项得0分；</w:t>
            </w:r>
          </w:p>
        </w:tc>
      </w:tr>
      <w:tr w14:paraId="7F0BF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jc w:val="center"/>
        </w:trPr>
        <w:tc>
          <w:tcPr>
            <w:tcW w:w="356" w:type="pct"/>
            <w:vMerge w:val="continue"/>
            <w:noWrap w:val="0"/>
            <w:vAlign w:val="center"/>
          </w:tcPr>
          <w:p w14:paraId="4418FC35">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13"/>
                <w:kern w:val="0"/>
                <w:sz w:val="24"/>
                <w:szCs w:val="24"/>
                <w:lang w:val="en-US" w:eastAsia="zh-CN" w:bidi="ar-SA"/>
              </w:rPr>
            </w:pPr>
          </w:p>
        </w:tc>
        <w:tc>
          <w:tcPr>
            <w:tcW w:w="596" w:type="pct"/>
            <w:vMerge w:val="continue"/>
            <w:noWrap w:val="0"/>
            <w:vAlign w:val="center"/>
          </w:tcPr>
          <w:p w14:paraId="263924EC">
            <w:pPr>
              <w:keepNext w:val="0"/>
              <w:keepLines w:val="0"/>
              <w:pageBreakBefore w:val="0"/>
              <w:widowControl/>
              <w:kinsoku/>
              <w:wordWrap w:val="0"/>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tc>
        <w:tc>
          <w:tcPr>
            <w:tcW w:w="493" w:type="pct"/>
            <w:vMerge w:val="continue"/>
            <w:noWrap w:val="0"/>
            <w:vAlign w:val="top"/>
          </w:tcPr>
          <w:p w14:paraId="5A648936">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tc>
        <w:tc>
          <w:tcPr>
            <w:tcW w:w="1081" w:type="pct"/>
            <w:vMerge w:val="continue"/>
            <w:noWrap w:val="0"/>
            <w:vAlign w:val="top"/>
          </w:tcPr>
          <w:p w14:paraId="0AA8F805">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en-US" w:bidi="ar-SA"/>
              </w:rPr>
            </w:pPr>
          </w:p>
        </w:tc>
        <w:tc>
          <w:tcPr>
            <w:tcW w:w="2472" w:type="pct"/>
            <w:gridSpan w:val="2"/>
            <w:noWrap w:val="0"/>
            <w:vAlign w:val="top"/>
          </w:tcPr>
          <w:p w14:paraId="47B36DD8">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提供针对考点其他考务人员（参与考务的区教体局工作人员）协作培训方案；进行综合比较评分；</w:t>
            </w:r>
          </w:p>
          <w:p w14:paraId="2530AB7A">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方案内容完整、合理、针对性强得8分，</w:t>
            </w:r>
          </w:p>
          <w:p w14:paraId="081B6892">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方案内容完整、计划可行符合项目需求得5分，</w:t>
            </w:r>
          </w:p>
          <w:p w14:paraId="0653681C">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方案内容完整基本符合项目需求2分，缺项得 0 分；</w:t>
            </w:r>
          </w:p>
        </w:tc>
      </w:tr>
      <w:tr w14:paraId="26748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jc w:val="center"/>
        </w:trPr>
        <w:tc>
          <w:tcPr>
            <w:tcW w:w="356" w:type="pct"/>
            <w:vMerge w:val="continue"/>
            <w:noWrap w:val="0"/>
            <w:vAlign w:val="center"/>
          </w:tcPr>
          <w:p w14:paraId="5027166F">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13"/>
                <w:kern w:val="0"/>
                <w:sz w:val="24"/>
                <w:szCs w:val="24"/>
                <w:lang w:val="en-US" w:eastAsia="zh-CN" w:bidi="ar-SA"/>
              </w:rPr>
            </w:pPr>
          </w:p>
        </w:tc>
        <w:tc>
          <w:tcPr>
            <w:tcW w:w="596" w:type="pct"/>
            <w:vMerge w:val="continue"/>
            <w:noWrap w:val="0"/>
            <w:vAlign w:val="center"/>
          </w:tcPr>
          <w:p w14:paraId="48753B67">
            <w:pPr>
              <w:keepNext w:val="0"/>
              <w:keepLines w:val="0"/>
              <w:pageBreakBefore w:val="0"/>
              <w:widowControl/>
              <w:kinsoku/>
              <w:wordWrap w:val="0"/>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tc>
        <w:tc>
          <w:tcPr>
            <w:tcW w:w="493" w:type="pct"/>
            <w:noWrap w:val="0"/>
            <w:vAlign w:val="top"/>
          </w:tcPr>
          <w:p w14:paraId="6776F5BD">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p w14:paraId="1DE0665E">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p w14:paraId="74559449">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zh-CN" w:bidi="ar-SA"/>
              </w:rPr>
            </w:pPr>
            <w:r>
              <w:rPr>
                <w:rFonts w:hint="default" w:ascii="宋体" w:hAnsi="宋体" w:eastAsia="宋体" w:cs="宋体"/>
                <w:snapToGrid w:val="0"/>
                <w:color w:val="auto"/>
                <w:spacing w:val="0"/>
                <w:kern w:val="0"/>
                <w:sz w:val="22"/>
                <w:szCs w:val="22"/>
                <w:highlight w:val="none"/>
                <w:lang w:val="en-US" w:eastAsia="zh-CN" w:bidi="ar-SA"/>
              </w:rPr>
              <w:t>7分</w:t>
            </w:r>
          </w:p>
        </w:tc>
        <w:tc>
          <w:tcPr>
            <w:tcW w:w="1081" w:type="pct"/>
            <w:noWrap w:val="0"/>
            <w:vAlign w:val="top"/>
          </w:tcPr>
          <w:p w14:paraId="69A1B6AD">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en-US" w:bidi="ar-SA"/>
              </w:rPr>
            </w:pPr>
          </w:p>
          <w:p w14:paraId="1AA4F187">
            <w:pPr>
              <w:keepNext w:val="0"/>
              <w:keepLines w:val="0"/>
              <w:pageBreakBefore w:val="0"/>
              <w:kinsoku/>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snapToGrid w:val="0"/>
                <w:color w:val="auto"/>
                <w:spacing w:val="0"/>
                <w:kern w:val="0"/>
                <w:sz w:val="22"/>
                <w:szCs w:val="22"/>
                <w:highlight w:val="none"/>
                <w:lang w:val="en-US" w:eastAsia="en-US" w:bidi="ar-SA"/>
              </w:rPr>
            </w:pPr>
          </w:p>
          <w:p w14:paraId="172C941B">
            <w:pPr>
              <w:keepNext w:val="0"/>
              <w:keepLines w:val="0"/>
              <w:pageBreakBefore w:val="0"/>
              <w:kinsoku/>
              <w:wordWrap w:val="0"/>
              <w:overflowPunct/>
              <w:topLinePunct w:val="0"/>
              <w:autoSpaceDE w:val="0"/>
              <w:autoSpaceDN w:val="0"/>
              <w:bidi w:val="0"/>
              <w:adjustRightInd w:val="0"/>
              <w:snapToGrid w:val="0"/>
              <w:spacing w:before="26" w:line="228" w:lineRule="auto"/>
              <w:ind w:right="103" w:firstLine="660" w:firstLineChars="300"/>
              <w:jc w:val="both"/>
              <w:textAlignment w:val="baseline"/>
              <w:rPr>
                <w:rFonts w:hint="default" w:ascii="宋体" w:hAnsi="宋体" w:eastAsia="宋体" w:cs="宋体"/>
                <w:snapToGrid w:val="0"/>
                <w:color w:val="auto"/>
                <w:spacing w:val="0"/>
                <w:kern w:val="0"/>
                <w:sz w:val="22"/>
                <w:szCs w:val="22"/>
                <w:highlight w:val="none"/>
                <w:lang w:val="en-US" w:eastAsia="en-US" w:bidi="ar-SA"/>
              </w:rPr>
            </w:pPr>
            <w:r>
              <w:rPr>
                <w:rFonts w:hint="default" w:ascii="宋体" w:hAnsi="宋体" w:eastAsia="宋体" w:cs="宋体"/>
                <w:snapToGrid w:val="0"/>
                <w:color w:val="auto"/>
                <w:spacing w:val="0"/>
                <w:kern w:val="0"/>
                <w:sz w:val="22"/>
                <w:szCs w:val="22"/>
                <w:highlight w:val="none"/>
                <w:lang w:val="en-US" w:eastAsia="en-US" w:bidi="ar-SA"/>
              </w:rPr>
              <w:t>应急预案</w:t>
            </w:r>
          </w:p>
        </w:tc>
        <w:tc>
          <w:tcPr>
            <w:tcW w:w="2472" w:type="pct"/>
            <w:gridSpan w:val="2"/>
            <w:noWrap w:val="0"/>
            <w:vAlign w:val="top"/>
          </w:tcPr>
          <w:p w14:paraId="6FE248D1">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提供针对自然灾害、意外事故、疫情防控等突发事件的应急预案和保障措施，对应急预案和保障措施进行综合评价；</w:t>
            </w:r>
          </w:p>
          <w:p w14:paraId="06DF7EB2">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预案内容完整、合理、针对性强得7分，</w:t>
            </w:r>
          </w:p>
          <w:p w14:paraId="2B76854B">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预案内容完整、计划可行符合项目需求得5分，</w:t>
            </w:r>
          </w:p>
          <w:p w14:paraId="44CBB1B3">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预案内容完整基本符合项目需求2分，缺项得 0 分。</w:t>
            </w:r>
          </w:p>
        </w:tc>
      </w:tr>
      <w:tr w14:paraId="57F31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356" w:type="pct"/>
            <w:vMerge w:val="restart"/>
            <w:noWrap w:val="0"/>
            <w:vAlign w:val="center"/>
          </w:tcPr>
          <w:p w14:paraId="15214871">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3</w:t>
            </w:r>
          </w:p>
        </w:tc>
        <w:tc>
          <w:tcPr>
            <w:tcW w:w="596" w:type="pct"/>
            <w:vMerge w:val="restart"/>
            <w:noWrap w:val="0"/>
            <w:vAlign w:val="center"/>
          </w:tcPr>
          <w:p w14:paraId="76E64114">
            <w:pPr>
              <w:keepNext w:val="0"/>
              <w:keepLines w:val="0"/>
              <w:pageBreakBefore w:val="0"/>
              <w:widowControl/>
              <w:kinsoku/>
              <w:wordWrap w:val="0"/>
              <w:overflowPunct/>
              <w:topLinePunct w:val="0"/>
              <w:autoSpaceDE w:val="0"/>
              <w:autoSpaceDN w:val="0"/>
              <w:bidi w:val="0"/>
              <w:adjustRightInd w:val="0"/>
              <w:snapToGrid w:val="0"/>
              <w:spacing w:before="157" w:line="220" w:lineRule="auto"/>
              <w:jc w:val="both"/>
              <w:textAlignment w:val="baseline"/>
              <w:rPr>
                <w:rFonts w:hint="default"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综合部分</w:t>
            </w:r>
          </w:p>
          <w:p w14:paraId="275862C5">
            <w:pPr>
              <w:keepNext w:val="0"/>
              <w:keepLines w:val="0"/>
              <w:pageBreakBefore w:val="0"/>
              <w:widowControl/>
              <w:kinsoku/>
              <w:wordWrap w:val="0"/>
              <w:overflowPunct/>
              <w:topLinePunct w:val="0"/>
              <w:autoSpaceDE w:val="0"/>
              <w:autoSpaceDN w:val="0"/>
              <w:bidi w:val="0"/>
              <w:adjustRightInd w:val="0"/>
              <w:snapToGrid w:val="0"/>
              <w:spacing w:before="157" w:line="220" w:lineRule="auto"/>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（15分）</w:t>
            </w:r>
          </w:p>
        </w:tc>
        <w:tc>
          <w:tcPr>
            <w:tcW w:w="493" w:type="pct"/>
            <w:noWrap w:val="0"/>
            <w:vAlign w:val="top"/>
          </w:tcPr>
          <w:p w14:paraId="02346268">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7E5529EB">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50FA39D9">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8分</w:t>
            </w:r>
          </w:p>
        </w:tc>
        <w:tc>
          <w:tcPr>
            <w:tcW w:w="1081" w:type="pct"/>
            <w:noWrap w:val="0"/>
            <w:vAlign w:val="top"/>
          </w:tcPr>
          <w:p w14:paraId="518C75D4">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center"/>
              <w:textAlignment w:val="baseline"/>
              <w:rPr>
                <w:rFonts w:hint="eastAsia" w:ascii="宋体" w:hAnsi="宋体" w:eastAsia="宋体" w:cs="宋体"/>
                <w:snapToGrid w:val="0"/>
                <w:color w:val="auto"/>
                <w:spacing w:val="0"/>
                <w:kern w:val="0"/>
                <w:sz w:val="22"/>
                <w:szCs w:val="22"/>
                <w:highlight w:val="none"/>
                <w:lang w:val="en-US" w:eastAsia="en-US" w:bidi="ar-SA"/>
              </w:rPr>
            </w:pPr>
          </w:p>
          <w:p w14:paraId="63DBC025">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center"/>
              <w:textAlignment w:val="baseline"/>
              <w:rPr>
                <w:rFonts w:hint="eastAsia" w:ascii="宋体" w:hAnsi="宋体" w:eastAsia="宋体" w:cs="宋体"/>
                <w:snapToGrid w:val="0"/>
                <w:color w:val="auto"/>
                <w:spacing w:val="0"/>
                <w:kern w:val="0"/>
                <w:sz w:val="22"/>
                <w:szCs w:val="22"/>
                <w:highlight w:val="none"/>
                <w:lang w:val="en-US" w:eastAsia="en-US" w:bidi="ar-SA"/>
              </w:rPr>
            </w:pPr>
          </w:p>
          <w:p w14:paraId="04487C20">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center"/>
              <w:textAlignment w:val="baseline"/>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zh-CN" w:bidi="ar-SA"/>
              </w:rPr>
              <w:t>服务承诺</w:t>
            </w:r>
          </w:p>
        </w:tc>
        <w:tc>
          <w:tcPr>
            <w:tcW w:w="2472" w:type="pct"/>
            <w:gridSpan w:val="2"/>
            <w:noWrap w:val="0"/>
            <w:vAlign w:val="top"/>
          </w:tcPr>
          <w:p w14:paraId="1758A816">
            <w:pPr>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firstLine="0"/>
              <w:jc w:val="both"/>
              <w:textAlignment w:val="baseline"/>
              <w:rPr>
                <w:rFonts w:hint="default"/>
                <w:lang w:val="en-US" w:eastAsia="zh-CN"/>
              </w:rPr>
            </w:pPr>
            <w:r>
              <w:rPr>
                <w:rFonts w:hint="default"/>
                <w:lang w:val="en-US" w:eastAsia="zh-CN"/>
              </w:rPr>
              <w:t>1、提供项目实施期间积极响应、配合并协助采购人，能替采购人排忧解难承诺书的得 4分；不提供不得分。</w:t>
            </w:r>
          </w:p>
          <w:p w14:paraId="2BEBFC75">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both"/>
              <w:textAlignment w:val="baseline"/>
              <w:rPr>
                <w:rFonts w:hint="default" w:ascii="宋体" w:hAnsi="宋体" w:eastAsia="宋体" w:cs="宋体"/>
                <w:snapToGrid w:val="0"/>
                <w:color w:val="auto"/>
                <w:spacing w:val="0"/>
                <w:kern w:val="0"/>
                <w:sz w:val="22"/>
                <w:szCs w:val="22"/>
                <w:highlight w:val="none"/>
                <w:lang w:val="en-US" w:eastAsia="zh-CN" w:bidi="ar-SA"/>
              </w:rPr>
            </w:pPr>
            <w:r>
              <w:rPr>
                <w:rFonts w:hint="default"/>
                <w:lang w:val="en-US" w:eastAsia="zh-CN"/>
              </w:rPr>
              <w:t>2、提供合同履约期间，加强安全防护措施，保证不发生各种安全事故，并承担由此发生的费用和处罚的承诺书的得 4 分； 不提供不得分。</w:t>
            </w:r>
          </w:p>
        </w:tc>
      </w:tr>
      <w:tr w14:paraId="13C5F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356" w:type="pct"/>
            <w:vMerge w:val="continue"/>
            <w:noWrap w:val="0"/>
            <w:vAlign w:val="center"/>
          </w:tcPr>
          <w:p w14:paraId="4F71822E">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val="en-US" w:eastAsia="zh-CN" w:bidi="ar-SA"/>
              </w:rPr>
            </w:pPr>
          </w:p>
        </w:tc>
        <w:tc>
          <w:tcPr>
            <w:tcW w:w="596" w:type="pct"/>
            <w:vMerge w:val="continue"/>
            <w:noWrap w:val="0"/>
            <w:vAlign w:val="center"/>
          </w:tcPr>
          <w:p w14:paraId="646C1C6B">
            <w:pPr>
              <w:keepNext w:val="0"/>
              <w:keepLines w:val="0"/>
              <w:pageBreakBefore w:val="0"/>
              <w:widowControl/>
              <w:kinsoku/>
              <w:wordWrap w:val="0"/>
              <w:overflowPunct/>
              <w:topLinePunct w:val="0"/>
              <w:autoSpaceDE w:val="0"/>
              <w:autoSpaceDN w:val="0"/>
              <w:bidi w:val="0"/>
              <w:adjustRightInd w:val="0"/>
              <w:snapToGrid w:val="0"/>
              <w:spacing w:before="157" w:line="220" w:lineRule="auto"/>
              <w:jc w:val="both"/>
              <w:textAlignment w:val="baseline"/>
              <w:rPr>
                <w:rFonts w:hint="eastAsia" w:ascii="宋体" w:hAnsi="宋体" w:eastAsia="宋体" w:cs="宋体"/>
                <w:snapToGrid w:val="0"/>
                <w:color w:val="auto"/>
                <w:spacing w:val="0"/>
                <w:kern w:val="0"/>
                <w:sz w:val="22"/>
                <w:szCs w:val="22"/>
                <w:highlight w:val="none"/>
                <w:lang w:val="en-US" w:eastAsia="zh-CN" w:bidi="ar-SA"/>
              </w:rPr>
            </w:pPr>
          </w:p>
        </w:tc>
        <w:tc>
          <w:tcPr>
            <w:tcW w:w="493" w:type="pct"/>
            <w:noWrap w:val="0"/>
            <w:vAlign w:val="top"/>
          </w:tcPr>
          <w:p w14:paraId="72F08AB3">
            <w:pPr>
              <w:keepNext w:val="0"/>
              <w:keepLines w:val="0"/>
              <w:pageBreakBefore w:val="0"/>
              <w:kinsoku/>
              <w:wordWrap w:val="0"/>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spacing w:val="0"/>
                <w:kern w:val="0"/>
                <w:sz w:val="22"/>
                <w:szCs w:val="22"/>
                <w:highlight w:val="none"/>
                <w:lang w:val="en-US" w:eastAsia="zh-CN" w:bidi="ar-SA"/>
              </w:rPr>
            </w:pPr>
          </w:p>
          <w:p w14:paraId="41E3F19D">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5分</w:t>
            </w:r>
          </w:p>
          <w:p w14:paraId="34251C93">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napToGrid w:val="0"/>
                <w:color w:val="auto"/>
                <w:spacing w:val="0"/>
                <w:kern w:val="0"/>
                <w:sz w:val="22"/>
                <w:szCs w:val="22"/>
                <w:highlight w:val="none"/>
                <w:lang w:val="en-US" w:eastAsia="zh-CN" w:bidi="ar-SA"/>
              </w:rPr>
            </w:pPr>
          </w:p>
        </w:tc>
        <w:tc>
          <w:tcPr>
            <w:tcW w:w="1081" w:type="pct"/>
            <w:noWrap w:val="0"/>
            <w:vAlign w:val="top"/>
          </w:tcPr>
          <w:p w14:paraId="29DB554F">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3D6E1945">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660" w:firstLineChars="30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企业业绩</w:t>
            </w:r>
          </w:p>
          <w:p w14:paraId="62B53310">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both"/>
              <w:textAlignment w:val="baseline"/>
              <w:rPr>
                <w:rFonts w:hint="eastAsia" w:ascii="宋体" w:hAnsi="宋体" w:eastAsia="宋体" w:cs="宋体"/>
                <w:snapToGrid w:val="0"/>
                <w:color w:val="auto"/>
                <w:spacing w:val="0"/>
                <w:kern w:val="0"/>
                <w:sz w:val="22"/>
                <w:szCs w:val="22"/>
                <w:highlight w:val="none"/>
                <w:lang w:val="en-US" w:eastAsia="en-US" w:bidi="ar-SA"/>
              </w:rPr>
            </w:pPr>
          </w:p>
        </w:tc>
        <w:tc>
          <w:tcPr>
            <w:tcW w:w="2472" w:type="pct"/>
            <w:gridSpan w:val="2"/>
            <w:noWrap w:val="0"/>
            <w:vAlign w:val="center"/>
          </w:tcPr>
          <w:p w14:paraId="7E727E1E">
            <w:pPr>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firstLine="0"/>
              <w:jc w:val="both"/>
              <w:textAlignment w:val="baseline"/>
              <w:rPr>
                <w:rFonts w:hint="default"/>
                <w:lang w:val="en-US" w:eastAsia="zh-CN"/>
              </w:rPr>
            </w:pPr>
            <w:r>
              <w:rPr>
                <w:rFonts w:hint="default"/>
                <w:lang w:val="en-US" w:eastAsia="zh-CN"/>
              </w:rPr>
              <w:t>供应商提供2022年1月1日以来类似项目业绩的，每提供一个项目业绩得2.5分，本项最多得5分。（响应文件中附合同原件扫描件，并加盖电子公章，否则不得分）</w:t>
            </w:r>
          </w:p>
        </w:tc>
      </w:tr>
      <w:tr w14:paraId="1022F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356" w:type="pct"/>
            <w:vMerge w:val="continue"/>
            <w:noWrap w:val="0"/>
            <w:vAlign w:val="center"/>
          </w:tcPr>
          <w:p w14:paraId="2922BB3D">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val="en-US" w:eastAsia="zh-CN" w:bidi="ar-SA"/>
              </w:rPr>
            </w:pPr>
          </w:p>
        </w:tc>
        <w:tc>
          <w:tcPr>
            <w:tcW w:w="596" w:type="pct"/>
            <w:vMerge w:val="continue"/>
            <w:noWrap w:val="0"/>
            <w:vAlign w:val="center"/>
          </w:tcPr>
          <w:p w14:paraId="1F6B75A0">
            <w:pPr>
              <w:keepNext w:val="0"/>
              <w:keepLines w:val="0"/>
              <w:pageBreakBefore w:val="0"/>
              <w:widowControl/>
              <w:kinsoku/>
              <w:wordWrap w:val="0"/>
              <w:overflowPunct/>
              <w:topLinePunct w:val="0"/>
              <w:autoSpaceDE w:val="0"/>
              <w:autoSpaceDN w:val="0"/>
              <w:bidi w:val="0"/>
              <w:adjustRightInd w:val="0"/>
              <w:snapToGrid w:val="0"/>
              <w:spacing w:before="157" w:line="220" w:lineRule="auto"/>
              <w:jc w:val="both"/>
              <w:textAlignment w:val="baseline"/>
              <w:rPr>
                <w:rFonts w:hint="eastAsia" w:ascii="宋体" w:hAnsi="宋体" w:eastAsia="宋体" w:cs="宋体"/>
                <w:snapToGrid w:val="0"/>
                <w:color w:val="auto"/>
                <w:spacing w:val="0"/>
                <w:kern w:val="0"/>
                <w:sz w:val="22"/>
                <w:szCs w:val="22"/>
                <w:highlight w:val="none"/>
                <w:lang w:val="en-US" w:eastAsia="zh-CN" w:bidi="ar-SA"/>
              </w:rPr>
            </w:pPr>
          </w:p>
        </w:tc>
        <w:tc>
          <w:tcPr>
            <w:tcW w:w="493" w:type="pct"/>
            <w:noWrap w:val="0"/>
            <w:vAlign w:val="top"/>
          </w:tcPr>
          <w:p w14:paraId="221785CB">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7C3E9924">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495381C1">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291BCF7B">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071625F9">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71225B2D">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4D2C6475">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2D2C2DD9">
            <w:pPr>
              <w:keepNext w:val="0"/>
              <w:keepLines w:val="0"/>
              <w:pageBreakBefore w:val="0"/>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2分</w:t>
            </w:r>
          </w:p>
        </w:tc>
        <w:tc>
          <w:tcPr>
            <w:tcW w:w="1081" w:type="pct"/>
            <w:noWrap w:val="0"/>
            <w:vAlign w:val="top"/>
          </w:tcPr>
          <w:p w14:paraId="4B3B4AB1">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4C943B66">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04B8DD4A">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58304D20">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05EE718E">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5DA25D8C">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08853DB8">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p w14:paraId="05E3D744">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center"/>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信用评级</w:t>
            </w:r>
          </w:p>
          <w:p w14:paraId="10CF01D3">
            <w:pPr>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firstLine="0"/>
              <w:jc w:val="center"/>
              <w:textAlignment w:val="baseline"/>
              <w:rPr>
                <w:rFonts w:hint="eastAsia" w:ascii="宋体" w:hAnsi="宋体" w:eastAsia="宋体" w:cs="宋体"/>
                <w:snapToGrid w:val="0"/>
                <w:color w:val="auto"/>
                <w:spacing w:val="0"/>
                <w:kern w:val="0"/>
                <w:sz w:val="22"/>
                <w:szCs w:val="22"/>
                <w:highlight w:val="none"/>
                <w:lang w:val="en-US" w:eastAsia="zh-CN" w:bidi="ar-SA"/>
              </w:rPr>
            </w:pPr>
          </w:p>
        </w:tc>
        <w:tc>
          <w:tcPr>
            <w:tcW w:w="2472" w:type="pct"/>
            <w:gridSpan w:val="2"/>
            <w:noWrap w:val="0"/>
            <w:vAlign w:val="center"/>
          </w:tcPr>
          <w:p w14:paraId="7AFCB724">
            <w:pPr>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firstLine="0"/>
              <w:jc w:val="both"/>
              <w:textAlignment w:val="baseline"/>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gheweb.zcxy.caizj.nanyang.gov.cn:8008在27线打印《唐河县政府采购供应商信用记录表》，作为投标(响应)文件的组成部分提交，评审时作为享受政策支持的依据。(备注:诚信指数在90-100点的为4星级,诚信指数在80-90点(含90点)的为3星级,诚信指数在70-80点(含80点)的为2星级，诚信指数在60-70点(含70点)的为1星级，诚信指数在60点(含60点)以下的不计星级，只计分值。）</w:t>
            </w:r>
          </w:p>
        </w:tc>
      </w:tr>
      <w:tr w14:paraId="5C9A9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953" w:type="pct"/>
            <w:gridSpan w:val="2"/>
            <w:noWrap w:val="0"/>
            <w:vAlign w:val="top"/>
          </w:tcPr>
          <w:p w14:paraId="0BC49F69">
            <w:pPr>
              <w:keepNext w:val="0"/>
              <w:keepLines w:val="0"/>
              <w:pageBreakBefore w:val="0"/>
              <w:widowControl/>
              <w:kinsoku/>
              <w:wordWrap w:val="0"/>
              <w:overflowPunct/>
              <w:topLinePunct w:val="0"/>
              <w:autoSpaceDE w:val="0"/>
              <w:autoSpaceDN w:val="0"/>
              <w:bidi w:val="0"/>
              <w:adjustRightInd w:val="0"/>
              <w:snapToGrid w:val="0"/>
              <w:spacing w:before="42" w:line="206" w:lineRule="auto"/>
              <w:ind w:left="932"/>
              <w:jc w:val="both"/>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合计</w:t>
            </w:r>
          </w:p>
        </w:tc>
        <w:tc>
          <w:tcPr>
            <w:tcW w:w="493" w:type="pct"/>
            <w:noWrap w:val="0"/>
            <w:vAlign w:val="top"/>
          </w:tcPr>
          <w:p w14:paraId="4555E814">
            <w:pPr>
              <w:keepNext w:val="0"/>
              <w:keepLines w:val="0"/>
              <w:pageBreakBefore w:val="0"/>
              <w:kinsoku/>
              <w:wordWrap w:val="0"/>
              <w:overflowPunct/>
              <w:topLinePunct w:val="0"/>
              <w:autoSpaceDE w:val="0"/>
              <w:autoSpaceDN w:val="0"/>
              <w:bidi w:val="0"/>
              <w:adjustRightInd w:val="0"/>
              <w:snapToGrid w:val="0"/>
              <w:spacing w:before="59" w:line="202" w:lineRule="auto"/>
              <w:ind w:left="265"/>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9"/>
                <w:kern w:val="0"/>
                <w:sz w:val="24"/>
                <w:szCs w:val="24"/>
                <w:lang w:val="en-US" w:eastAsia="en-US" w:bidi="ar-SA"/>
              </w:rPr>
              <w:t>100</w:t>
            </w:r>
            <w:r>
              <w:rPr>
                <w:rFonts w:hint="eastAsia" w:ascii="宋体" w:hAnsi="宋体" w:eastAsia="宋体" w:cs="宋体"/>
                <w:snapToGrid w:val="0"/>
                <w:color w:val="000000"/>
                <w:spacing w:val="9"/>
                <w:kern w:val="0"/>
                <w:sz w:val="24"/>
                <w:szCs w:val="24"/>
                <w:lang w:val="en-US" w:eastAsia="zh-CN" w:bidi="ar-SA"/>
              </w:rPr>
              <w:t>分</w:t>
            </w:r>
          </w:p>
        </w:tc>
        <w:tc>
          <w:tcPr>
            <w:tcW w:w="3553" w:type="pct"/>
            <w:gridSpan w:val="3"/>
            <w:noWrap w:val="0"/>
            <w:vAlign w:val="top"/>
          </w:tcPr>
          <w:p w14:paraId="64FD26D1">
            <w:pPr>
              <w:keepNext w:val="0"/>
              <w:keepLines w:val="0"/>
              <w:pageBreakBefore w:val="0"/>
              <w:kinsoku/>
              <w:wordWrap w:val="0"/>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000000"/>
                <w:kern w:val="0"/>
                <w:sz w:val="21"/>
                <w:szCs w:val="21"/>
                <w:lang w:val="en-US" w:eastAsia="en-US" w:bidi="ar-SA"/>
              </w:rPr>
            </w:pPr>
          </w:p>
        </w:tc>
      </w:tr>
    </w:tbl>
    <w:p w14:paraId="7B15A894">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11.</w:t>
      </w:r>
      <w:r>
        <w:rPr>
          <w:rFonts w:hint="eastAsia" w:ascii="宋体" w:hAnsi="宋体" w:eastAsia="宋体" w:cs="宋体"/>
          <w:snapToGrid w:val="0"/>
          <w:color w:val="auto"/>
          <w:kern w:val="0"/>
          <w:sz w:val="24"/>
          <w:szCs w:val="24"/>
          <w:highlight w:val="none"/>
          <w:lang w:val="en-US" w:eastAsia="en-US" w:bidi="ar-SA"/>
        </w:rPr>
        <w:t>有下列情况之一的，</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11.1 </w:t>
      </w:r>
      <w:r>
        <w:rPr>
          <w:rFonts w:hint="eastAsia" w:ascii="宋体" w:hAnsi="宋体" w:eastAsia="宋体" w:cs="宋体"/>
          <w:snapToGrid w:val="0"/>
          <w:color w:val="auto"/>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11.2 </w:t>
      </w:r>
      <w:r>
        <w:rPr>
          <w:rFonts w:hint="eastAsia" w:ascii="宋体" w:hAnsi="宋体" w:eastAsia="宋体" w:cs="宋体"/>
          <w:snapToGrid w:val="0"/>
          <w:color w:val="auto"/>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11.3 </w:t>
      </w:r>
      <w:r>
        <w:rPr>
          <w:rFonts w:hint="eastAsia" w:ascii="宋体" w:hAnsi="宋体" w:eastAsia="宋体" w:cs="宋体"/>
          <w:snapToGrid w:val="0"/>
          <w:color w:val="auto"/>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color w:val="auto"/>
          <w:sz w:val="28"/>
          <w:szCs w:val="28"/>
          <w:highlight w:val="none"/>
          <w:lang w:val="en-US" w:eastAsia="zh-CN"/>
        </w:rPr>
      </w:pPr>
      <w:r>
        <w:rPr>
          <w:rFonts w:hint="eastAsia" w:ascii="宋体" w:hAnsi="宋体" w:eastAsia="宋体" w:cs="宋体"/>
          <w:snapToGrid w:val="0"/>
          <w:color w:val="auto"/>
          <w:kern w:val="0"/>
          <w:sz w:val="24"/>
          <w:szCs w:val="24"/>
          <w:highlight w:val="none"/>
          <w:lang w:val="en-US" w:eastAsia="zh-CN" w:bidi="ar-SA"/>
        </w:rPr>
        <w:t>12.</w:t>
      </w:r>
      <w:r>
        <w:rPr>
          <w:rFonts w:hint="eastAsia" w:ascii="宋体" w:hAnsi="宋体" w:eastAsia="宋体" w:cs="宋体"/>
          <w:snapToGrid w:val="0"/>
          <w:color w:val="auto"/>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color w:val="auto"/>
          <w:spacing w:val="-13"/>
          <w:sz w:val="24"/>
          <w:szCs w:val="24"/>
          <w:highlight w:val="none"/>
          <w:lang w:eastAsia="zh-CN"/>
        </w:rPr>
        <w:t>﹝20</w:t>
      </w:r>
      <w:r>
        <w:rPr>
          <w:rFonts w:hint="eastAsia" w:asciiTheme="minorEastAsia" w:hAnsiTheme="minorEastAsia" w:eastAsiaTheme="minorEastAsia" w:cstheme="minorEastAsia"/>
          <w:color w:val="auto"/>
          <w:spacing w:val="-13"/>
          <w:sz w:val="24"/>
          <w:szCs w:val="24"/>
          <w:highlight w:val="none"/>
          <w:lang w:val="en-US" w:eastAsia="zh-CN"/>
        </w:rPr>
        <w:t>15</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宋体" w:hAnsi="宋体" w:eastAsia="宋体" w:cs="宋体"/>
          <w:snapToGrid w:val="0"/>
          <w:color w:val="auto"/>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auto"/>
          <w:kern w:val="0"/>
          <w:sz w:val="24"/>
          <w:szCs w:val="24"/>
          <w:highlight w:val="none"/>
          <w:lang w:val="en-US" w:eastAsia="en-US" w:bidi="ar-SA"/>
        </w:rPr>
      </w:pPr>
      <w:bookmarkStart w:id="30" w:name="_Toc14600"/>
      <w:r>
        <w:rPr>
          <w:rFonts w:hint="eastAsia" w:ascii="宋体" w:hAnsi="宋体" w:eastAsia="宋体" w:cs="宋体"/>
          <w:b/>
          <w:bCs/>
          <w:snapToGrid w:val="0"/>
          <w:color w:val="auto"/>
          <w:kern w:val="0"/>
          <w:sz w:val="24"/>
          <w:szCs w:val="24"/>
          <w:highlight w:val="none"/>
          <w:lang w:val="en-US" w:eastAsia="zh-CN" w:bidi="ar-SA"/>
        </w:rPr>
        <w:t>六、</w:t>
      </w:r>
      <w:r>
        <w:rPr>
          <w:rFonts w:hint="eastAsia" w:ascii="宋体" w:hAnsi="宋体" w:eastAsia="宋体" w:cs="宋体"/>
          <w:b/>
          <w:bCs/>
          <w:snapToGrid w:val="0"/>
          <w:color w:val="auto"/>
          <w:kern w:val="0"/>
          <w:sz w:val="24"/>
          <w:szCs w:val="24"/>
          <w:highlight w:val="none"/>
          <w:lang w:val="en-US" w:eastAsia="en-US" w:bidi="ar-SA"/>
        </w:rPr>
        <w:t>成交</w:t>
      </w:r>
      <w:r>
        <w:rPr>
          <w:rFonts w:hint="eastAsia" w:ascii="宋体" w:hAnsi="宋体" w:eastAsia="宋体" w:cs="宋体"/>
          <w:b/>
          <w:bCs/>
          <w:snapToGrid w:val="0"/>
          <w:color w:val="auto"/>
          <w:kern w:val="0"/>
          <w:sz w:val="24"/>
          <w:szCs w:val="24"/>
          <w:highlight w:val="none"/>
          <w:lang w:val="en-US" w:eastAsia="zh-CN" w:bidi="ar-SA"/>
        </w:rPr>
        <w:t>通知及</w:t>
      </w:r>
      <w:r>
        <w:rPr>
          <w:rFonts w:hint="eastAsia" w:ascii="宋体" w:hAnsi="宋体" w:eastAsia="宋体" w:cs="宋体"/>
          <w:b/>
          <w:bCs/>
          <w:snapToGrid w:val="0"/>
          <w:color w:val="auto"/>
          <w:kern w:val="0"/>
          <w:sz w:val="24"/>
          <w:szCs w:val="24"/>
          <w:highlight w:val="none"/>
          <w:lang w:val="en-US" w:eastAsia="en-US" w:bidi="ar-SA"/>
        </w:rPr>
        <w:t>签订合同</w:t>
      </w:r>
      <w:bookmarkEnd w:id="30"/>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 </w:t>
      </w:r>
      <w:r>
        <w:rPr>
          <w:rFonts w:hint="eastAsia" w:ascii="宋体" w:hAnsi="宋体" w:eastAsia="宋体" w:cs="宋体"/>
          <w:snapToGrid w:val="0"/>
          <w:color w:val="auto"/>
          <w:kern w:val="0"/>
          <w:sz w:val="24"/>
          <w:szCs w:val="24"/>
          <w:highlight w:val="none"/>
          <w:lang w:val="en-US" w:eastAsia="en-US" w:bidi="ar-SA"/>
        </w:rPr>
        <w:t>成交供应商确定后，</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将在“河南省政府采购网”和“</w:t>
      </w:r>
      <w:r>
        <w:rPr>
          <w:rFonts w:hint="eastAsia" w:ascii="宋体" w:hAnsi="宋体" w:eastAsia="宋体" w:cs="宋体"/>
          <w:snapToGrid w:val="0"/>
          <w:color w:val="auto"/>
          <w:kern w:val="0"/>
          <w:sz w:val="24"/>
          <w:szCs w:val="24"/>
          <w:highlight w:val="none"/>
          <w:lang w:val="en-US" w:eastAsia="zh-CN" w:bidi="ar-SA"/>
        </w:rPr>
        <w:t>唐河县</w:t>
      </w:r>
      <w:r>
        <w:rPr>
          <w:rFonts w:hint="eastAsia" w:ascii="宋体" w:hAnsi="宋体" w:eastAsia="宋体" w:cs="宋体"/>
          <w:snapToGrid w:val="0"/>
          <w:color w:val="auto"/>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1.2 </w:t>
      </w:r>
      <w:r>
        <w:rPr>
          <w:rFonts w:hint="eastAsia" w:ascii="宋体" w:hAnsi="宋体" w:eastAsia="宋体" w:cs="宋体"/>
          <w:snapToGrid w:val="0"/>
          <w:color w:val="auto"/>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2.1 </w:t>
      </w:r>
      <w:r>
        <w:rPr>
          <w:rFonts w:hint="eastAsia" w:ascii="宋体" w:hAnsi="宋体" w:eastAsia="宋体" w:cs="宋体"/>
          <w:snapToGrid w:val="0"/>
          <w:color w:val="auto"/>
          <w:kern w:val="0"/>
          <w:sz w:val="24"/>
          <w:szCs w:val="24"/>
          <w:highlight w:val="none"/>
          <w:lang w:val="en-US" w:eastAsia="en-US" w:bidi="ar-SA"/>
        </w:rPr>
        <w:t>根据成交结果，</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通过“</w:t>
      </w:r>
      <w:r>
        <w:rPr>
          <w:rFonts w:hint="eastAsia" w:ascii="宋体" w:hAnsi="宋体" w:eastAsia="宋体" w:cs="宋体"/>
          <w:snapToGrid w:val="0"/>
          <w:color w:val="auto"/>
          <w:kern w:val="0"/>
          <w:sz w:val="24"/>
          <w:szCs w:val="24"/>
          <w:highlight w:val="none"/>
          <w:lang w:val="en-US" w:eastAsia="zh-CN" w:bidi="ar-SA"/>
        </w:rPr>
        <w:t>唐河县</w:t>
      </w:r>
      <w:r>
        <w:rPr>
          <w:rFonts w:hint="eastAsia" w:ascii="宋体" w:hAnsi="宋体" w:eastAsia="宋体" w:cs="宋体"/>
          <w:snapToGrid w:val="0"/>
          <w:color w:val="auto"/>
          <w:kern w:val="0"/>
          <w:sz w:val="24"/>
          <w:szCs w:val="24"/>
          <w:highlight w:val="none"/>
          <w:lang w:val="en-US" w:eastAsia="en-US" w:bidi="ar-SA"/>
        </w:rPr>
        <w:t>公共资源交易中心</w:t>
      </w:r>
      <w:r>
        <w:rPr>
          <w:rFonts w:hint="eastAsia" w:ascii="宋体" w:hAnsi="宋体" w:eastAsia="宋体" w:cs="宋体"/>
          <w:snapToGrid w:val="0"/>
          <w:color w:val="auto"/>
          <w:kern w:val="0"/>
          <w:sz w:val="24"/>
          <w:szCs w:val="24"/>
          <w:highlight w:val="none"/>
          <w:lang w:val="en-US" w:eastAsia="zh-CN" w:bidi="ar-SA"/>
        </w:rPr>
        <w:t>公共服务平台</w:t>
      </w:r>
      <w:r>
        <w:rPr>
          <w:rFonts w:hint="eastAsia" w:ascii="宋体" w:hAnsi="宋体" w:eastAsia="宋体" w:cs="宋体"/>
          <w:snapToGrid w:val="0"/>
          <w:color w:val="auto"/>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auto"/>
          <w:kern w:val="0"/>
          <w:sz w:val="24"/>
          <w:szCs w:val="24"/>
          <w:highlight w:val="none"/>
          <w:lang w:val="en-US" w:eastAsia="zh-CN" w:bidi="ar-SA"/>
        </w:rPr>
        <w:t>唐河县公共资源交易平台会员系统</w:t>
      </w:r>
      <w:r>
        <w:rPr>
          <w:rFonts w:hint="eastAsia" w:ascii="宋体" w:hAnsi="宋体" w:eastAsia="宋体" w:cs="宋体"/>
          <w:snapToGrid w:val="0"/>
          <w:color w:val="auto"/>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2.2 </w:t>
      </w:r>
      <w:r>
        <w:rPr>
          <w:rFonts w:hint="eastAsia" w:ascii="宋体" w:hAnsi="宋体" w:eastAsia="宋体" w:cs="宋体"/>
          <w:snapToGrid w:val="0"/>
          <w:color w:val="auto"/>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3.1 </w:t>
      </w:r>
      <w:r>
        <w:rPr>
          <w:rFonts w:hint="eastAsia" w:ascii="宋体" w:hAnsi="宋体" w:eastAsia="宋体" w:cs="宋体"/>
          <w:snapToGrid w:val="0"/>
          <w:color w:val="auto"/>
          <w:kern w:val="0"/>
          <w:sz w:val="24"/>
          <w:szCs w:val="24"/>
          <w:highlight w:val="none"/>
          <w:lang w:val="en-US" w:eastAsia="en-US" w:bidi="ar-SA"/>
        </w:rPr>
        <w:t>成交供应商和采购人应在《成交通知书》发出</w:t>
      </w:r>
      <w:r>
        <w:rPr>
          <w:rFonts w:hint="eastAsia" w:ascii="宋体" w:hAnsi="宋体" w:eastAsia="宋体" w:cs="宋体"/>
          <w:snapToGrid w:val="0"/>
          <w:color w:val="auto"/>
          <w:kern w:val="0"/>
          <w:sz w:val="24"/>
          <w:szCs w:val="24"/>
          <w:highlight w:val="none"/>
          <w:lang w:val="en-US" w:eastAsia="zh-CN" w:bidi="ar-SA"/>
        </w:rPr>
        <w:t>后及时</w:t>
      </w:r>
      <w:r>
        <w:rPr>
          <w:rFonts w:hint="eastAsia" w:ascii="宋体" w:hAnsi="宋体" w:eastAsia="宋体" w:cs="宋体"/>
          <w:snapToGrid w:val="0"/>
          <w:color w:val="auto"/>
          <w:kern w:val="0"/>
          <w:sz w:val="24"/>
          <w:szCs w:val="24"/>
          <w:highlight w:val="none"/>
          <w:lang w:val="en-US" w:eastAsia="en-US" w:bidi="ar-SA"/>
        </w:rPr>
        <w:t>签订政府采购合同，逾期无故不签订的，按《政府采购竞争性磋商采购方式管理暂行办法》及有关规定处理。合同签订后需在</w:t>
      </w:r>
      <w:r>
        <w:rPr>
          <w:rFonts w:hint="eastAsia" w:ascii="宋体" w:hAnsi="宋体" w:eastAsia="宋体" w:cs="宋体"/>
          <w:snapToGrid w:val="0"/>
          <w:color w:val="auto"/>
          <w:kern w:val="0"/>
          <w:sz w:val="24"/>
          <w:szCs w:val="24"/>
          <w:highlight w:val="none"/>
          <w:lang w:val="en-US" w:eastAsia="zh-CN" w:bidi="ar-SA"/>
        </w:rPr>
        <w:t>两</w:t>
      </w:r>
      <w:r>
        <w:rPr>
          <w:rFonts w:hint="eastAsia" w:ascii="宋体" w:hAnsi="宋体" w:eastAsia="宋体" w:cs="宋体"/>
          <w:snapToGrid w:val="0"/>
          <w:color w:val="auto"/>
          <w:kern w:val="0"/>
          <w:sz w:val="24"/>
          <w:szCs w:val="24"/>
          <w:highlight w:val="none"/>
          <w:lang w:val="en-US" w:eastAsia="en-US" w:bidi="ar-SA"/>
        </w:rPr>
        <w:t>个工作日内在河南省政府采购网进行备案，逾期未备案的按照政府采购法等有关规定处理。</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3.2 </w:t>
      </w:r>
      <w:r>
        <w:rPr>
          <w:rFonts w:hint="eastAsia" w:ascii="宋体" w:hAnsi="宋体" w:eastAsia="宋体" w:cs="宋体"/>
          <w:snapToGrid w:val="0"/>
          <w:color w:val="auto"/>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3.3 </w:t>
      </w:r>
      <w:r>
        <w:rPr>
          <w:rFonts w:hint="eastAsia" w:ascii="宋体" w:hAnsi="宋体" w:eastAsia="宋体" w:cs="宋体"/>
          <w:snapToGrid w:val="0"/>
          <w:color w:val="auto"/>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auto"/>
          <w:kern w:val="0"/>
          <w:sz w:val="24"/>
          <w:szCs w:val="24"/>
          <w:highlight w:val="none"/>
          <w:lang w:val="en-US" w:eastAsia="en-US" w:bidi="ar-SA"/>
        </w:rPr>
      </w:pPr>
      <w:bookmarkStart w:id="31" w:name="_Toc32673"/>
      <w:r>
        <w:rPr>
          <w:rFonts w:hint="eastAsia" w:ascii="宋体" w:hAnsi="宋体" w:eastAsia="宋体" w:cs="宋体"/>
          <w:b/>
          <w:bCs/>
          <w:snapToGrid w:val="0"/>
          <w:color w:val="auto"/>
          <w:kern w:val="0"/>
          <w:sz w:val="24"/>
          <w:szCs w:val="24"/>
          <w:highlight w:val="none"/>
          <w:lang w:val="en-US" w:eastAsia="zh-CN" w:bidi="ar-SA"/>
        </w:rPr>
        <w:t>七、</w:t>
      </w:r>
      <w:r>
        <w:rPr>
          <w:rFonts w:hint="eastAsia" w:ascii="宋体" w:hAnsi="宋体" w:eastAsia="宋体" w:cs="宋体"/>
          <w:b/>
          <w:bCs/>
          <w:snapToGrid w:val="0"/>
          <w:color w:val="auto"/>
          <w:kern w:val="0"/>
          <w:sz w:val="24"/>
          <w:szCs w:val="24"/>
          <w:highlight w:val="none"/>
          <w:lang w:val="en-US" w:eastAsia="en-US" w:bidi="ar-SA"/>
        </w:rPr>
        <w:t>质疑与答复</w:t>
      </w:r>
      <w:bookmarkEnd w:id="31"/>
    </w:p>
    <w:p w14:paraId="5445DE9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接收质疑的方式：</w:t>
      </w:r>
    </w:p>
    <w:p w14:paraId="43CB5E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auto"/>
          <w:kern w:val="0"/>
          <w:sz w:val="24"/>
          <w:szCs w:val="24"/>
          <w:highlight w:val="none"/>
          <w:lang w:val="en-US" w:eastAsia="en-US" w:bidi="ar-SA"/>
        </w:rPr>
      </w:pPr>
      <w:bookmarkStart w:id="32" w:name="_Toc5287"/>
      <w:r>
        <w:rPr>
          <w:rFonts w:hint="eastAsia" w:ascii="宋体" w:hAnsi="宋体" w:eastAsia="宋体" w:cs="宋体"/>
          <w:b/>
          <w:bCs/>
          <w:snapToGrid w:val="0"/>
          <w:color w:val="auto"/>
          <w:kern w:val="0"/>
          <w:sz w:val="24"/>
          <w:szCs w:val="24"/>
          <w:highlight w:val="none"/>
          <w:lang w:val="en-US" w:eastAsia="zh-CN" w:bidi="ar-SA"/>
        </w:rPr>
        <w:t>八、</w:t>
      </w:r>
      <w:r>
        <w:rPr>
          <w:rFonts w:hint="eastAsia" w:ascii="宋体" w:hAnsi="宋体" w:eastAsia="宋体" w:cs="宋体"/>
          <w:b/>
          <w:bCs/>
          <w:snapToGrid w:val="0"/>
          <w:color w:val="auto"/>
          <w:kern w:val="0"/>
          <w:sz w:val="24"/>
          <w:szCs w:val="24"/>
          <w:highlight w:val="none"/>
          <w:lang w:val="en-US" w:eastAsia="en-US" w:bidi="ar-SA"/>
        </w:rPr>
        <w:t>注意事项</w:t>
      </w:r>
      <w:bookmarkEnd w:id="32"/>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供应商自行承担参加竞争性磋商的全部费用。</w:t>
      </w:r>
    </w:p>
    <w:p w14:paraId="0F93FDBD">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en-US" w:eastAsia="en-US" w:bidi="ar-SA"/>
        </w:rPr>
        <w:t>本竞争性磋商文件最终解释权归</w:t>
      </w:r>
      <w:r>
        <w:rPr>
          <w:rFonts w:hint="eastAsia" w:ascii="宋体" w:hAnsi="宋体" w:eastAsia="宋体" w:cs="宋体"/>
          <w:snapToGrid w:val="0"/>
          <w:color w:val="auto"/>
          <w:kern w:val="0"/>
          <w:sz w:val="24"/>
          <w:szCs w:val="24"/>
          <w:highlight w:val="none"/>
          <w:lang w:val="en-US" w:eastAsia="zh-CN" w:bidi="ar-SA"/>
        </w:rPr>
        <w:t>采购代理机构</w:t>
      </w:r>
      <w:r>
        <w:rPr>
          <w:rFonts w:hint="eastAsia" w:ascii="宋体" w:hAnsi="宋体" w:eastAsia="宋体" w:cs="宋体"/>
          <w:snapToGrid w:val="0"/>
          <w:color w:val="auto"/>
          <w:kern w:val="0"/>
          <w:sz w:val="24"/>
          <w:szCs w:val="24"/>
          <w:highlight w:val="none"/>
          <w:lang w:val="en-US" w:eastAsia="en-US" w:bidi="ar-SA"/>
        </w:rPr>
        <w:t>。</w:t>
      </w:r>
    </w:p>
    <w:p w14:paraId="183269DC">
      <w:pPr>
        <w:keepNext w:val="0"/>
        <w:keepLines w:val="0"/>
        <w:pageBreakBefore w:val="0"/>
        <w:kinsoku/>
        <w:wordWrap w:val="0"/>
        <w:overflowPunct/>
        <w:topLinePunct w:val="0"/>
        <w:bidi w:val="0"/>
        <w:spacing w:line="360" w:lineRule="auto"/>
        <w:jc w:val="both"/>
        <w:outlineLvl w:val="0"/>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bookmarkStart w:id="33" w:name="_Toc29335"/>
    </w:p>
    <w:p w14:paraId="5F54BA2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03B3A67E">
      <w:pPr>
        <w:pStyle w:val="15"/>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FF883E9">
      <w:pPr>
        <w:pStyle w:val="16"/>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5D4758A">
      <w:pP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AA4CA15">
      <w:pPr>
        <w:pStyle w:val="15"/>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2F665901">
      <w:pPr>
        <w:pStyle w:val="16"/>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4C5944C3">
      <w:pP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3FBAE5A2">
      <w:pP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0B01367D">
      <w:pP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1DE0234E">
      <w:pP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唐河县政府采购合同融资政策告知函</w:t>
      </w:r>
      <w:bookmarkEnd w:id="33"/>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bookmarkStart w:id="34"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7A1A4A7D">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2F70EC50">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53D1BDB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7610827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4BF088B3">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3C0DD3B8">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52B12629">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color w:val="auto"/>
          <w:sz w:val="21"/>
          <w:highlight w:val="none"/>
        </w:rPr>
      </w:pP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合同草案条款</w:t>
      </w:r>
      <w:bookmarkEnd w:id="34"/>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color w:val="auto"/>
          <w:sz w:val="24"/>
          <w:szCs w:val="24"/>
          <w:highlight w:val="none"/>
        </w:rPr>
      </w:pPr>
      <w:bookmarkStart w:id="35" w:name="_Toc30188_WPSOffice_Level2"/>
      <w:bookmarkStart w:id="36" w:name="_Toc30530_WPSOffice_Level2"/>
      <w:bookmarkStart w:id="37" w:name="_Toc23433_WPSOffice_Level2"/>
      <w:bookmarkStart w:id="38" w:name="_Toc23567_WPSOffice_Level2"/>
      <w:bookmarkStart w:id="39" w:name="_Toc22497_WPSOffice_Level2"/>
      <w:bookmarkStart w:id="40" w:name="_Toc25052_WPSOffice_Level1"/>
      <w:bookmarkStart w:id="41" w:name="_Toc15882"/>
      <w:bookmarkStart w:id="42" w:name="_Toc2983_WPSOffice_Level2"/>
      <w:bookmarkStart w:id="43" w:name="_Toc32620"/>
      <w:r>
        <w:rPr>
          <w:rFonts w:hint="eastAsia"/>
          <w:color w:val="auto"/>
          <w:sz w:val="24"/>
          <w:szCs w:val="24"/>
          <w:highlight w:val="none"/>
        </w:rPr>
        <w:t>（以签订正式合同时为准）</w:t>
      </w:r>
      <w:bookmarkEnd w:id="35"/>
      <w:bookmarkEnd w:id="36"/>
      <w:bookmarkEnd w:id="37"/>
      <w:bookmarkEnd w:id="38"/>
      <w:bookmarkEnd w:id="39"/>
      <w:bookmarkEnd w:id="40"/>
      <w:bookmarkEnd w:id="41"/>
      <w:bookmarkEnd w:id="42"/>
      <w:bookmarkEnd w:id="43"/>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44" w:name="_Toc22466_WPSOffice_Level2"/>
      <w:r>
        <w:rPr>
          <w:rFonts w:hint="eastAsia" w:eastAsia="宋体"/>
          <w:color w:val="auto"/>
          <w:sz w:val="24"/>
          <w:szCs w:val="24"/>
          <w:highlight w:val="none"/>
          <w:lang w:val="en-US" w:eastAsia="zh-CN"/>
        </w:rPr>
        <w:t>一、</w:t>
      </w:r>
      <w:r>
        <w:rPr>
          <w:rFonts w:hint="eastAsia"/>
          <w:color w:val="auto"/>
          <w:sz w:val="24"/>
          <w:szCs w:val="24"/>
          <w:highlight w:val="none"/>
        </w:rPr>
        <w:t>合同文件</w:t>
      </w:r>
      <w:bookmarkEnd w:id="44"/>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45" w:name="_Toc20611"/>
      <w:bookmarkStart w:id="46" w:name="_Toc25689"/>
      <w:r>
        <w:rPr>
          <w:rFonts w:hint="eastAsia"/>
          <w:color w:val="auto"/>
          <w:sz w:val="24"/>
          <w:szCs w:val="24"/>
          <w:highlight w:val="none"/>
        </w:rPr>
        <w:t>本合同所附下列文件是构成本合同不可分割的部分：</w:t>
      </w:r>
      <w:bookmarkEnd w:id="45"/>
      <w:bookmarkEnd w:id="46"/>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47" w:name="_Toc25255"/>
      <w:bookmarkStart w:id="48" w:name="_Toc12304"/>
      <w:r>
        <w:rPr>
          <w:rFonts w:hint="eastAsia"/>
          <w:color w:val="auto"/>
          <w:sz w:val="24"/>
          <w:szCs w:val="24"/>
          <w:highlight w:val="none"/>
        </w:rPr>
        <w:t>（一）本项目</w:t>
      </w:r>
      <w:r>
        <w:rPr>
          <w:rFonts w:hint="eastAsia"/>
          <w:color w:val="auto"/>
          <w:sz w:val="24"/>
          <w:szCs w:val="24"/>
          <w:highlight w:val="none"/>
          <w:lang w:val="en-US" w:eastAsia="zh-CN"/>
        </w:rPr>
        <w:t>磋商</w:t>
      </w:r>
      <w:r>
        <w:rPr>
          <w:rFonts w:hint="eastAsia"/>
          <w:color w:val="auto"/>
          <w:sz w:val="24"/>
          <w:szCs w:val="24"/>
          <w:highlight w:val="none"/>
        </w:rPr>
        <w:t>文件</w:t>
      </w:r>
      <w:bookmarkEnd w:id="47"/>
      <w:bookmarkEnd w:id="48"/>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49" w:name="_Toc3310"/>
      <w:bookmarkStart w:id="50" w:name="_Toc8524"/>
      <w:r>
        <w:rPr>
          <w:rFonts w:hint="eastAsia"/>
          <w:color w:val="auto"/>
          <w:sz w:val="24"/>
          <w:szCs w:val="24"/>
          <w:highlight w:val="none"/>
        </w:rPr>
        <w:t>（二）</w:t>
      </w:r>
      <w:r>
        <w:rPr>
          <w:rFonts w:hint="eastAsia"/>
          <w:color w:val="auto"/>
          <w:sz w:val="24"/>
          <w:szCs w:val="24"/>
          <w:highlight w:val="none"/>
          <w:lang w:val="en-US" w:eastAsia="zh-CN"/>
        </w:rPr>
        <w:t>供应商</w:t>
      </w:r>
      <w:r>
        <w:rPr>
          <w:rFonts w:hint="eastAsia"/>
          <w:color w:val="auto"/>
          <w:sz w:val="24"/>
          <w:szCs w:val="24"/>
          <w:highlight w:val="none"/>
        </w:rPr>
        <w:t>的</w:t>
      </w:r>
      <w:r>
        <w:rPr>
          <w:rFonts w:hint="eastAsia"/>
          <w:color w:val="auto"/>
          <w:sz w:val="24"/>
          <w:szCs w:val="24"/>
          <w:highlight w:val="none"/>
          <w:lang w:val="en-US" w:eastAsia="zh-CN"/>
        </w:rPr>
        <w:t>响应</w:t>
      </w:r>
      <w:r>
        <w:rPr>
          <w:rFonts w:hint="eastAsia"/>
          <w:color w:val="auto"/>
          <w:sz w:val="24"/>
          <w:szCs w:val="24"/>
          <w:highlight w:val="none"/>
        </w:rPr>
        <w:t>文件</w:t>
      </w:r>
      <w:bookmarkEnd w:id="49"/>
      <w:bookmarkEnd w:id="50"/>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1" w:name="_Toc13552"/>
      <w:bookmarkStart w:id="52" w:name="_Toc11043"/>
      <w:r>
        <w:rPr>
          <w:rFonts w:hint="eastAsia"/>
          <w:color w:val="auto"/>
          <w:sz w:val="24"/>
          <w:szCs w:val="24"/>
          <w:highlight w:val="none"/>
        </w:rPr>
        <w:t>（三）合同格式、合同条款</w:t>
      </w:r>
      <w:bookmarkEnd w:id="51"/>
      <w:bookmarkEnd w:id="52"/>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3" w:name="_Toc17684"/>
      <w:bookmarkStart w:id="54" w:name="_Toc3434"/>
      <w:r>
        <w:rPr>
          <w:rFonts w:hint="eastAsia"/>
          <w:color w:val="auto"/>
          <w:sz w:val="24"/>
          <w:szCs w:val="24"/>
          <w:highlight w:val="none"/>
        </w:rPr>
        <w:t>（四）中标人在评标过程中做出的有关澄清、说明或者补正文件</w:t>
      </w:r>
      <w:bookmarkEnd w:id="53"/>
      <w:bookmarkEnd w:id="54"/>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5" w:name="_Toc17949"/>
      <w:bookmarkStart w:id="56" w:name="_Toc24029"/>
      <w:r>
        <w:rPr>
          <w:rFonts w:hint="eastAsia"/>
          <w:color w:val="auto"/>
          <w:sz w:val="24"/>
          <w:szCs w:val="24"/>
          <w:highlight w:val="none"/>
        </w:rPr>
        <w:t>（五）</w:t>
      </w:r>
      <w:r>
        <w:rPr>
          <w:rFonts w:hint="eastAsia"/>
          <w:color w:val="auto"/>
          <w:sz w:val="24"/>
          <w:szCs w:val="24"/>
          <w:highlight w:val="none"/>
          <w:lang w:val="en-US" w:eastAsia="zh-CN"/>
        </w:rPr>
        <w:t>成交</w:t>
      </w:r>
      <w:r>
        <w:rPr>
          <w:rFonts w:hint="eastAsia"/>
          <w:color w:val="auto"/>
          <w:sz w:val="24"/>
          <w:szCs w:val="24"/>
          <w:highlight w:val="none"/>
        </w:rPr>
        <w:t>通知书</w:t>
      </w:r>
      <w:bookmarkEnd w:id="55"/>
      <w:bookmarkEnd w:id="56"/>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7" w:name="_Toc25248"/>
      <w:bookmarkStart w:id="58" w:name="_Toc4313"/>
      <w:r>
        <w:rPr>
          <w:rFonts w:hint="eastAsia"/>
          <w:color w:val="auto"/>
          <w:sz w:val="24"/>
          <w:szCs w:val="24"/>
          <w:highlight w:val="none"/>
        </w:rPr>
        <w:t>（六）本合同附件</w:t>
      </w:r>
      <w:bookmarkEnd w:id="57"/>
      <w:bookmarkEnd w:id="58"/>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color w:val="auto"/>
          <w:sz w:val="24"/>
          <w:szCs w:val="24"/>
          <w:highlight w:val="none"/>
        </w:rPr>
      </w:pPr>
      <w:bookmarkStart w:id="59" w:name="_Toc11434"/>
      <w:bookmarkStart w:id="60" w:name="_Toc24717"/>
      <w:bookmarkStart w:id="61" w:name="_Toc7727"/>
      <w:bookmarkStart w:id="62" w:name="_Toc13630_WPSOffice_Level2"/>
      <w:bookmarkStart w:id="63" w:name="_Toc19424"/>
      <w:r>
        <w:rPr>
          <w:rFonts w:hint="eastAsia"/>
          <w:color w:val="auto"/>
          <w:sz w:val="24"/>
          <w:szCs w:val="24"/>
          <w:highlight w:val="none"/>
        </w:rPr>
        <w:t>二、合同的范围和条件</w:t>
      </w:r>
      <w:bookmarkEnd w:id="59"/>
      <w:bookmarkEnd w:id="60"/>
      <w:bookmarkEnd w:id="61"/>
      <w:bookmarkEnd w:id="62"/>
      <w:bookmarkEnd w:id="63"/>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color w:val="auto"/>
          <w:sz w:val="24"/>
          <w:szCs w:val="24"/>
          <w:highlight w:val="none"/>
        </w:rPr>
      </w:pPr>
      <w:r>
        <w:rPr>
          <w:rFonts w:hint="eastAsia"/>
          <w:color w:val="auto"/>
          <w:sz w:val="24"/>
          <w:szCs w:val="24"/>
          <w:highlight w:val="none"/>
        </w:rPr>
        <w:t xml:space="preserve"> </w:t>
      </w:r>
      <w:bookmarkStart w:id="64" w:name="_Toc2465"/>
      <w:bookmarkStart w:id="65" w:name="_Toc15521_WPSOffice_Level2"/>
      <w:bookmarkStart w:id="66" w:name="_Toc21864"/>
      <w:bookmarkStart w:id="67" w:name="_Toc24787"/>
      <w:bookmarkStart w:id="68" w:name="_Toc18794"/>
      <w:r>
        <w:rPr>
          <w:rFonts w:hint="eastAsia"/>
          <w:color w:val="auto"/>
          <w:sz w:val="24"/>
          <w:szCs w:val="24"/>
          <w:highlight w:val="none"/>
        </w:rPr>
        <w:t>三、合同金额</w:t>
      </w:r>
      <w:bookmarkEnd w:id="64"/>
      <w:bookmarkEnd w:id="65"/>
      <w:bookmarkEnd w:id="66"/>
      <w:bookmarkEnd w:id="67"/>
      <w:bookmarkEnd w:id="68"/>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69" w:name="_Toc12265"/>
      <w:bookmarkStart w:id="70" w:name="_Toc15284"/>
      <w:r>
        <w:rPr>
          <w:rFonts w:hint="eastAsia"/>
          <w:color w:val="auto"/>
          <w:sz w:val="24"/>
          <w:szCs w:val="24"/>
          <w:highlight w:val="none"/>
        </w:rPr>
        <w:t xml:space="preserve">合同总金额：人民币： </w:t>
      </w:r>
      <w:r>
        <w:rPr>
          <w:rFonts w:hint="eastAsia"/>
          <w:color w:val="auto"/>
          <w:sz w:val="24"/>
          <w:szCs w:val="24"/>
          <w:highlight w:val="none"/>
        </w:rPr>
        <w:tab/>
      </w:r>
      <w:r>
        <w:rPr>
          <w:rFonts w:hint="eastAsia"/>
          <w:color w:val="auto"/>
          <w:sz w:val="24"/>
          <w:szCs w:val="24"/>
          <w:highlight w:val="none"/>
        </w:rPr>
        <w:t xml:space="preserve">元（大写） 人民币： </w:t>
      </w:r>
      <w:r>
        <w:rPr>
          <w:rFonts w:hint="eastAsia"/>
          <w:color w:val="auto"/>
          <w:sz w:val="24"/>
          <w:szCs w:val="24"/>
          <w:highlight w:val="none"/>
        </w:rPr>
        <w:tab/>
      </w:r>
      <w:r>
        <w:rPr>
          <w:rFonts w:hint="eastAsia"/>
          <w:color w:val="auto"/>
          <w:sz w:val="24"/>
          <w:szCs w:val="24"/>
          <w:highlight w:val="none"/>
        </w:rPr>
        <w:t>元（小写）</w:t>
      </w:r>
      <w:bookmarkEnd w:id="69"/>
      <w:bookmarkEnd w:id="70"/>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1" w:name="_Toc26017_WPSOffice_Level2"/>
      <w:r>
        <w:rPr>
          <w:rFonts w:hint="eastAsia"/>
          <w:color w:val="auto"/>
          <w:sz w:val="24"/>
          <w:szCs w:val="24"/>
          <w:highlight w:val="none"/>
        </w:rPr>
        <w:t>质量要求：</w:t>
      </w:r>
      <w:bookmarkEnd w:id="71"/>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lang w:val="en-US" w:eastAsia="zh-CN"/>
        </w:rPr>
      </w:pPr>
      <w:bookmarkStart w:id="72" w:name="_Toc4377_WPSOffice_Level2"/>
      <w:r>
        <w:rPr>
          <w:rFonts w:hint="eastAsia" w:eastAsia="宋体"/>
          <w:color w:val="auto"/>
          <w:sz w:val="24"/>
          <w:szCs w:val="24"/>
          <w:highlight w:val="none"/>
          <w:lang w:val="en-US" w:eastAsia="zh-CN"/>
        </w:rPr>
        <w:t>四、</w:t>
      </w:r>
      <w:r>
        <w:rPr>
          <w:rFonts w:hint="eastAsia"/>
          <w:color w:val="auto"/>
          <w:sz w:val="24"/>
          <w:szCs w:val="24"/>
          <w:highlight w:val="none"/>
        </w:rPr>
        <w:t>付款方式</w:t>
      </w:r>
      <w:bookmarkEnd w:id="72"/>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lang w:val="en-US" w:eastAsia="zh-CN"/>
        </w:rPr>
      </w:pPr>
      <w:r>
        <w:rPr>
          <w:rFonts w:hint="eastAsia"/>
          <w:color w:val="auto"/>
          <w:sz w:val="24"/>
          <w:szCs w:val="24"/>
          <w:highlight w:val="none"/>
        </w:rPr>
        <w:t>付款方式：</w:t>
      </w:r>
      <w:r>
        <w:rPr>
          <w:rFonts w:hint="eastAsia"/>
          <w:color w:val="auto"/>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3" w:name="_Toc12155_WPSOffice_Level2"/>
      <w:r>
        <w:rPr>
          <w:rFonts w:hint="eastAsia" w:eastAsia="宋体"/>
          <w:color w:val="auto"/>
          <w:sz w:val="24"/>
          <w:szCs w:val="24"/>
          <w:highlight w:val="none"/>
          <w:lang w:val="en-US" w:eastAsia="zh-CN"/>
        </w:rPr>
        <w:t>五、</w:t>
      </w:r>
      <w:r>
        <w:rPr>
          <w:rFonts w:hint="eastAsia"/>
          <w:color w:val="auto"/>
          <w:sz w:val="24"/>
          <w:szCs w:val="24"/>
          <w:highlight w:val="none"/>
        </w:rPr>
        <w:t>服务日期、地点</w:t>
      </w:r>
      <w:bookmarkEnd w:id="73"/>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 xml:space="preserve">服务时间：于 </w:t>
      </w:r>
      <w:r>
        <w:rPr>
          <w:rFonts w:hint="eastAsia"/>
          <w:color w:val="auto"/>
          <w:sz w:val="24"/>
          <w:szCs w:val="24"/>
          <w:highlight w:val="none"/>
        </w:rPr>
        <w:tab/>
      </w:r>
      <w:r>
        <w:rPr>
          <w:rFonts w:hint="eastAsia"/>
          <w:color w:val="auto"/>
          <w:sz w:val="24"/>
          <w:szCs w:val="24"/>
          <w:highlight w:val="none"/>
        </w:rPr>
        <w:t xml:space="preserve">年 </w:t>
      </w:r>
      <w:r>
        <w:rPr>
          <w:rFonts w:hint="eastAsia"/>
          <w:color w:val="auto"/>
          <w:sz w:val="24"/>
          <w:szCs w:val="24"/>
          <w:highlight w:val="none"/>
        </w:rPr>
        <w:tab/>
      </w:r>
      <w:r>
        <w:rPr>
          <w:rFonts w:hint="eastAsia"/>
          <w:color w:val="auto"/>
          <w:sz w:val="24"/>
          <w:szCs w:val="24"/>
          <w:highlight w:val="none"/>
        </w:rPr>
        <w:t xml:space="preserve">月 </w:t>
      </w:r>
      <w:r>
        <w:rPr>
          <w:rFonts w:hint="eastAsia"/>
          <w:color w:val="auto"/>
          <w:sz w:val="24"/>
          <w:szCs w:val="24"/>
          <w:highlight w:val="none"/>
        </w:rPr>
        <w:tab/>
      </w:r>
      <w:r>
        <w:rPr>
          <w:rFonts w:hint="eastAsia"/>
          <w:color w:val="auto"/>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4" w:name="_Toc30055_WPSOffice_Level2"/>
      <w:r>
        <w:rPr>
          <w:rFonts w:hint="eastAsia" w:eastAsia="宋体"/>
          <w:color w:val="auto"/>
          <w:sz w:val="24"/>
          <w:szCs w:val="24"/>
          <w:highlight w:val="none"/>
          <w:lang w:val="en-US" w:eastAsia="zh-CN"/>
        </w:rPr>
        <w:t>六、</w:t>
      </w:r>
      <w:r>
        <w:rPr>
          <w:rFonts w:hint="eastAsia"/>
          <w:color w:val="auto"/>
          <w:sz w:val="24"/>
          <w:szCs w:val="24"/>
          <w:highlight w:val="none"/>
        </w:rPr>
        <w:t>合同保存</w:t>
      </w:r>
      <w:bookmarkEnd w:id="74"/>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 xml:space="preserve">本合同一式 </w:t>
      </w:r>
      <w:r>
        <w:rPr>
          <w:rFonts w:hint="eastAsia"/>
          <w:color w:val="auto"/>
          <w:sz w:val="24"/>
          <w:szCs w:val="24"/>
          <w:highlight w:val="none"/>
        </w:rPr>
        <w:tab/>
      </w:r>
      <w:r>
        <w:rPr>
          <w:rFonts w:hint="eastAsia"/>
          <w:color w:val="auto"/>
          <w:sz w:val="24"/>
          <w:szCs w:val="24"/>
          <w:highlight w:val="none"/>
        </w:rPr>
        <w:t xml:space="preserve">份，甲方 </w:t>
      </w:r>
      <w:r>
        <w:rPr>
          <w:rFonts w:hint="eastAsia"/>
          <w:color w:val="auto"/>
          <w:sz w:val="24"/>
          <w:szCs w:val="24"/>
          <w:highlight w:val="none"/>
        </w:rPr>
        <w:tab/>
      </w:r>
      <w:r>
        <w:rPr>
          <w:rFonts w:hint="eastAsia"/>
          <w:color w:val="auto"/>
          <w:sz w:val="24"/>
          <w:szCs w:val="24"/>
          <w:highlight w:val="none"/>
        </w:rPr>
        <w:t xml:space="preserve">份，乙方 </w:t>
      </w:r>
      <w:r>
        <w:rPr>
          <w:rFonts w:hint="eastAsia"/>
          <w:color w:val="auto"/>
          <w:sz w:val="24"/>
          <w:szCs w:val="24"/>
          <w:highlight w:val="none"/>
        </w:rPr>
        <w:tab/>
      </w:r>
      <w:r>
        <w:rPr>
          <w:rFonts w:hint="eastAsia"/>
          <w:color w:val="auto"/>
          <w:sz w:val="24"/>
          <w:szCs w:val="24"/>
          <w:highlight w:val="none"/>
        </w:rPr>
        <w:t xml:space="preserve">份，采购代理机构 </w:t>
      </w:r>
      <w:r>
        <w:rPr>
          <w:rFonts w:hint="eastAsia"/>
          <w:color w:val="auto"/>
          <w:sz w:val="24"/>
          <w:szCs w:val="24"/>
          <w:highlight w:val="none"/>
        </w:rPr>
        <w:tab/>
      </w:r>
      <w:r>
        <w:rPr>
          <w:rFonts w:hint="eastAsia"/>
          <w:color w:val="auto"/>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75" w:name="_Toc30238_WPSOffice_Level2"/>
      <w:r>
        <w:rPr>
          <w:rFonts w:hint="eastAsia" w:eastAsia="宋体"/>
          <w:color w:val="auto"/>
          <w:sz w:val="24"/>
          <w:szCs w:val="24"/>
          <w:highlight w:val="none"/>
          <w:lang w:val="en-US" w:eastAsia="zh-CN"/>
        </w:rPr>
        <w:t>七、</w:t>
      </w:r>
      <w:r>
        <w:rPr>
          <w:rFonts w:hint="eastAsia"/>
          <w:color w:val="auto"/>
          <w:sz w:val="24"/>
          <w:szCs w:val="24"/>
          <w:highlight w:val="none"/>
        </w:rPr>
        <w:t>违约条款</w:t>
      </w:r>
      <w:bookmarkEnd w:id="75"/>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76" w:name="_Toc8155"/>
      <w:bookmarkStart w:id="77" w:name="_Toc1630"/>
      <w:r>
        <w:rPr>
          <w:rFonts w:hint="eastAsia"/>
          <w:color w:val="auto"/>
          <w:sz w:val="24"/>
          <w:szCs w:val="24"/>
          <w:highlight w:val="none"/>
        </w:rPr>
        <w:t>（2）乙方给用户造成的实际损失高于违约金的，乙方应给用户对高出违约金的部分予以赔偿。</w:t>
      </w:r>
      <w:bookmarkEnd w:id="76"/>
      <w:bookmarkEnd w:id="77"/>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78" w:name="_Toc15751"/>
      <w:bookmarkStart w:id="79" w:name="_Toc23941"/>
      <w:r>
        <w:rPr>
          <w:rFonts w:hint="eastAsia"/>
          <w:color w:val="auto"/>
          <w:sz w:val="24"/>
          <w:szCs w:val="24"/>
          <w:highlight w:val="none"/>
        </w:rPr>
        <w:t>（3）乙方迟延履行合同、不完全履行合同或提供的服务不符合招标文件的要求，除支付违约金外，仍应实际履行合同或重新提供符合要求的服务。</w:t>
      </w:r>
      <w:bookmarkEnd w:id="78"/>
      <w:bookmarkEnd w:id="79"/>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0" w:name="_Toc25387"/>
      <w:bookmarkStart w:id="81" w:name="_Toc21648"/>
      <w:r>
        <w:rPr>
          <w:rFonts w:hint="eastAsia"/>
          <w:color w:val="auto"/>
          <w:sz w:val="24"/>
          <w:szCs w:val="24"/>
          <w:highlight w:val="none"/>
        </w:rPr>
        <w:t>（4）由于乙方原因造成的延期，每延期一天，需支付甲方损失为合同总价款的 1‰。</w:t>
      </w:r>
      <w:bookmarkEnd w:id="80"/>
      <w:bookmarkEnd w:id="81"/>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2" w:name="_Toc5115"/>
      <w:bookmarkStart w:id="83" w:name="_Toc8408"/>
      <w:r>
        <w:rPr>
          <w:rFonts w:hint="eastAsia"/>
          <w:color w:val="auto"/>
          <w:sz w:val="24"/>
          <w:szCs w:val="24"/>
          <w:highlight w:val="none"/>
        </w:rPr>
        <w:t>（5）甲方和乙方若需签订补充协议，补充协议与该合同具有同等法律效力。</w:t>
      </w:r>
      <w:bookmarkEnd w:id="82"/>
      <w:bookmarkEnd w:id="83"/>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4" w:name="_Toc2579"/>
      <w:bookmarkStart w:id="85" w:name="_Toc27685"/>
      <w:r>
        <w:rPr>
          <w:rFonts w:hint="eastAsia"/>
          <w:color w:val="auto"/>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r>
        <w:rPr>
          <w:rFonts w:hint="eastAsia" w:eastAsia="宋体"/>
          <w:color w:val="auto"/>
          <w:sz w:val="24"/>
          <w:szCs w:val="24"/>
          <w:highlight w:val="none"/>
          <w:lang w:val="en-US" w:eastAsia="zh-CN"/>
        </w:rPr>
        <w:t>八</w:t>
      </w:r>
      <w:r>
        <w:rPr>
          <w:rFonts w:hint="eastAsia"/>
          <w:color w:val="auto"/>
          <w:sz w:val="24"/>
          <w:szCs w:val="24"/>
          <w:highlight w:val="none"/>
        </w:rPr>
        <w:t>、合同生效及其它</w:t>
      </w:r>
      <w:bookmarkEnd w:id="84"/>
      <w:bookmarkEnd w:id="85"/>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6" w:name="_Toc1264"/>
      <w:bookmarkStart w:id="87" w:name="_Toc27824"/>
      <w:r>
        <w:rPr>
          <w:rFonts w:hint="eastAsia"/>
          <w:color w:val="auto"/>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6"/>
      <w:bookmarkEnd w:id="87"/>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8" w:name="_Toc20058"/>
      <w:bookmarkStart w:id="89" w:name="_Toc13678"/>
      <w:r>
        <w:rPr>
          <w:rFonts w:hint="eastAsia"/>
          <w:color w:val="auto"/>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8"/>
      <w:bookmarkEnd w:id="89"/>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90" w:name="_Toc20805_WPSOffice_Level2"/>
      <w:bookmarkStart w:id="91" w:name="_Toc4045"/>
      <w:bookmarkStart w:id="92" w:name="_Toc7032_WPSOffice_Level1"/>
      <w:bookmarkStart w:id="93" w:name="_Toc13056_WPSOffice_Level2"/>
      <w:bookmarkStart w:id="94" w:name="_Toc10619_WPSOffice_Level2"/>
      <w:bookmarkStart w:id="95" w:name="_Toc16421_WPSOffice_Level2"/>
      <w:bookmarkStart w:id="96" w:name="_Toc29610_WPSOffice_Level2"/>
      <w:bookmarkStart w:id="97" w:name="_Toc3081_WPSOffice_Level2"/>
      <w:bookmarkStart w:id="98" w:name="_Toc26378"/>
      <w:r>
        <w:rPr>
          <w:rFonts w:hint="eastAsia"/>
          <w:color w:val="auto"/>
          <w:sz w:val="24"/>
          <w:szCs w:val="24"/>
          <w:highlight w:val="none"/>
        </w:rPr>
        <w:t>甲</w:t>
      </w:r>
      <w:r>
        <w:rPr>
          <w:rFonts w:hint="eastAsia"/>
          <w:color w:val="auto"/>
          <w:sz w:val="24"/>
          <w:szCs w:val="24"/>
          <w:highlight w:val="none"/>
        </w:rPr>
        <w:tab/>
      </w:r>
      <w:r>
        <w:rPr>
          <w:rFonts w:hint="eastAsia"/>
          <w:color w:val="auto"/>
          <w:sz w:val="24"/>
          <w:szCs w:val="24"/>
          <w:highlight w:val="none"/>
        </w:rPr>
        <w:t>方（公章）：</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乙</w:t>
      </w:r>
      <w:r>
        <w:rPr>
          <w:rFonts w:hint="eastAsia"/>
          <w:color w:val="auto"/>
          <w:sz w:val="24"/>
          <w:szCs w:val="24"/>
          <w:highlight w:val="none"/>
        </w:rPr>
        <w:tab/>
      </w:r>
      <w:r>
        <w:rPr>
          <w:rFonts w:hint="eastAsia"/>
          <w:color w:val="auto"/>
          <w:sz w:val="24"/>
          <w:szCs w:val="24"/>
          <w:highlight w:val="none"/>
        </w:rPr>
        <w:t>方（公章）：</w:t>
      </w:r>
      <w:bookmarkEnd w:id="90"/>
      <w:bookmarkEnd w:id="91"/>
      <w:bookmarkEnd w:id="92"/>
      <w:bookmarkEnd w:id="93"/>
      <w:bookmarkEnd w:id="94"/>
      <w:bookmarkEnd w:id="95"/>
      <w:bookmarkEnd w:id="96"/>
      <w:bookmarkEnd w:id="97"/>
      <w:bookmarkEnd w:id="98"/>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lang w:val="en-US" w:eastAsia="zh-CN"/>
        </w:rPr>
      </w:pPr>
      <w:bookmarkStart w:id="99" w:name="_Toc20300"/>
      <w:bookmarkStart w:id="100" w:name="_Toc11748"/>
      <w:r>
        <w:rPr>
          <w:rFonts w:hint="eastAsia"/>
          <w:color w:val="auto"/>
          <w:sz w:val="24"/>
          <w:szCs w:val="24"/>
          <w:highlight w:val="none"/>
        </w:rPr>
        <w:t>法定代表人或授权代理人：（签字）</w:t>
      </w:r>
      <w:r>
        <w:rPr>
          <w:rFonts w:hint="eastAsia"/>
          <w:color w:val="auto"/>
          <w:sz w:val="24"/>
          <w:szCs w:val="24"/>
          <w:highlight w:val="none"/>
        </w:rPr>
        <w:tab/>
      </w:r>
      <w:r>
        <w:rPr>
          <w:rFonts w:hint="eastAsia"/>
          <w:color w:val="auto"/>
          <w:sz w:val="24"/>
          <w:szCs w:val="24"/>
          <w:highlight w:val="none"/>
        </w:rPr>
        <w:t>法定代表人或授权代理人：（签字）</w:t>
      </w:r>
      <w:bookmarkEnd w:id="99"/>
      <w:bookmarkEnd w:id="100"/>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1" w:name="_Toc2236"/>
      <w:bookmarkStart w:id="102" w:name="_Toc11893"/>
      <w:r>
        <w:rPr>
          <w:rFonts w:hint="eastAsia"/>
          <w:color w:val="auto"/>
          <w:sz w:val="24"/>
          <w:szCs w:val="24"/>
          <w:highlight w:val="none"/>
        </w:rPr>
        <w:t>开户单位：</w:t>
      </w:r>
      <w:r>
        <w:rPr>
          <w:rFonts w:hint="eastAsia"/>
          <w:color w:val="auto"/>
          <w:sz w:val="24"/>
          <w:szCs w:val="24"/>
          <w:highlight w:val="none"/>
          <w:lang w:val="en-US" w:eastAsia="zh-CN"/>
        </w:rPr>
        <w:t xml:space="preserve">                        </w:t>
      </w:r>
      <w:r>
        <w:rPr>
          <w:rFonts w:hint="eastAsia"/>
          <w:color w:val="auto"/>
          <w:sz w:val="24"/>
          <w:szCs w:val="24"/>
          <w:highlight w:val="none"/>
        </w:rPr>
        <w:t>开户单位：</w:t>
      </w:r>
      <w:bookmarkEnd w:id="101"/>
      <w:bookmarkEnd w:id="102"/>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3" w:name="_Toc25263"/>
      <w:bookmarkStart w:id="104" w:name="_Toc31863"/>
      <w:r>
        <w:rPr>
          <w:rFonts w:hint="eastAsia"/>
          <w:color w:val="auto"/>
          <w:sz w:val="24"/>
          <w:szCs w:val="24"/>
          <w:highlight w:val="none"/>
        </w:rPr>
        <w:t>开户银行：</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开户银行：</w:t>
      </w:r>
      <w:bookmarkEnd w:id="103"/>
      <w:bookmarkEnd w:id="104"/>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5" w:name="_Toc27472"/>
      <w:bookmarkStart w:id="106" w:name="_Toc17067"/>
      <w:r>
        <w:rPr>
          <w:rFonts w:hint="eastAsia"/>
          <w:color w:val="auto"/>
          <w:sz w:val="24"/>
          <w:szCs w:val="24"/>
          <w:highlight w:val="none"/>
        </w:rPr>
        <w:t>帐</w:t>
      </w:r>
      <w:r>
        <w:rPr>
          <w:rFonts w:hint="eastAsia"/>
          <w:color w:val="auto"/>
          <w:sz w:val="24"/>
          <w:szCs w:val="24"/>
          <w:highlight w:val="none"/>
        </w:rPr>
        <w:tab/>
      </w:r>
      <w:r>
        <w:rPr>
          <w:rFonts w:hint="eastAsia"/>
          <w:color w:val="auto"/>
          <w:sz w:val="24"/>
          <w:szCs w:val="24"/>
          <w:highlight w:val="none"/>
        </w:rPr>
        <w:t>号：</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帐</w:t>
      </w:r>
      <w:r>
        <w:rPr>
          <w:rFonts w:hint="eastAsia"/>
          <w:color w:val="auto"/>
          <w:sz w:val="24"/>
          <w:szCs w:val="24"/>
          <w:highlight w:val="none"/>
        </w:rPr>
        <w:tab/>
      </w:r>
      <w:r>
        <w:rPr>
          <w:rFonts w:hint="eastAsia"/>
          <w:color w:val="auto"/>
          <w:sz w:val="24"/>
          <w:szCs w:val="24"/>
          <w:highlight w:val="none"/>
        </w:rPr>
        <w:t>号：</w:t>
      </w:r>
      <w:bookmarkEnd w:id="105"/>
      <w:bookmarkEnd w:id="106"/>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7" w:name="_Toc19503"/>
      <w:bookmarkStart w:id="108" w:name="_Toc18260"/>
      <w:r>
        <w:rPr>
          <w:rFonts w:hint="eastAsia"/>
          <w:color w:val="auto"/>
          <w:sz w:val="24"/>
          <w:szCs w:val="24"/>
          <w:highlight w:val="none"/>
        </w:rPr>
        <w:t>地</w:t>
      </w:r>
      <w:r>
        <w:rPr>
          <w:rFonts w:hint="eastAsia"/>
          <w:color w:val="auto"/>
          <w:sz w:val="24"/>
          <w:szCs w:val="24"/>
          <w:highlight w:val="none"/>
        </w:rPr>
        <w:tab/>
      </w:r>
      <w:r>
        <w:rPr>
          <w:rFonts w:hint="eastAsia"/>
          <w:color w:val="auto"/>
          <w:sz w:val="24"/>
          <w:szCs w:val="24"/>
          <w:highlight w:val="none"/>
        </w:rPr>
        <w:t>址：</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地</w:t>
      </w:r>
      <w:r>
        <w:rPr>
          <w:rFonts w:hint="eastAsia"/>
          <w:color w:val="auto"/>
          <w:sz w:val="24"/>
          <w:szCs w:val="24"/>
          <w:highlight w:val="none"/>
        </w:rPr>
        <w:tab/>
      </w:r>
      <w:r>
        <w:rPr>
          <w:rFonts w:hint="eastAsia"/>
          <w:color w:val="auto"/>
          <w:sz w:val="24"/>
          <w:szCs w:val="24"/>
          <w:highlight w:val="none"/>
        </w:rPr>
        <w:t>址：</w:t>
      </w:r>
      <w:bookmarkEnd w:id="107"/>
      <w:bookmarkEnd w:id="108"/>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9" w:name="_Toc16058"/>
      <w:bookmarkStart w:id="110" w:name="_Toc15291"/>
      <w:r>
        <w:rPr>
          <w:rFonts w:hint="eastAsia"/>
          <w:color w:val="auto"/>
          <w:sz w:val="24"/>
          <w:szCs w:val="24"/>
          <w:highlight w:val="none"/>
        </w:rPr>
        <w:t>电</w:t>
      </w:r>
      <w:r>
        <w:rPr>
          <w:rFonts w:hint="eastAsia"/>
          <w:color w:val="auto"/>
          <w:sz w:val="24"/>
          <w:szCs w:val="24"/>
          <w:highlight w:val="none"/>
        </w:rPr>
        <w:tab/>
      </w:r>
      <w:r>
        <w:rPr>
          <w:rFonts w:hint="eastAsia"/>
          <w:color w:val="auto"/>
          <w:sz w:val="24"/>
          <w:szCs w:val="24"/>
          <w:highlight w:val="none"/>
        </w:rPr>
        <w:t>话：</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电</w:t>
      </w:r>
      <w:r>
        <w:rPr>
          <w:rFonts w:hint="eastAsia"/>
          <w:color w:val="auto"/>
          <w:sz w:val="24"/>
          <w:szCs w:val="24"/>
          <w:highlight w:val="none"/>
        </w:rPr>
        <w:tab/>
      </w:r>
      <w:r>
        <w:rPr>
          <w:rFonts w:hint="eastAsia"/>
          <w:color w:val="auto"/>
          <w:sz w:val="24"/>
          <w:szCs w:val="24"/>
          <w:highlight w:val="none"/>
        </w:rPr>
        <w:t>话：</w:t>
      </w:r>
      <w:bookmarkEnd w:id="109"/>
      <w:bookmarkEnd w:id="110"/>
    </w:p>
    <w:p w14:paraId="058643B3">
      <w:pPr>
        <w:pStyle w:val="6"/>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color w:val="auto"/>
          <w:sz w:val="24"/>
          <w:szCs w:val="24"/>
          <w:highlight w:val="none"/>
          <w:lang w:eastAsia="zh-CN"/>
        </w:rPr>
      </w:pPr>
      <w:bookmarkStart w:id="111" w:name="_Toc32463"/>
      <w:bookmarkStart w:id="112" w:name="_Toc22352"/>
      <w:r>
        <w:rPr>
          <w:rFonts w:hint="eastAsia"/>
          <w:color w:val="auto"/>
          <w:sz w:val="24"/>
          <w:szCs w:val="24"/>
          <w:highlight w:val="none"/>
        </w:rPr>
        <w:t>签订时间：</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签订时间</w:t>
      </w:r>
      <w:r>
        <w:rPr>
          <w:rFonts w:hint="eastAsia"/>
          <w:color w:val="auto"/>
          <w:sz w:val="24"/>
          <w:szCs w:val="24"/>
          <w:highlight w:val="none"/>
          <w:lang w:eastAsia="zh-CN"/>
        </w:rPr>
        <w:t>：</w:t>
      </w:r>
      <w:bookmarkEnd w:id="111"/>
      <w:bookmarkEnd w:id="112"/>
    </w:p>
    <w:p w14:paraId="65D039BF">
      <w:pPr>
        <w:pStyle w:val="24"/>
        <w:rPr>
          <w:rFonts w:hint="eastAsia"/>
          <w:color w:val="auto"/>
          <w:sz w:val="24"/>
          <w:szCs w:val="24"/>
          <w:highlight w:val="none"/>
          <w:lang w:eastAsia="zh-CN"/>
        </w:rPr>
      </w:pPr>
    </w:p>
    <w:p w14:paraId="1A26217F">
      <w:pPr>
        <w:pStyle w:val="25"/>
        <w:rPr>
          <w:rFonts w:hint="eastAsia"/>
          <w:color w:val="auto"/>
          <w:sz w:val="24"/>
          <w:szCs w:val="24"/>
          <w:highlight w:val="none"/>
          <w:lang w:eastAsia="zh-CN"/>
        </w:rPr>
      </w:pPr>
    </w:p>
    <w:p w14:paraId="6A681A06">
      <w:pPr>
        <w:pStyle w:val="15"/>
        <w:ind w:left="0" w:leftChars="0" w:firstLine="0" w:firstLineChars="0"/>
        <w:rPr>
          <w:rFonts w:hint="eastAsia"/>
          <w:color w:val="auto"/>
          <w:sz w:val="24"/>
          <w:szCs w:val="24"/>
          <w:highlight w:val="none"/>
          <w:lang w:eastAsia="zh-CN"/>
        </w:rPr>
      </w:pPr>
    </w:p>
    <w:p w14:paraId="13DFC9C9">
      <w:pPr>
        <w:pStyle w:val="16"/>
        <w:rPr>
          <w:rFonts w:hint="eastAsia"/>
          <w:color w:val="auto"/>
          <w:highlight w:val="none"/>
          <w:lang w:eastAsia="zh-CN"/>
        </w:rPr>
      </w:pPr>
    </w:p>
    <w:p w14:paraId="17A08960">
      <w:pPr>
        <w:pStyle w:val="6"/>
        <w:keepNext w:val="0"/>
        <w:keepLines w:val="0"/>
        <w:pageBreakBefore w:val="0"/>
        <w:numPr>
          <w:ilvl w:val="0"/>
          <w:numId w:val="4"/>
        </w:numPr>
        <w:kinsoku/>
        <w:wordWrap w:val="0"/>
        <w:overflowPunct/>
        <w:topLinePunct w:val="0"/>
        <w:bidi w:val="0"/>
        <w:spacing w:before="353" w:line="360" w:lineRule="auto"/>
        <w:ind w:left="14" w:leftChars="0" w:hanging="14" w:firstLineChars="0"/>
        <w:jc w:val="center"/>
        <w:outlineLvl w:val="0"/>
        <w:rPr>
          <w:color w:val="auto"/>
          <w:spacing w:val="-5"/>
          <w:sz w:val="36"/>
          <w:szCs w:val="36"/>
          <w:highlight w:val="none"/>
          <w14:textOutline w14:w="2306" w14:cap="flat" w14:cmpd="sng">
            <w14:solidFill>
              <w14:srgbClr w14:val="000000"/>
            </w14:solidFill>
            <w14:prstDash w14:val="solid"/>
            <w14:miter w14:val="0"/>
          </w14:textOutline>
        </w:rPr>
      </w:pPr>
      <w:bookmarkStart w:id="113" w:name="_Toc31124"/>
      <w:r>
        <w:rPr>
          <w:color w:val="auto"/>
          <w:spacing w:val="-5"/>
          <w:sz w:val="36"/>
          <w:szCs w:val="36"/>
          <w:highlight w:val="none"/>
          <w14:textOutline w14:w="2306" w14:cap="flat" w14:cmpd="sng">
            <w14:solidFill>
              <w14:srgbClr w14:val="000000"/>
            </w14:solidFill>
            <w14:prstDash w14:val="solid"/>
            <w14:miter w14:val="0"/>
          </w14:textOutline>
        </w:rPr>
        <w:t>响应文件格式</w:t>
      </w:r>
      <w:bookmarkEnd w:id="113"/>
    </w:p>
    <w:p w14:paraId="511E3A9C">
      <w:pPr>
        <w:pStyle w:val="23"/>
        <w:rPr>
          <w:color w:val="auto"/>
          <w:highlight w:val="none"/>
        </w:rPr>
      </w:pPr>
    </w:p>
    <w:p w14:paraId="588EA14D">
      <w:pPr>
        <w:rPr>
          <w:rFonts w:hint="eastAsia"/>
          <w:b/>
          <w:bCs/>
          <w:color w:val="auto"/>
          <w:sz w:val="28"/>
          <w:szCs w:val="28"/>
          <w:highlight w:val="none"/>
        </w:rPr>
      </w:pPr>
      <w:r>
        <w:rPr>
          <w:rFonts w:hint="eastAsia"/>
          <w:b/>
          <w:bCs/>
          <w:color w:val="auto"/>
          <w:sz w:val="28"/>
          <w:szCs w:val="28"/>
          <w:highlight w:val="none"/>
        </w:rPr>
        <w:t>供应商编制文件须知</w:t>
      </w:r>
    </w:p>
    <w:p w14:paraId="6E116570">
      <w:pPr>
        <w:rPr>
          <w:rFonts w:hint="eastAsia"/>
          <w:b/>
          <w:bCs/>
          <w:color w:val="auto"/>
          <w:sz w:val="28"/>
          <w:szCs w:val="28"/>
          <w:highlight w:val="none"/>
        </w:rPr>
      </w:pPr>
      <w:r>
        <w:rPr>
          <w:rFonts w:hint="eastAsia"/>
          <w:b/>
          <w:bCs/>
          <w:color w:val="auto"/>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color w:val="auto"/>
          <w:sz w:val="28"/>
          <w:szCs w:val="28"/>
          <w:highlight w:val="none"/>
        </w:rPr>
      </w:pPr>
      <w:r>
        <w:rPr>
          <w:rFonts w:hint="eastAsia"/>
          <w:b/>
          <w:bCs/>
          <w:color w:val="auto"/>
          <w:sz w:val="28"/>
          <w:szCs w:val="28"/>
          <w:highlight w:val="none"/>
        </w:rPr>
        <w:t>2.全部声明和问题的回答及所附材料必须是真实的、准确的和完整的。</w:t>
      </w:r>
    </w:p>
    <w:p w14:paraId="06EC8B3E">
      <w:pPr>
        <w:rPr>
          <w:color w:val="auto"/>
          <w:highlight w:val="none"/>
        </w:rPr>
      </w:pPr>
    </w:p>
    <w:p w14:paraId="5E8B421A">
      <w:pPr>
        <w:pStyle w:val="23"/>
        <w:rPr>
          <w:color w:val="auto"/>
          <w:highlight w:val="none"/>
        </w:rPr>
      </w:pPr>
    </w:p>
    <w:p w14:paraId="27884627">
      <w:pPr>
        <w:rPr>
          <w:color w:val="auto"/>
          <w:highlight w:val="none"/>
        </w:rPr>
      </w:pPr>
    </w:p>
    <w:p w14:paraId="71DBF1C2">
      <w:pPr>
        <w:rPr>
          <w:color w:val="auto"/>
          <w:highlight w:val="none"/>
        </w:rPr>
      </w:pPr>
    </w:p>
    <w:p w14:paraId="1797149E">
      <w:pPr>
        <w:rPr>
          <w:color w:val="auto"/>
          <w:highlight w:val="none"/>
        </w:rPr>
      </w:pPr>
    </w:p>
    <w:p w14:paraId="6C7E7CDD">
      <w:pPr>
        <w:rPr>
          <w:color w:val="auto"/>
          <w:highlight w:val="none"/>
        </w:rPr>
      </w:pPr>
    </w:p>
    <w:p w14:paraId="0582057C">
      <w:pPr>
        <w:rPr>
          <w:color w:val="auto"/>
          <w:highlight w:val="none"/>
        </w:rPr>
      </w:pPr>
    </w:p>
    <w:p w14:paraId="6A122763">
      <w:pPr>
        <w:rPr>
          <w:color w:val="auto"/>
          <w:highlight w:val="none"/>
        </w:rPr>
      </w:pPr>
    </w:p>
    <w:p w14:paraId="7984C2C1">
      <w:pPr>
        <w:rPr>
          <w:color w:val="auto"/>
          <w:highlight w:val="none"/>
        </w:rPr>
      </w:pPr>
    </w:p>
    <w:p w14:paraId="49A00413">
      <w:pPr>
        <w:rPr>
          <w:color w:val="auto"/>
          <w:highlight w:val="none"/>
        </w:rPr>
      </w:pPr>
    </w:p>
    <w:p w14:paraId="1578D83E">
      <w:pPr>
        <w:rPr>
          <w:color w:val="auto"/>
          <w:highlight w:val="none"/>
        </w:rPr>
      </w:pPr>
    </w:p>
    <w:p w14:paraId="381BF2B0">
      <w:pPr>
        <w:rPr>
          <w:color w:val="auto"/>
          <w:highlight w:val="none"/>
        </w:rPr>
      </w:pPr>
    </w:p>
    <w:p w14:paraId="68F5784D">
      <w:pPr>
        <w:rPr>
          <w:color w:val="auto"/>
          <w:highlight w:val="none"/>
        </w:rPr>
      </w:pPr>
    </w:p>
    <w:p w14:paraId="573D8FBB">
      <w:pPr>
        <w:rPr>
          <w:color w:val="auto"/>
          <w:highlight w:val="none"/>
        </w:rPr>
      </w:pPr>
    </w:p>
    <w:p w14:paraId="234157F7">
      <w:pPr>
        <w:rPr>
          <w:color w:val="auto"/>
          <w:highlight w:val="none"/>
        </w:rPr>
      </w:pPr>
    </w:p>
    <w:p w14:paraId="65A20B82">
      <w:pPr>
        <w:rPr>
          <w:color w:val="auto"/>
          <w:highlight w:val="none"/>
        </w:rPr>
      </w:pPr>
    </w:p>
    <w:p w14:paraId="000C33BC">
      <w:pPr>
        <w:rPr>
          <w:color w:val="auto"/>
          <w:highlight w:val="none"/>
        </w:rPr>
      </w:pPr>
    </w:p>
    <w:p w14:paraId="5FBE4E77">
      <w:pPr>
        <w:rPr>
          <w:color w:val="auto"/>
          <w:highlight w:val="none"/>
        </w:rPr>
      </w:pPr>
    </w:p>
    <w:p w14:paraId="256684D1">
      <w:pPr>
        <w:rPr>
          <w:color w:val="auto"/>
          <w:highlight w:val="none"/>
        </w:rPr>
      </w:pPr>
    </w:p>
    <w:p w14:paraId="7E7214B1">
      <w:pPr>
        <w:rPr>
          <w:color w:val="auto"/>
          <w:highlight w:val="none"/>
        </w:rPr>
      </w:pPr>
    </w:p>
    <w:p w14:paraId="0E6D694A">
      <w:pPr>
        <w:rPr>
          <w:color w:val="auto"/>
          <w:highlight w:val="none"/>
        </w:rPr>
      </w:pPr>
    </w:p>
    <w:p w14:paraId="1B98C951">
      <w:pPr>
        <w:rPr>
          <w:color w:val="auto"/>
          <w:highlight w:val="none"/>
        </w:rPr>
      </w:pPr>
    </w:p>
    <w:p w14:paraId="6F26FCF2">
      <w:pPr>
        <w:rPr>
          <w:color w:val="auto"/>
          <w:highlight w:val="none"/>
        </w:rPr>
      </w:pPr>
    </w:p>
    <w:p w14:paraId="190763B9">
      <w:pPr>
        <w:rPr>
          <w:color w:val="auto"/>
          <w:highlight w:val="none"/>
        </w:rPr>
      </w:pPr>
    </w:p>
    <w:p w14:paraId="033F85DB">
      <w:pPr>
        <w:rPr>
          <w:color w:val="auto"/>
          <w:highlight w:val="none"/>
        </w:rPr>
      </w:pPr>
    </w:p>
    <w:p w14:paraId="51850BC2">
      <w:pPr>
        <w:rPr>
          <w:color w:val="auto"/>
          <w:highlight w:val="none"/>
        </w:rPr>
      </w:pPr>
    </w:p>
    <w:p w14:paraId="128E0A9E">
      <w:pPr>
        <w:rPr>
          <w:color w:val="auto"/>
          <w:highlight w:val="none"/>
        </w:rPr>
      </w:pPr>
    </w:p>
    <w:p w14:paraId="692EA1F7">
      <w:pPr>
        <w:rPr>
          <w:color w:val="auto"/>
          <w:highlight w:val="none"/>
        </w:rPr>
      </w:pPr>
    </w:p>
    <w:p w14:paraId="5166EA36">
      <w:pPr>
        <w:rPr>
          <w:color w:val="auto"/>
          <w:highlight w:val="none"/>
        </w:rPr>
      </w:pPr>
    </w:p>
    <w:p w14:paraId="5E06FCEB">
      <w:pPr>
        <w:rPr>
          <w:color w:val="auto"/>
          <w:highlight w:val="none"/>
        </w:rPr>
      </w:pPr>
    </w:p>
    <w:p w14:paraId="1280E3BC">
      <w:pPr>
        <w:rPr>
          <w:color w:val="auto"/>
          <w:highlight w:val="none"/>
        </w:rPr>
      </w:pPr>
    </w:p>
    <w:p w14:paraId="07CE93E0">
      <w:pPr>
        <w:rPr>
          <w:color w:val="auto"/>
          <w:highlight w:val="none"/>
        </w:rPr>
      </w:pPr>
    </w:p>
    <w:p w14:paraId="5E92C1FC">
      <w:pPr>
        <w:rPr>
          <w:color w:val="auto"/>
          <w:highlight w:val="none"/>
        </w:rPr>
      </w:pPr>
    </w:p>
    <w:p w14:paraId="2CB8683A">
      <w:pPr>
        <w:rPr>
          <w:color w:val="auto"/>
          <w:highlight w:val="none"/>
        </w:rPr>
      </w:pPr>
    </w:p>
    <w:p w14:paraId="7F473BB5">
      <w:pPr>
        <w:rPr>
          <w:color w:val="auto"/>
          <w:highlight w:val="none"/>
        </w:rPr>
      </w:pPr>
    </w:p>
    <w:p w14:paraId="15D692B4">
      <w:pPr>
        <w:rPr>
          <w:color w:val="auto"/>
          <w:highlight w:val="none"/>
        </w:rPr>
      </w:pPr>
    </w:p>
    <w:p w14:paraId="2E08E29A">
      <w:pPr>
        <w:rPr>
          <w:color w:val="auto"/>
          <w:highlight w:val="none"/>
        </w:rPr>
      </w:pPr>
    </w:p>
    <w:p w14:paraId="7CB87AF3">
      <w:pPr>
        <w:rPr>
          <w:color w:val="auto"/>
          <w:highlight w:val="none"/>
        </w:rPr>
      </w:pPr>
    </w:p>
    <w:p w14:paraId="4364204C">
      <w:pPr>
        <w:rPr>
          <w:color w:val="auto"/>
          <w:highlight w:val="none"/>
        </w:rPr>
      </w:pPr>
    </w:p>
    <w:p w14:paraId="09401591">
      <w:pPr>
        <w:rPr>
          <w:color w:val="auto"/>
          <w:highlight w:val="none"/>
        </w:rPr>
      </w:pPr>
    </w:p>
    <w:p w14:paraId="5BD05650">
      <w:pPr>
        <w:rPr>
          <w:color w:val="auto"/>
          <w:highlight w:val="none"/>
        </w:rPr>
      </w:pPr>
    </w:p>
    <w:p w14:paraId="655C806D">
      <w:pPr>
        <w:rPr>
          <w:color w:val="auto"/>
          <w:highlight w:val="none"/>
        </w:rPr>
      </w:pPr>
    </w:p>
    <w:p w14:paraId="7BBD0384">
      <w:pPr>
        <w:rPr>
          <w:color w:val="auto"/>
          <w:highlight w:val="none"/>
        </w:rPr>
      </w:pPr>
    </w:p>
    <w:p w14:paraId="75B28137">
      <w:pPr>
        <w:rPr>
          <w:color w:val="auto"/>
          <w:highlight w:val="none"/>
        </w:rPr>
      </w:pPr>
    </w:p>
    <w:p w14:paraId="757FF5CA">
      <w:pPr>
        <w:rPr>
          <w:color w:val="auto"/>
          <w:highlight w:val="none"/>
        </w:rPr>
      </w:pPr>
    </w:p>
    <w:p w14:paraId="14E870DA">
      <w:pPr>
        <w:rPr>
          <w:color w:val="auto"/>
          <w:highlight w:val="none"/>
        </w:rPr>
      </w:pPr>
    </w:p>
    <w:p w14:paraId="0B9279A7">
      <w:pPr>
        <w:rPr>
          <w:color w:val="auto"/>
          <w:highlight w:val="none"/>
        </w:rPr>
      </w:pPr>
    </w:p>
    <w:p w14:paraId="674B192F">
      <w:pPr>
        <w:rPr>
          <w:color w:val="auto"/>
          <w:highlight w:val="none"/>
        </w:rPr>
      </w:pPr>
    </w:p>
    <w:p w14:paraId="4BFAA302">
      <w:pPr>
        <w:rPr>
          <w:color w:val="auto"/>
          <w:highlight w:val="none"/>
        </w:rPr>
      </w:pPr>
    </w:p>
    <w:p w14:paraId="5F49E708">
      <w:pPr>
        <w:spacing w:before="0"/>
        <w:ind w:left="220" w:right="0" w:firstLine="0"/>
        <w:jc w:val="left"/>
        <w:rPr>
          <w:b/>
          <w:bCs/>
          <w:color w:val="auto"/>
          <w:sz w:val="24"/>
          <w:highlight w:val="none"/>
        </w:rPr>
      </w:pPr>
      <w:bookmarkStart w:id="114" w:name="_Toc5802"/>
      <w:r>
        <w:rPr>
          <w:b/>
          <w:bCs/>
          <w:color w:val="auto"/>
          <w:sz w:val="24"/>
          <w:highlight w:val="none"/>
        </w:rPr>
        <w:t>响应文件封面格式</w:t>
      </w:r>
    </w:p>
    <w:p w14:paraId="5BC0172E">
      <w:pPr>
        <w:pStyle w:val="6"/>
        <w:rPr>
          <w:color w:val="auto"/>
          <w:sz w:val="20"/>
          <w:highlight w:val="none"/>
        </w:rPr>
      </w:pPr>
    </w:p>
    <w:p w14:paraId="674CD437">
      <w:pPr>
        <w:pStyle w:val="6"/>
        <w:rPr>
          <w:color w:val="auto"/>
          <w:sz w:val="20"/>
          <w:highlight w:val="none"/>
        </w:rPr>
      </w:pPr>
    </w:p>
    <w:p w14:paraId="45177682">
      <w:pPr>
        <w:pStyle w:val="6"/>
        <w:rPr>
          <w:color w:val="auto"/>
          <w:sz w:val="20"/>
          <w:highlight w:val="none"/>
        </w:rPr>
      </w:pPr>
    </w:p>
    <w:p w14:paraId="61BE2E22">
      <w:pPr>
        <w:pStyle w:val="6"/>
        <w:spacing w:before="4"/>
        <w:rPr>
          <w:color w:val="auto"/>
          <w:sz w:val="16"/>
          <w:highlight w:val="none"/>
        </w:rPr>
      </w:pPr>
    </w:p>
    <w:p w14:paraId="14142493">
      <w:pPr>
        <w:tabs>
          <w:tab w:val="left" w:pos="4419"/>
        </w:tabs>
        <w:spacing w:before="57"/>
        <w:ind w:left="0" w:right="16" w:firstLine="0"/>
        <w:jc w:val="center"/>
        <w:rPr>
          <w:b/>
          <w:color w:val="auto"/>
          <w:sz w:val="40"/>
          <w:highlight w:val="none"/>
        </w:rPr>
      </w:pPr>
      <w:r>
        <w:rPr>
          <w:rFonts w:ascii="Times New Roman" w:eastAsia="Times New Roman"/>
          <w:b/>
          <w:color w:val="auto"/>
          <w:w w:val="100"/>
          <w:sz w:val="40"/>
          <w:highlight w:val="none"/>
          <w:u w:val="thick"/>
        </w:rPr>
        <w:t xml:space="preserve"> </w:t>
      </w:r>
      <w:r>
        <w:rPr>
          <w:rFonts w:ascii="Times New Roman" w:eastAsia="Times New Roman"/>
          <w:b/>
          <w:color w:val="auto"/>
          <w:sz w:val="40"/>
          <w:highlight w:val="none"/>
          <w:u w:val="thick"/>
        </w:rPr>
        <w:tab/>
      </w:r>
      <w:r>
        <w:rPr>
          <w:b/>
          <w:color w:val="auto"/>
          <w:sz w:val="40"/>
          <w:highlight w:val="none"/>
        </w:rPr>
        <w:t>项目</w:t>
      </w:r>
    </w:p>
    <w:p w14:paraId="1A6F8B46">
      <w:pPr>
        <w:pStyle w:val="6"/>
        <w:rPr>
          <w:b/>
          <w:color w:val="auto"/>
          <w:sz w:val="20"/>
          <w:highlight w:val="none"/>
        </w:rPr>
      </w:pPr>
    </w:p>
    <w:p w14:paraId="16C49565">
      <w:pPr>
        <w:pStyle w:val="6"/>
        <w:rPr>
          <w:b/>
          <w:color w:val="auto"/>
          <w:sz w:val="20"/>
          <w:highlight w:val="none"/>
        </w:rPr>
      </w:pPr>
    </w:p>
    <w:p w14:paraId="202D4BA0">
      <w:pPr>
        <w:pStyle w:val="6"/>
        <w:rPr>
          <w:b/>
          <w:color w:val="auto"/>
          <w:sz w:val="20"/>
          <w:highlight w:val="none"/>
        </w:rPr>
      </w:pPr>
    </w:p>
    <w:p w14:paraId="5F9854DD">
      <w:pPr>
        <w:pStyle w:val="6"/>
        <w:rPr>
          <w:b/>
          <w:color w:val="auto"/>
          <w:sz w:val="20"/>
          <w:highlight w:val="none"/>
        </w:rPr>
      </w:pPr>
    </w:p>
    <w:p w14:paraId="6A8D653B">
      <w:pPr>
        <w:pStyle w:val="6"/>
        <w:rPr>
          <w:b/>
          <w:color w:val="auto"/>
          <w:sz w:val="20"/>
          <w:highlight w:val="none"/>
        </w:rPr>
      </w:pPr>
    </w:p>
    <w:p w14:paraId="5D3ECE99">
      <w:pPr>
        <w:pStyle w:val="6"/>
        <w:rPr>
          <w:b/>
          <w:color w:val="auto"/>
          <w:sz w:val="20"/>
          <w:highlight w:val="none"/>
        </w:rPr>
      </w:pPr>
    </w:p>
    <w:p w14:paraId="0352C3A0">
      <w:pPr>
        <w:pStyle w:val="6"/>
        <w:rPr>
          <w:b/>
          <w:color w:val="auto"/>
          <w:sz w:val="20"/>
          <w:highlight w:val="none"/>
        </w:rPr>
      </w:pPr>
    </w:p>
    <w:p w14:paraId="4385FF57">
      <w:pPr>
        <w:pStyle w:val="6"/>
        <w:rPr>
          <w:b/>
          <w:color w:val="auto"/>
          <w:sz w:val="20"/>
          <w:highlight w:val="none"/>
        </w:rPr>
      </w:pPr>
    </w:p>
    <w:p w14:paraId="1701E240">
      <w:pPr>
        <w:pStyle w:val="6"/>
        <w:rPr>
          <w:b/>
          <w:color w:val="auto"/>
          <w:sz w:val="20"/>
          <w:highlight w:val="none"/>
        </w:rPr>
      </w:pPr>
    </w:p>
    <w:p w14:paraId="310535E0">
      <w:pPr>
        <w:pStyle w:val="6"/>
        <w:rPr>
          <w:b/>
          <w:color w:val="auto"/>
          <w:sz w:val="20"/>
          <w:highlight w:val="none"/>
        </w:rPr>
      </w:pPr>
    </w:p>
    <w:p w14:paraId="73183176">
      <w:pPr>
        <w:pStyle w:val="6"/>
        <w:rPr>
          <w:b/>
          <w:color w:val="auto"/>
          <w:sz w:val="20"/>
          <w:highlight w:val="none"/>
        </w:rPr>
      </w:pPr>
    </w:p>
    <w:p w14:paraId="2BB3EC46">
      <w:pPr>
        <w:spacing w:before="172"/>
        <w:ind w:left="0" w:right="18" w:firstLine="0"/>
        <w:jc w:val="center"/>
        <w:outlineLvl w:val="1"/>
        <w:rPr>
          <w:color w:val="auto"/>
          <w:sz w:val="72"/>
          <w:highlight w:val="none"/>
        </w:rPr>
      </w:pPr>
      <w:bookmarkStart w:id="115" w:name="_Toc11199"/>
      <w:bookmarkStart w:id="116" w:name="_Toc26935"/>
      <w:r>
        <w:rPr>
          <w:color w:val="auto"/>
          <w:sz w:val="72"/>
          <w:highlight w:val="none"/>
        </w:rPr>
        <w:t>响应文件</w:t>
      </w:r>
      <w:bookmarkEnd w:id="115"/>
      <w:bookmarkEnd w:id="116"/>
    </w:p>
    <w:p w14:paraId="6E3379EC">
      <w:pPr>
        <w:spacing w:before="167"/>
        <w:ind w:left="0" w:right="18" w:firstLine="0"/>
        <w:jc w:val="center"/>
        <w:outlineLvl w:val="9"/>
        <w:rPr>
          <w:color w:val="auto"/>
          <w:sz w:val="24"/>
          <w:highlight w:val="none"/>
        </w:rPr>
      </w:pPr>
      <w:r>
        <w:rPr>
          <w:color w:val="auto"/>
          <w:sz w:val="24"/>
          <w:highlight w:val="none"/>
        </w:rPr>
        <w:t>采购编号：</w:t>
      </w:r>
    </w:p>
    <w:p w14:paraId="192C2464">
      <w:pPr>
        <w:pStyle w:val="6"/>
        <w:rPr>
          <w:color w:val="auto"/>
          <w:sz w:val="24"/>
          <w:highlight w:val="none"/>
        </w:rPr>
      </w:pPr>
    </w:p>
    <w:p w14:paraId="31108C93">
      <w:pPr>
        <w:pStyle w:val="6"/>
        <w:rPr>
          <w:color w:val="auto"/>
          <w:sz w:val="24"/>
          <w:highlight w:val="none"/>
        </w:rPr>
      </w:pPr>
    </w:p>
    <w:p w14:paraId="7BDA861B">
      <w:pPr>
        <w:pStyle w:val="6"/>
        <w:rPr>
          <w:color w:val="auto"/>
          <w:sz w:val="24"/>
          <w:highlight w:val="none"/>
        </w:rPr>
      </w:pPr>
    </w:p>
    <w:p w14:paraId="613B0162">
      <w:pPr>
        <w:pStyle w:val="6"/>
        <w:rPr>
          <w:color w:val="auto"/>
          <w:sz w:val="24"/>
          <w:highlight w:val="none"/>
        </w:rPr>
      </w:pPr>
    </w:p>
    <w:p w14:paraId="3DD7E99D">
      <w:pPr>
        <w:pStyle w:val="6"/>
        <w:rPr>
          <w:color w:val="auto"/>
          <w:sz w:val="24"/>
          <w:highlight w:val="none"/>
        </w:rPr>
      </w:pPr>
    </w:p>
    <w:p w14:paraId="1A7DA37C">
      <w:pPr>
        <w:pStyle w:val="6"/>
        <w:rPr>
          <w:color w:val="auto"/>
          <w:sz w:val="24"/>
          <w:highlight w:val="none"/>
        </w:rPr>
      </w:pPr>
    </w:p>
    <w:p w14:paraId="29393C45">
      <w:pPr>
        <w:pStyle w:val="12"/>
        <w:rPr>
          <w:color w:val="auto"/>
          <w:highlight w:val="none"/>
        </w:rPr>
      </w:pPr>
    </w:p>
    <w:p w14:paraId="7245536E">
      <w:pPr>
        <w:pStyle w:val="12"/>
        <w:rPr>
          <w:color w:val="auto"/>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28970E6">
      <w:pPr>
        <w:jc w:val="center"/>
        <w:outlineLvl w:val="9"/>
        <w:rPr>
          <w:b/>
          <w:bCs/>
          <w:color w:val="auto"/>
          <w:w w:val="95"/>
          <w:sz w:val="36"/>
          <w:szCs w:val="36"/>
          <w:highlight w:val="none"/>
        </w:rPr>
      </w:pPr>
    </w:p>
    <w:p w14:paraId="319E3B52">
      <w:pPr>
        <w:jc w:val="center"/>
        <w:outlineLvl w:val="9"/>
        <w:rPr>
          <w:b/>
          <w:bCs/>
          <w:color w:val="auto"/>
          <w:w w:val="95"/>
          <w:sz w:val="36"/>
          <w:szCs w:val="36"/>
          <w:highlight w:val="none"/>
        </w:rPr>
      </w:pPr>
    </w:p>
    <w:p w14:paraId="283AA8D6">
      <w:pPr>
        <w:jc w:val="center"/>
        <w:outlineLvl w:val="9"/>
        <w:rPr>
          <w:b/>
          <w:bCs/>
          <w:color w:val="auto"/>
          <w:w w:val="95"/>
          <w:sz w:val="36"/>
          <w:szCs w:val="36"/>
          <w:highlight w:val="none"/>
        </w:rPr>
      </w:pPr>
    </w:p>
    <w:p w14:paraId="0C023704">
      <w:pPr>
        <w:jc w:val="center"/>
        <w:outlineLvl w:val="9"/>
        <w:rPr>
          <w:b/>
          <w:bCs/>
          <w:color w:val="auto"/>
          <w:w w:val="95"/>
          <w:sz w:val="36"/>
          <w:szCs w:val="36"/>
          <w:highlight w:val="none"/>
        </w:rPr>
      </w:pPr>
    </w:p>
    <w:p w14:paraId="227AAA8E">
      <w:pPr>
        <w:jc w:val="center"/>
        <w:outlineLvl w:val="9"/>
        <w:rPr>
          <w:b/>
          <w:bCs/>
          <w:color w:val="auto"/>
          <w:w w:val="95"/>
          <w:sz w:val="36"/>
          <w:szCs w:val="36"/>
          <w:highlight w:val="none"/>
        </w:rPr>
      </w:pPr>
    </w:p>
    <w:p w14:paraId="7CFEF253">
      <w:pPr>
        <w:jc w:val="center"/>
        <w:outlineLvl w:val="9"/>
        <w:rPr>
          <w:rFonts w:hint="eastAsia" w:eastAsia="宋体"/>
          <w:b/>
          <w:bCs/>
          <w:color w:val="auto"/>
          <w:w w:val="95"/>
          <w:sz w:val="36"/>
          <w:szCs w:val="36"/>
          <w:highlight w:val="none"/>
          <w:lang w:val="en-US" w:eastAsia="zh-CN"/>
        </w:rPr>
      </w:pPr>
    </w:p>
    <w:p w14:paraId="5BF84BB7">
      <w:pPr>
        <w:pStyle w:val="15"/>
        <w:rPr>
          <w:rFonts w:hint="eastAsia" w:eastAsia="宋体"/>
          <w:b/>
          <w:bCs/>
          <w:color w:val="auto"/>
          <w:w w:val="95"/>
          <w:sz w:val="36"/>
          <w:szCs w:val="36"/>
          <w:highlight w:val="none"/>
          <w:lang w:val="en-US" w:eastAsia="zh-CN"/>
        </w:rPr>
      </w:pPr>
    </w:p>
    <w:p w14:paraId="795591A9">
      <w:pPr>
        <w:pStyle w:val="16"/>
        <w:rPr>
          <w:rFonts w:hint="eastAsia" w:eastAsia="宋体"/>
          <w:b/>
          <w:bCs/>
          <w:color w:val="auto"/>
          <w:w w:val="95"/>
          <w:sz w:val="36"/>
          <w:szCs w:val="36"/>
          <w:highlight w:val="none"/>
          <w:lang w:val="en-US" w:eastAsia="zh-CN"/>
        </w:rPr>
      </w:pPr>
    </w:p>
    <w:p w14:paraId="62428264">
      <w:pPr>
        <w:rPr>
          <w:rFonts w:hint="eastAsia"/>
          <w:color w:val="auto"/>
          <w:highlight w:val="none"/>
          <w:lang w:val="en-US" w:eastAsia="zh-CN"/>
        </w:rPr>
      </w:pPr>
    </w:p>
    <w:p w14:paraId="2541133B">
      <w:pPr>
        <w:jc w:val="center"/>
        <w:outlineLvl w:val="9"/>
        <w:rPr>
          <w:rFonts w:hint="eastAsia" w:eastAsia="宋体"/>
          <w:b/>
          <w:bCs/>
          <w:color w:val="auto"/>
          <w:w w:val="95"/>
          <w:sz w:val="36"/>
          <w:szCs w:val="36"/>
          <w:highlight w:val="none"/>
          <w:lang w:val="en-US" w:eastAsia="zh-CN"/>
        </w:rPr>
      </w:pPr>
      <w:r>
        <w:rPr>
          <w:rFonts w:hint="eastAsia" w:eastAsia="宋体"/>
          <w:b/>
          <w:bCs/>
          <w:color w:val="auto"/>
          <w:w w:val="95"/>
          <w:sz w:val="36"/>
          <w:szCs w:val="36"/>
          <w:highlight w:val="none"/>
          <w:lang w:val="en-US" w:eastAsia="zh-CN"/>
        </w:rPr>
        <w:t>目  录</w:t>
      </w:r>
    </w:p>
    <w:p w14:paraId="33AD50A1">
      <w:pPr>
        <w:jc w:val="center"/>
        <w:outlineLvl w:val="9"/>
        <w:rPr>
          <w:rFonts w:hint="eastAsia" w:eastAsia="宋体"/>
          <w:b/>
          <w:bCs/>
          <w:color w:val="auto"/>
          <w:w w:val="95"/>
          <w:sz w:val="36"/>
          <w:szCs w:val="36"/>
          <w:highlight w:val="none"/>
          <w:lang w:val="en-US" w:eastAsia="zh-CN"/>
        </w:rPr>
      </w:pPr>
    </w:p>
    <w:p w14:paraId="3D694AAD">
      <w:pPr>
        <w:jc w:val="center"/>
        <w:outlineLvl w:val="9"/>
        <w:rPr>
          <w:rFonts w:hint="eastAsia" w:eastAsia="宋体"/>
          <w:b/>
          <w:bCs/>
          <w:color w:val="auto"/>
          <w:w w:val="95"/>
          <w:sz w:val="36"/>
          <w:szCs w:val="36"/>
          <w:highlight w:val="none"/>
          <w:lang w:val="en-US" w:eastAsia="zh-CN"/>
        </w:rPr>
      </w:pPr>
    </w:p>
    <w:p w14:paraId="3D546889">
      <w:pPr>
        <w:jc w:val="center"/>
        <w:outlineLvl w:val="9"/>
        <w:rPr>
          <w:rFonts w:hint="eastAsia" w:eastAsia="宋体"/>
          <w:b/>
          <w:bCs/>
          <w:color w:val="auto"/>
          <w:w w:val="95"/>
          <w:sz w:val="32"/>
          <w:szCs w:val="32"/>
          <w:highlight w:val="none"/>
          <w:lang w:val="en-US" w:eastAsia="zh-CN"/>
        </w:rPr>
      </w:pPr>
      <w:r>
        <w:rPr>
          <w:rFonts w:hint="eastAsia" w:eastAsia="宋体"/>
          <w:b/>
          <w:bCs/>
          <w:color w:val="auto"/>
          <w:w w:val="95"/>
          <w:sz w:val="32"/>
          <w:szCs w:val="32"/>
          <w:highlight w:val="none"/>
          <w:lang w:val="en-US" w:eastAsia="zh-CN"/>
        </w:rPr>
        <w:t>（由供应商自行编制并设置页码）</w:t>
      </w:r>
    </w:p>
    <w:p w14:paraId="37BAAC8D">
      <w:pPr>
        <w:jc w:val="center"/>
        <w:outlineLvl w:val="9"/>
        <w:rPr>
          <w:b/>
          <w:bCs/>
          <w:color w:val="auto"/>
          <w:w w:val="95"/>
          <w:sz w:val="36"/>
          <w:szCs w:val="36"/>
          <w:highlight w:val="none"/>
        </w:rPr>
      </w:pPr>
    </w:p>
    <w:p w14:paraId="3FA37E30">
      <w:pPr>
        <w:jc w:val="center"/>
        <w:outlineLvl w:val="9"/>
        <w:rPr>
          <w:b/>
          <w:bCs/>
          <w:color w:val="auto"/>
          <w:w w:val="95"/>
          <w:sz w:val="36"/>
          <w:szCs w:val="36"/>
          <w:highlight w:val="none"/>
        </w:rPr>
      </w:pPr>
    </w:p>
    <w:p w14:paraId="40DEC4EF">
      <w:pPr>
        <w:jc w:val="center"/>
        <w:outlineLvl w:val="9"/>
        <w:rPr>
          <w:b/>
          <w:bCs/>
          <w:color w:val="auto"/>
          <w:w w:val="95"/>
          <w:sz w:val="36"/>
          <w:szCs w:val="36"/>
          <w:highlight w:val="none"/>
        </w:rPr>
      </w:pPr>
    </w:p>
    <w:p w14:paraId="20218E7A">
      <w:pPr>
        <w:jc w:val="center"/>
        <w:outlineLvl w:val="9"/>
        <w:rPr>
          <w:b/>
          <w:bCs/>
          <w:color w:val="auto"/>
          <w:w w:val="95"/>
          <w:sz w:val="36"/>
          <w:szCs w:val="36"/>
          <w:highlight w:val="none"/>
        </w:rPr>
      </w:pPr>
    </w:p>
    <w:p w14:paraId="2AEEC27E">
      <w:pPr>
        <w:jc w:val="center"/>
        <w:outlineLvl w:val="9"/>
        <w:rPr>
          <w:b/>
          <w:bCs/>
          <w:color w:val="auto"/>
          <w:w w:val="95"/>
          <w:sz w:val="36"/>
          <w:szCs w:val="36"/>
          <w:highlight w:val="none"/>
        </w:rPr>
      </w:pPr>
    </w:p>
    <w:p w14:paraId="5014A9C6">
      <w:pPr>
        <w:jc w:val="center"/>
        <w:outlineLvl w:val="9"/>
        <w:rPr>
          <w:b/>
          <w:bCs/>
          <w:color w:val="auto"/>
          <w:w w:val="95"/>
          <w:sz w:val="36"/>
          <w:szCs w:val="36"/>
          <w:highlight w:val="none"/>
        </w:rPr>
      </w:pPr>
    </w:p>
    <w:p w14:paraId="1A370DA2">
      <w:pPr>
        <w:jc w:val="center"/>
        <w:outlineLvl w:val="9"/>
        <w:rPr>
          <w:b/>
          <w:bCs/>
          <w:color w:val="auto"/>
          <w:w w:val="95"/>
          <w:sz w:val="36"/>
          <w:szCs w:val="36"/>
          <w:highlight w:val="none"/>
        </w:rPr>
      </w:pPr>
    </w:p>
    <w:p w14:paraId="686CCD25">
      <w:pPr>
        <w:jc w:val="center"/>
        <w:outlineLvl w:val="9"/>
        <w:rPr>
          <w:b/>
          <w:bCs/>
          <w:color w:val="auto"/>
          <w:w w:val="95"/>
          <w:sz w:val="36"/>
          <w:szCs w:val="36"/>
          <w:highlight w:val="none"/>
        </w:rPr>
      </w:pPr>
    </w:p>
    <w:p w14:paraId="18C1A5ED">
      <w:pPr>
        <w:jc w:val="center"/>
        <w:outlineLvl w:val="9"/>
        <w:rPr>
          <w:b/>
          <w:bCs/>
          <w:color w:val="auto"/>
          <w:w w:val="95"/>
          <w:sz w:val="36"/>
          <w:szCs w:val="36"/>
          <w:highlight w:val="none"/>
        </w:rPr>
      </w:pPr>
    </w:p>
    <w:p w14:paraId="2A4AB3FA">
      <w:pPr>
        <w:jc w:val="center"/>
        <w:outlineLvl w:val="9"/>
        <w:rPr>
          <w:b/>
          <w:bCs/>
          <w:color w:val="auto"/>
          <w:w w:val="95"/>
          <w:sz w:val="36"/>
          <w:szCs w:val="36"/>
          <w:highlight w:val="none"/>
        </w:rPr>
      </w:pPr>
    </w:p>
    <w:p w14:paraId="6B5ED8C2">
      <w:pPr>
        <w:jc w:val="center"/>
        <w:outlineLvl w:val="9"/>
        <w:rPr>
          <w:b/>
          <w:bCs/>
          <w:color w:val="auto"/>
          <w:w w:val="95"/>
          <w:sz w:val="36"/>
          <w:szCs w:val="36"/>
          <w:highlight w:val="none"/>
        </w:rPr>
      </w:pPr>
    </w:p>
    <w:p w14:paraId="387838BA">
      <w:pPr>
        <w:jc w:val="center"/>
        <w:outlineLvl w:val="9"/>
        <w:rPr>
          <w:b/>
          <w:bCs/>
          <w:color w:val="auto"/>
          <w:w w:val="95"/>
          <w:sz w:val="36"/>
          <w:szCs w:val="36"/>
          <w:highlight w:val="none"/>
        </w:rPr>
      </w:pPr>
    </w:p>
    <w:p w14:paraId="26C97E24">
      <w:pPr>
        <w:pStyle w:val="15"/>
        <w:rPr>
          <w:b/>
          <w:bCs/>
          <w:color w:val="auto"/>
          <w:w w:val="95"/>
          <w:sz w:val="36"/>
          <w:szCs w:val="36"/>
          <w:highlight w:val="none"/>
        </w:rPr>
      </w:pPr>
    </w:p>
    <w:p w14:paraId="30488442">
      <w:pPr>
        <w:pStyle w:val="16"/>
        <w:rPr>
          <w:b/>
          <w:bCs/>
          <w:color w:val="auto"/>
          <w:w w:val="95"/>
          <w:sz w:val="36"/>
          <w:szCs w:val="36"/>
          <w:highlight w:val="none"/>
        </w:rPr>
      </w:pPr>
    </w:p>
    <w:p w14:paraId="2D1680E7">
      <w:pPr>
        <w:rPr>
          <w:b/>
          <w:bCs/>
          <w:color w:val="auto"/>
          <w:w w:val="95"/>
          <w:sz w:val="36"/>
          <w:szCs w:val="36"/>
          <w:highlight w:val="none"/>
        </w:rPr>
      </w:pPr>
    </w:p>
    <w:p w14:paraId="5C227358">
      <w:pPr>
        <w:pStyle w:val="15"/>
        <w:rPr>
          <w:b/>
          <w:bCs/>
          <w:color w:val="auto"/>
          <w:w w:val="95"/>
          <w:sz w:val="36"/>
          <w:szCs w:val="36"/>
          <w:highlight w:val="none"/>
        </w:rPr>
      </w:pPr>
    </w:p>
    <w:p w14:paraId="6A7C33A9">
      <w:pPr>
        <w:pStyle w:val="16"/>
        <w:rPr>
          <w:b/>
          <w:bCs/>
          <w:color w:val="auto"/>
          <w:w w:val="95"/>
          <w:sz w:val="36"/>
          <w:szCs w:val="36"/>
          <w:highlight w:val="none"/>
        </w:rPr>
      </w:pPr>
    </w:p>
    <w:p w14:paraId="1D87049E">
      <w:pPr>
        <w:rPr>
          <w:b/>
          <w:bCs/>
          <w:color w:val="auto"/>
          <w:w w:val="95"/>
          <w:sz w:val="36"/>
          <w:szCs w:val="36"/>
          <w:highlight w:val="none"/>
        </w:rPr>
      </w:pPr>
    </w:p>
    <w:p w14:paraId="58C34865">
      <w:pPr>
        <w:pStyle w:val="15"/>
        <w:rPr>
          <w:b/>
          <w:bCs/>
          <w:color w:val="auto"/>
          <w:w w:val="95"/>
          <w:sz w:val="36"/>
          <w:szCs w:val="36"/>
          <w:highlight w:val="none"/>
        </w:rPr>
      </w:pPr>
    </w:p>
    <w:p w14:paraId="0BD629E4">
      <w:pPr>
        <w:pStyle w:val="16"/>
        <w:rPr>
          <w:b/>
          <w:bCs/>
          <w:color w:val="auto"/>
          <w:w w:val="95"/>
          <w:sz w:val="36"/>
          <w:szCs w:val="36"/>
          <w:highlight w:val="none"/>
        </w:rPr>
      </w:pPr>
    </w:p>
    <w:p w14:paraId="496645FB">
      <w:pPr>
        <w:rPr>
          <w:b/>
          <w:bCs/>
          <w:color w:val="auto"/>
          <w:w w:val="95"/>
          <w:sz w:val="36"/>
          <w:szCs w:val="36"/>
          <w:highlight w:val="none"/>
        </w:rPr>
      </w:pPr>
    </w:p>
    <w:p w14:paraId="3DDB7D36">
      <w:pPr>
        <w:pStyle w:val="15"/>
        <w:rPr>
          <w:b/>
          <w:bCs/>
          <w:color w:val="auto"/>
          <w:w w:val="95"/>
          <w:sz w:val="36"/>
          <w:szCs w:val="36"/>
          <w:highlight w:val="none"/>
        </w:rPr>
      </w:pPr>
    </w:p>
    <w:p w14:paraId="35C905AA">
      <w:pPr>
        <w:pStyle w:val="16"/>
        <w:rPr>
          <w:color w:val="auto"/>
          <w:highlight w:val="none"/>
        </w:rPr>
      </w:pPr>
    </w:p>
    <w:p w14:paraId="7EF08F8D">
      <w:pPr>
        <w:pStyle w:val="16"/>
        <w:rPr>
          <w:b/>
          <w:bCs/>
          <w:color w:val="auto"/>
          <w:w w:val="95"/>
          <w:sz w:val="36"/>
          <w:szCs w:val="36"/>
          <w:highlight w:val="none"/>
        </w:rPr>
      </w:pPr>
    </w:p>
    <w:p w14:paraId="54CAB795">
      <w:pPr>
        <w:rPr>
          <w:b/>
          <w:bCs/>
          <w:color w:val="auto"/>
          <w:w w:val="95"/>
          <w:sz w:val="36"/>
          <w:szCs w:val="36"/>
          <w:highlight w:val="none"/>
        </w:rPr>
      </w:pPr>
    </w:p>
    <w:p w14:paraId="5263189D">
      <w:pPr>
        <w:jc w:val="both"/>
        <w:outlineLvl w:val="9"/>
        <w:rPr>
          <w:b/>
          <w:bCs/>
          <w:color w:val="auto"/>
          <w:w w:val="95"/>
          <w:sz w:val="36"/>
          <w:szCs w:val="36"/>
          <w:highlight w:val="none"/>
        </w:rPr>
      </w:pPr>
    </w:p>
    <w:p w14:paraId="3B39963F">
      <w:pPr>
        <w:jc w:val="center"/>
        <w:outlineLvl w:val="9"/>
        <w:rPr>
          <w:b/>
          <w:bCs/>
          <w:color w:val="auto"/>
          <w:w w:val="95"/>
          <w:sz w:val="36"/>
          <w:szCs w:val="36"/>
          <w:highlight w:val="none"/>
        </w:rPr>
      </w:pPr>
    </w:p>
    <w:bookmarkEnd w:id="114"/>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color w:val="auto"/>
          <w:spacing w:val="-3"/>
          <w:kern w:val="2"/>
          <w:sz w:val="32"/>
          <w:szCs w:val="32"/>
          <w:highlight w:val="none"/>
          <w:lang w:eastAsia="zh-CN"/>
        </w:rPr>
      </w:pPr>
      <w:r>
        <w:rPr>
          <w:rFonts w:hint="eastAsia" w:asciiTheme="majorEastAsia" w:hAnsiTheme="majorEastAsia" w:eastAsiaTheme="majorEastAsia" w:cstheme="majorEastAsia"/>
          <w:b/>
          <w:bCs/>
          <w:snapToGrid/>
          <w:color w:val="auto"/>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color w:val="auto"/>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color w:val="auto"/>
          <w:spacing w:val="-3"/>
          <w:kern w:val="2"/>
          <w:sz w:val="28"/>
          <w:szCs w:val="28"/>
          <w:highlight w:val="none"/>
          <w:lang w:eastAsia="zh-CN"/>
        </w:rPr>
      </w:pPr>
      <w:r>
        <w:rPr>
          <w:rFonts w:hint="eastAsia" w:ascii="宋体" w:hAnsi="宋体" w:eastAsia="宋体" w:cs="宋体"/>
          <w:b/>
          <w:bCs/>
          <w:snapToGrid/>
          <w:color w:val="auto"/>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致：</w:t>
      </w:r>
      <w:r>
        <w:rPr>
          <w:rFonts w:hint="eastAsia" w:ascii="宋体" w:hAnsi="宋体" w:eastAsia="宋体" w:cs="宋体"/>
          <w:snapToGrid/>
          <w:color w:val="auto"/>
          <w:kern w:val="2"/>
          <w:sz w:val="24"/>
          <w:szCs w:val="24"/>
          <w:highlight w:val="none"/>
          <w:lang w:eastAsia="zh-CN"/>
        </w:rPr>
        <w:t>采购人或采购代理机构</w:t>
      </w:r>
      <w:r>
        <w:rPr>
          <w:rFonts w:hint="eastAsia" w:ascii="宋体" w:hAnsi="宋体" w:eastAsia="宋体" w:cs="宋体"/>
          <w:snapToGrid/>
          <w:color w:val="auto"/>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color w:val="auto"/>
          <w:spacing w:val="-3"/>
          <w:kern w:val="2"/>
          <w:sz w:val="24"/>
          <w:szCs w:val="24"/>
          <w:highlight w:val="none"/>
          <w:u w:val="single"/>
          <w:lang w:eastAsia="zh-CN"/>
        </w:rPr>
        <w:t xml:space="preserve">一 </w:t>
      </w:r>
      <w:r>
        <w:rPr>
          <w:rFonts w:hint="eastAsia" w:ascii="宋体" w:hAnsi="宋体" w:eastAsia="宋体" w:cs="宋体"/>
          <w:snapToGrid/>
          <w:color w:val="auto"/>
          <w:spacing w:val="-3"/>
          <w:kern w:val="2"/>
          <w:sz w:val="24"/>
          <w:szCs w:val="24"/>
          <w:highlight w:val="none"/>
          <w:lang w:eastAsia="zh-CN"/>
        </w:rPr>
        <w:t>项至第</w:t>
      </w:r>
      <w:r>
        <w:rPr>
          <w:rFonts w:hint="eastAsia" w:ascii="宋体" w:hAnsi="宋体" w:eastAsia="宋体" w:cs="宋体"/>
          <w:snapToGrid/>
          <w:color w:val="auto"/>
          <w:spacing w:val="-3"/>
          <w:kern w:val="2"/>
          <w:sz w:val="24"/>
          <w:szCs w:val="24"/>
          <w:highlight w:val="none"/>
          <w:u w:val="single"/>
          <w:lang w:eastAsia="zh-CN"/>
        </w:rPr>
        <w:t xml:space="preserve">  </w:t>
      </w:r>
      <w:r>
        <w:rPr>
          <w:rFonts w:hint="eastAsia" w:ascii="宋体" w:hAnsi="宋体" w:eastAsia="宋体" w:cs="宋体"/>
          <w:snapToGrid/>
          <w:color w:val="auto"/>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4、我方保证，严格遵守</w:t>
      </w:r>
      <w:r>
        <w:rPr>
          <w:rFonts w:hint="eastAsia" w:ascii="宋体" w:hAnsi="宋体" w:eastAsia="宋体" w:cs="宋体"/>
          <w:color w:val="auto"/>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color w:val="auto"/>
          <w:kern w:val="2"/>
          <w:sz w:val="24"/>
          <w:szCs w:val="24"/>
          <w:highlight w:val="none"/>
          <w:lang w:val="en-US" w:eastAsia="zh-CN" w:bidi="ar-SA"/>
        </w:rPr>
        <w:t>《政府采购竞争性磋商采购方式管理暂行办法》</w:t>
      </w:r>
      <w:r>
        <w:rPr>
          <w:rFonts w:hint="eastAsia" w:ascii="宋体" w:hAnsi="宋体" w:eastAsia="宋体" w:cs="宋体"/>
          <w:color w:val="auto"/>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日期：</w:t>
      </w:r>
      <w:r>
        <w:rPr>
          <w:rFonts w:hint="eastAsia" w:ascii="宋体" w:hAnsi="宋体" w:eastAsia="宋体" w:cs="宋体"/>
          <w:snapToGrid/>
          <w:color w:val="auto"/>
          <w:spacing w:val="-3"/>
          <w:kern w:val="2"/>
          <w:sz w:val="24"/>
          <w:szCs w:val="24"/>
          <w:highlight w:val="none"/>
          <w:lang w:val="en-US" w:eastAsia="zh-CN"/>
        </w:rPr>
        <w:t xml:space="preserve">    </w:t>
      </w:r>
      <w:r>
        <w:rPr>
          <w:rFonts w:hint="eastAsia" w:ascii="宋体" w:hAnsi="宋体" w:eastAsia="宋体" w:cs="宋体"/>
          <w:snapToGrid/>
          <w:color w:val="auto"/>
          <w:spacing w:val="-3"/>
          <w:kern w:val="2"/>
          <w:sz w:val="24"/>
          <w:szCs w:val="24"/>
          <w:highlight w:val="none"/>
          <w:lang w:eastAsia="zh-CN"/>
        </w:rPr>
        <w:t>年</w:t>
      </w:r>
      <w:r>
        <w:rPr>
          <w:rFonts w:hint="eastAsia" w:ascii="宋体" w:hAnsi="宋体" w:eastAsia="宋体" w:cs="宋体"/>
          <w:snapToGrid/>
          <w:color w:val="auto"/>
          <w:spacing w:val="-3"/>
          <w:kern w:val="2"/>
          <w:sz w:val="24"/>
          <w:szCs w:val="24"/>
          <w:highlight w:val="none"/>
          <w:lang w:val="en-US" w:eastAsia="zh-CN"/>
        </w:rPr>
        <w:t xml:space="preserve">  </w:t>
      </w:r>
      <w:r>
        <w:rPr>
          <w:rFonts w:hint="eastAsia" w:ascii="宋体" w:hAnsi="宋体" w:eastAsia="宋体" w:cs="宋体"/>
          <w:snapToGrid/>
          <w:color w:val="auto"/>
          <w:spacing w:val="-3"/>
          <w:kern w:val="2"/>
          <w:sz w:val="24"/>
          <w:szCs w:val="24"/>
          <w:highlight w:val="none"/>
          <w:lang w:eastAsia="zh-CN"/>
        </w:rPr>
        <w:t>月</w:t>
      </w:r>
      <w:r>
        <w:rPr>
          <w:rFonts w:hint="eastAsia" w:ascii="宋体" w:hAnsi="宋体" w:eastAsia="宋体" w:cs="宋体"/>
          <w:snapToGrid/>
          <w:color w:val="auto"/>
          <w:spacing w:val="-3"/>
          <w:kern w:val="2"/>
          <w:sz w:val="24"/>
          <w:szCs w:val="24"/>
          <w:highlight w:val="none"/>
          <w:lang w:val="en-US" w:eastAsia="zh-CN"/>
        </w:rPr>
        <w:t xml:space="preserve">  </w:t>
      </w:r>
      <w:r>
        <w:rPr>
          <w:rFonts w:hint="eastAsia" w:ascii="宋体" w:hAnsi="宋体" w:eastAsia="宋体" w:cs="宋体"/>
          <w:snapToGrid/>
          <w:color w:val="auto"/>
          <w:spacing w:val="-3"/>
          <w:kern w:val="2"/>
          <w:sz w:val="24"/>
          <w:szCs w:val="24"/>
          <w:highlight w:val="none"/>
          <w:lang w:eastAsia="zh-CN"/>
        </w:rPr>
        <w:t>日</w:t>
      </w:r>
    </w:p>
    <w:p w14:paraId="604D5CFC">
      <w:pPr>
        <w:jc w:val="center"/>
        <w:outlineLvl w:val="9"/>
        <w:rPr>
          <w:b/>
          <w:bCs/>
          <w:color w:val="auto"/>
          <w:w w:val="95"/>
          <w:sz w:val="36"/>
          <w:szCs w:val="36"/>
          <w:highlight w:val="none"/>
        </w:rPr>
      </w:pPr>
    </w:p>
    <w:p w14:paraId="2DB24F8A">
      <w:pPr>
        <w:pStyle w:val="34"/>
        <w:rPr>
          <w:b/>
          <w:bCs/>
          <w:color w:val="auto"/>
          <w:w w:val="95"/>
          <w:sz w:val="36"/>
          <w:szCs w:val="36"/>
          <w:highlight w:val="none"/>
        </w:rPr>
      </w:pPr>
    </w:p>
    <w:p w14:paraId="348C706B">
      <w:pPr>
        <w:pStyle w:val="34"/>
        <w:rPr>
          <w:b/>
          <w:bCs/>
          <w:color w:val="auto"/>
          <w:w w:val="95"/>
          <w:sz w:val="36"/>
          <w:szCs w:val="36"/>
          <w:highlight w:val="none"/>
        </w:rPr>
      </w:pPr>
    </w:p>
    <w:p w14:paraId="775112C3">
      <w:pPr>
        <w:pStyle w:val="34"/>
        <w:rPr>
          <w:b/>
          <w:bCs/>
          <w:color w:val="auto"/>
          <w:w w:val="95"/>
          <w:sz w:val="36"/>
          <w:szCs w:val="36"/>
          <w:highlight w:val="none"/>
        </w:rPr>
      </w:pPr>
    </w:p>
    <w:p w14:paraId="0D949C3E">
      <w:pPr>
        <w:pStyle w:val="34"/>
        <w:rPr>
          <w:b/>
          <w:bCs/>
          <w:color w:val="auto"/>
          <w:w w:val="95"/>
          <w:sz w:val="36"/>
          <w:szCs w:val="36"/>
          <w:highlight w:val="none"/>
        </w:rPr>
      </w:pPr>
    </w:p>
    <w:p w14:paraId="424986E9">
      <w:pPr>
        <w:pStyle w:val="34"/>
        <w:rPr>
          <w:b/>
          <w:bCs/>
          <w:color w:val="auto"/>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color w:val="auto"/>
          <w:spacing w:val="-3"/>
          <w:kern w:val="2"/>
          <w:sz w:val="32"/>
          <w:szCs w:val="32"/>
          <w:highlight w:val="none"/>
          <w:lang w:eastAsia="zh-CN"/>
        </w:rPr>
      </w:pPr>
      <w:r>
        <w:rPr>
          <w:rFonts w:hint="eastAsia" w:asciiTheme="majorEastAsia" w:hAnsiTheme="majorEastAsia" w:eastAsiaTheme="majorEastAsia" w:cstheme="majorEastAsia"/>
          <w:b/>
          <w:bCs/>
          <w:snapToGrid/>
          <w:color w:val="auto"/>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color w:val="auto"/>
          <w:spacing w:val="-3"/>
          <w:sz w:val="24"/>
          <w:highlight w:val="none"/>
        </w:rPr>
      </w:pPr>
    </w:p>
    <w:p w14:paraId="4E9CDFA5">
      <w:pPr>
        <w:wordWrap w:val="0"/>
        <w:spacing w:line="360" w:lineRule="auto"/>
        <w:jc w:val="center"/>
        <w:rPr>
          <w:rFonts w:ascii="宋体" w:hAnsi="宋体" w:cs="宋体"/>
          <w:color w:val="auto"/>
          <w:spacing w:val="-3"/>
          <w:sz w:val="24"/>
          <w:highlight w:val="none"/>
        </w:rPr>
      </w:pPr>
      <w:r>
        <w:rPr>
          <w:rFonts w:hint="eastAsia" w:ascii="宋体" w:hAnsi="宋体" w:cs="宋体"/>
          <w:b/>
          <w:bCs/>
          <w:color w:val="auto"/>
          <w:spacing w:val="-3"/>
          <w:sz w:val="28"/>
          <w:szCs w:val="22"/>
          <w:highlight w:val="none"/>
        </w:rPr>
        <w:t>法定代表人或负责人授权委托书</w:t>
      </w:r>
    </w:p>
    <w:p w14:paraId="2D4ED26C">
      <w:pPr>
        <w:wordWrap w:val="0"/>
        <w:spacing w:line="360" w:lineRule="auto"/>
        <w:rPr>
          <w:rFonts w:ascii="宋体" w:hAnsi="宋体" w:cs="宋体"/>
          <w:color w:val="auto"/>
          <w:spacing w:val="-3"/>
          <w:sz w:val="24"/>
          <w:highlight w:val="none"/>
        </w:rPr>
      </w:pPr>
    </w:p>
    <w:p w14:paraId="0AAE9D2C">
      <w:pPr>
        <w:wordWrap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致</w:t>
      </w:r>
      <w:r>
        <w:rPr>
          <w:rFonts w:hint="eastAsia" w:ascii="宋体" w:hAnsi="宋体" w:cs="宋体"/>
          <w:color w:val="auto"/>
          <w:sz w:val="24"/>
          <w:highlight w:val="none"/>
        </w:rPr>
        <w:t>采购人或采购代理机构</w:t>
      </w:r>
      <w:r>
        <w:rPr>
          <w:rFonts w:hint="eastAsia" w:ascii="宋体" w:hAnsi="宋体" w:cs="宋体"/>
          <w:color w:val="auto"/>
          <w:spacing w:val="-3"/>
          <w:sz w:val="24"/>
          <w:highlight w:val="none"/>
        </w:rPr>
        <w:t>：</w:t>
      </w:r>
    </w:p>
    <w:p w14:paraId="017199AE">
      <w:pPr>
        <w:wordWrap w:val="0"/>
        <w:spacing w:line="360" w:lineRule="auto"/>
        <w:ind w:firstLine="702" w:firstLineChars="300"/>
        <w:rPr>
          <w:rFonts w:ascii="宋体" w:hAnsi="宋体" w:cs="宋体"/>
          <w:color w:val="auto"/>
          <w:spacing w:val="-3"/>
          <w:sz w:val="24"/>
          <w:highlight w:val="none"/>
        </w:rPr>
      </w:pPr>
      <w:r>
        <w:rPr>
          <w:rFonts w:hint="eastAsia" w:ascii="宋体" w:hAnsi="宋体" w:cs="宋体"/>
          <w:color w:val="auto"/>
          <w:spacing w:val="-3"/>
          <w:sz w:val="24"/>
          <w:highlight w:val="none"/>
        </w:rPr>
        <w:t>我_________（姓名）系_________（供应商名称）的法定代表人或负责人，现授权委托本单位在职职工</w:t>
      </w:r>
      <w:r>
        <w:rPr>
          <w:rFonts w:hint="eastAsia" w:ascii="宋体" w:hAnsi="宋体" w:cs="宋体"/>
          <w:color w:val="auto"/>
          <w:spacing w:val="-3"/>
          <w:sz w:val="24"/>
          <w:highlight w:val="none"/>
          <w:u w:val="single"/>
        </w:rPr>
        <w:t>（姓名）</w:t>
      </w:r>
      <w:r>
        <w:rPr>
          <w:rFonts w:hint="eastAsia" w:ascii="宋体" w:hAnsi="宋体" w:cs="宋体"/>
          <w:color w:val="auto"/>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color w:val="auto"/>
          <w:spacing w:val="-3"/>
          <w:sz w:val="24"/>
          <w:highlight w:val="none"/>
        </w:rPr>
      </w:pPr>
      <w:r>
        <w:rPr>
          <w:rFonts w:hint="eastAsia" w:ascii="宋体" w:hAnsi="宋体" w:cs="宋体"/>
          <w:color w:val="auto"/>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color w:val="auto"/>
          <w:spacing w:val="-3"/>
          <w:sz w:val="24"/>
          <w:highlight w:val="none"/>
        </w:rPr>
      </w:pPr>
      <w:r>
        <w:rPr>
          <w:rFonts w:hint="eastAsia" w:ascii="宋体" w:hAnsi="宋体" w:cs="宋体"/>
          <w:color w:val="auto"/>
          <w:spacing w:val="-3"/>
          <w:sz w:val="24"/>
          <w:highlight w:val="none"/>
        </w:rPr>
        <w:t>被授权人无转委托权，特此委托。</w:t>
      </w:r>
    </w:p>
    <w:p w14:paraId="0FC9EEAB">
      <w:pPr>
        <w:wordWrap w:val="0"/>
        <w:spacing w:line="360" w:lineRule="auto"/>
        <w:rPr>
          <w:rFonts w:ascii="宋体" w:hAnsi="宋体" w:cs="宋体"/>
          <w:color w:val="auto"/>
          <w:spacing w:val="-3"/>
          <w:sz w:val="24"/>
          <w:highlight w:val="none"/>
        </w:rPr>
      </w:pPr>
    </w:p>
    <w:p w14:paraId="09AE81D4">
      <w:pPr>
        <w:wordWrap w:val="0"/>
        <w:spacing w:line="360" w:lineRule="auto"/>
        <w:ind w:firstLine="2574" w:firstLineChars="1100"/>
        <w:rPr>
          <w:rFonts w:ascii="宋体" w:hAnsi="宋体" w:cs="宋体"/>
          <w:color w:val="auto"/>
          <w:spacing w:val="-3"/>
          <w:sz w:val="24"/>
          <w:highlight w:val="none"/>
        </w:rPr>
      </w:pPr>
      <w:r>
        <w:rPr>
          <w:rFonts w:hint="eastAsia" w:ascii="宋体" w:hAnsi="宋体" w:cs="宋体"/>
          <w:color w:val="auto"/>
          <w:spacing w:val="-3"/>
          <w:sz w:val="24"/>
          <w:highlight w:val="none"/>
        </w:rPr>
        <w:t>法定代表人或负责人签名（或盖章）：</w:t>
      </w:r>
    </w:p>
    <w:p w14:paraId="2A4B0471">
      <w:pPr>
        <w:wordWrap w:val="0"/>
        <w:spacing w:line="360" w:lineRule="auto"/>
        <w:ind w:firstLine="2574" w:firstLineChars="1100"/>
        <w:rPr>
          <w:rFonts w:ascii="宋体" w:hAnsi="宋体" w:cs="宋体"/>
          <w:color w:val="auto"/>
          <w:spacing w:val="-3"/>
          <w:sz w:val="24"/>
          <w:highlight w:val="none"/>
        </w:rPr>
      </w:pPr>
      <w:r>
        <w:rPr>
          <w:rFonts w:hint="eastAsia" w:ascii="宋体" w:hAnsi="宋体" w:cs="宋体"/>
          <w:color w:val="auto"/>
          <w:spacing w:val="-3"/>
          <w:sz w:val="24"/>
          <w:highlight w:val="none"/>
        </w:rPr>
        <w:t>被授权人签名（或盖章）：</w:t>
      </w:r>
    </w:p>
    <w:p w14:paraId="31F792B5">
      <w:pPr>
        <w:wordWrap w:val="0"/>
        <w:spacing w:line="360" w:lineRule="auto"/>
        <w:ind w:firstLine="2574" w:firstLineChars="1100"/>
        <w:rPr>
          <w:rFonts w:ascii="宋体" w:hAnsi="宋体" w:cs="宋体"/>
          <w:color w:val="auto"/>
          <w:spacing w:val="-3"/>
          <w:sz w:val="24"/>
          <w:highlight w:val="none"/>
        </w:rPr>
      </w:pPr>
      <w:r>
        <w:rPr>
          <w:rFonts w:hint="eastAsia" w:ascii="宋体" w:hAnsi="宋体" w:cs="宋体"/>
          <w:color w:val="auto"/>
          <w:spacing w:val="-3"/>
          <w:sz w:val="24"/>
          <w:highlight w:val="none"/>
        </w:rPr>
        <w:t>职务：</w:t>
      </w:r>
    </w:p>
    <w:p w14:paraId="02E3D831">
      <w:pPr>
        <w:wordWrap w:val="0"/>
        <w:spacing w:line="360" w:lineRule="auto"/>
        <w:ind w:firstLine="2634" w:firstLineChars="1126"/>
        <w:rPr>
          <w:rFonts w:ascii="宋体" w:hAnsi="宋体" w:cs="宋体"/>
          <w:color w:val="auto"/>
          <w:spacing w:val="-3"/>
          <w:sz w:val="24"/>
          <w:highlight w:val="none"/>
        </w:rPr>
      </w:pPr>
      <w:r>
        <w:rPr>
          <w:rFonts w:hint="eastAsia" w:ascii="宋体" w:hAnsi="宋体" w:cs="宋体"/>
          <w:color w:val="auto"/>
          <w:spacing w:val="-3"/>
          <w:sz w:val="24"/>
          <w:highlight w:val="none"/>
        </w:rPr>
        <w:t>联系电话：</w:t>
      </w:r>
    </w:p>
    <w:p w14:paraId="752B8FE6">
      <w:pPr>
        <w:wordWrap w:val="0"/>
        <w:spacing w:line="360" w:lineRule="auto"/>
        <w:rPr>
          <w:rFonts w:ascii="宋体" w:hAnsi="宋体" w:cs="宋体"/>
          <w:color w:val="auto"/>
          <w:spacing w:val="-3"/>
          <w:sz w:val="24"/>
          <w:highlight w:val="none"/>
        </w:rPr>
      </w:pPr>
    </w:p>
    <w:p w14:paraId="1F510BD1">
      <w:pPr>
        <w:wordWrap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法定代表人或负责人、被授权人身份证复印件</w:t>
      </w:r>
    </w:p>
    <w:p w14:paraId="39652CE1">
      <w:pPr>
        <w:wordWrap w:val="0"/>
        <w:spacing w:line="360" w:lineRule="auto"/>
        <w:rPr>
          <w:rFonts w:ascii="宋体" w:hAnsi="宋体" w:cs="宋体"/>
          <w:color w:val="auto"/>
          <w:spacing w:val="-3"/>
          <w:sz w:val="24"/>
          <w:highlight w:val="none"/>
        </w:rPr>
      </w:pPr>
    </w:p>
    <w:p w14:paraId="5CAD27C3">
      <w:pPr>
        <w:wordWrap w:val="0"/>
        <w:spacing w:line="360" w:lineRule="auto"/>
        <w:ind w:firstLine="6786" w:firstLineChars="2900"/>
        <w:rPr>
          <w:rFonts w:ascii="宋体" w:hAnsi="宋体" w:cs="宋体"/>
          <w:color w:val="auto"/>
          <w:spacing w:val="-3"/>
          <w:sz w:val="24"/>
          <w:highlight w:val="none"/>
        </w:rPr>
      </w:pPr>
    </w:p>
    <w:p w14:paraId="36EA0A7F">
      <w:pPr>
        <w:wordWrap w:val="0"/>
        <w:spacing w:line="360" w:lineRule="auto"/>
        <w:ind w:firstLine="5382" w:firstLineChars="2300"/>
        <w:rPr>
          <w:rFonts w:ascii="宋体" w:hAnsi="宋体" w:cs="宋体"/>
          <w:color w:val="auto"/>
          <w:spacing w:val="-3"/>
          <w:sz w:val="24"/>
          <w:highlight w:val="none"/>
        </w:rPr>
      </w:pPr>
      <w:r>
        <w:rPr>
          <w:rFonts w:hint="eastAsia" w:ascii="宋体" w:hAnsi="宋体" w:cs="宋体"/>
          <w:color w:val="auto"/>
          <w:spacing w:val="-3"/>
          <w:sz w:val="24"/>
          <w:highlight w:val="none"/>
        </w:rPr>
        <w:t>供应商公章：</w:t>
      </w:r>
    </w:p>
    <w:p w14:paraId="4E5B8037">
      <w:pPr>
        <w:wordWrap w:val="0"/>
        <w:spacing w:line="360" w:lineRule="auto"/>
        <w:ind w:firstLine="5400" w:firstLineChars="22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eastAsia="宋体" w:cs="宋体"/>
          <w:color w:val="auto"/>
          <w:sz w:val="24"/>
          <w:highlight w:val="none"/>
          <w:lang w:val="en-US" w:eastAsia="zh-CN"/>
        </w:rPr>
        <w:t xml:space="preserve">   </w:t>
      </w:r>
      <w:r>
        <w:rPr>
          <w:rFonts w:hint="eastAsia" w:ascii="宋体" w:hAnsi="宋体" w:cs="宋体"/>
          <w:color w:val="auto"/>
          <w:spacing w:val="-8"/>
          <w:sz w:val="24"/>
          <w:highlight w:val="none"/>
        </w:rPr>
        <w:t>年</w:t>
      </w:r>
      <w:r>
        <w:rPr>
          <w:rFonts w:hint="eastAsia" w:ascii="宋体" w:hAnsi="宋体" w:eastAsia="宋体" w:cs="宋体"/>
          <w:color w:val="auto"/>
          <w:spacing w:val="-8"/>
          <w:sz w:val="24"/>
          <w:highlight w:val="none"/>
          <w:lang w:val="en-US" w:eastAsia="zh-CN"/>
        </w:rPr>
        <w:t xml:space="preserve">   </w:t>
      </w:r>
      <w:r>
        <w:rPr>
          <w:rFonts w:hint="eastAsia" w:ascii="宋体" w:hAnsi="宋体" w:cs="宋体"/>
          <w:color w:val="auto"/>
          <w:spacing w:val="-8"/>
          <w:sz w:val="24"/>
          <w:highlight w:val="none"/>
        </w:rPr>
        <w:t>月</w:t>
      </w:r>
      <w:r>
        <w:rPr>
          <w:rFonts w:hint="eastAsia" w:ascii="宋体" w:hAnsi="宋体" w:eastAsia="宋体" w:cs="宋体"/>
          <w:color w:val="auto"/>
          <w:spacing w:val="-8"/>
          <w:sz w:val="24"/>
          <w:highlight w:val="none"/>
          <w:lang w:val="en-US" w:eastAsia="zh-CN"/>
        </w:rPr>
        <w:t xml:space="preserve">   </w:t>
      </w:r>
      <w:r>
        <w:rPr>
          <w:rFonts w:hint="eastAsia" w:ascii="宋体" w:hAnsi="宋体" w:cs="宋体"/>
          <w:color w:val="auto"/>
          <w:spacing w:val="-8"/>
          <w:sz w:val="24"/>
          <w:highlight w:val="none"/>
        </w:rPr>
        <w:t>日</w:t>
      </w:r>
    </w:p>
    <w:p w14:paraId="47EC2011">
      <w:pPr>
        <w:pStyle w:val="34"/>
        <w:rPr>
          <w:b/>
          <w:bCs/>
          <w:color w:val="auto"/>
          <w:w w:val="95"/>
          <w:sz w:val="36"/>
          <w:szCs w:val="36"/>
          <w:highlight w:val="none"/>
        </w:rPr>
      </w:pPr>
    </w:p>
    <w:p w14:paraId="1A54D1B9">
      <w:pPr>
        <w:jc w:val="center"/>
        <w:outlineLvl w:val="9"/>
        <w:rPr>
          <w:b/>
          <w:bCs/>
          <w:color w:val="auto"/>
          <w:w w:val="95"/>
          <w:sz w:val="36"/>
          <w:szCs w:val="36"/>
          <w:highlight w:val="none"/>
        </w:rPr>
      </w:pPr>
    </w:p>
    <w:p w14:paraId="639186D6">
      <w:pPr>
        <w:jc w:val="center"/>
        <w:outlineLvl w:val="9"/>
        <w:rPr>
          <w:b/>
          <w:bCs/>
          <w:color w:val="auto"/>
          <w:w w:val="95"/>
          <w:sz w:val="36"/>
          <w:szCs w:val="36"/>
          <w:highlight w:val="none"/>
        </w:rPr>
      </w:pPr>
    </w:p>
    <w:p w14:paraId="0C95059E">
      <w:pPr>
        <w:jc w:val="center"/>
        <w:outlineLvl w:val="9"/>
        <w:rPr>
          <w:b/>
          <w:bCs/>
          <w:color w:val="auto"/>
          <w:w w:val="95"/>
          <w:sz w:val="36"/>
          <w:szCs w:val="36"/>
          <w:highlight w:val="none"/>
        </w:rPr>
      </w:pPr>
    </w:p>
    <w:p w14:paraId="685D4AF2">
      <w:pPr>
        <w:jc w:val="center"/>
        <w:outlineLvl w:val="9"/>
        <w:rPr>
          <w:b/>
          <w:bCs/>
          <w:color w:val="auto"/>
          <w:w w:val="95"/>
          <w:sz w:val="36"/>
          <w:szCs w:val="36"/>
          <w:highlight w:val="none"/>
        </w:rPr>
      </w:pPr>
    </w:p>
    <w:p w14:paraId="304855D4">
      <w:pPr>
        <w:jc w:val="center"/>
        <w:outlineLvl w:val="9"/>
        <w:rPr>
          <w:b/>
          <w:bCs/>
          <w:color w:val="auto"/>
          <w:w w:val="95"/>
          <w:sz w:val="36"/>
          <w:szCs w:val="36"/>
          <w:highlight w:val="none"/>
        </w:rPr>
      </w:pPr>
    </w:p>
    <w:p w14:paraId="4BBF5725">
      <w:pPr>
        <w:pStyle w:val="34"/>
        <w:rPr>
          <w:b/>
          <w:bCs/>
          <w:color w:val="auto"/>
          <w:w w:val="95"/>
          <w:sz w:val="36"/>
          <w:szCs w:val="36"/>
          <w:highlight w:val="none"/>
        </w:rPr>
      </w:pPr>
    </w:p>
    <w:p w14:paraId="761EE1CC">
      <w:pPr>
        <w:pStyle w:val="34"/>
        <w:rPr>
          <w:b/>
          <w:bCs/>
          <w:color w:val="auto"/>
          <w:w w:val="95"/>
          <w:sz w:val="36"/>
          <w:szCs w:val="36"/>
          <w:highlight w:val="none"/>
        </w:rPr>
      </w:pPr>
    </w:p>
    <w:p w14:paraId="15C92196">
      <w:pPr>
        <w:jc w:val="center"/>
        <w:outlineLvl w:val="9"/>
        <w:rPr>
          <w:b/>
          <w:bCs/>
          <w:color w:val="auto"/>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color w:val="auto"/>
          <w:spacing w:val="-3"/>
          <w:kern w:val="2"/>
          <w:sz w:val="32"/>
          <w:szCs w:val="32"/>
          <w:highlight w:val="none"/>
          <w:lang w:eastAsia="zh-CN"/>
        </w:rPr>
      </w:pPr>
      <w:bookmarkStart w:id="117" w:name="_Toc31556"/>
      <w:bookmarkStart w:id="118" w:name="_Toc13448"/>
      <w:r>
        <w:rPr>
          <w:rFonts w:hint="eastAsia" w:asciiTheme="majorEastAsia" w:hAnsiTheme="majorEastAsia" w:eastAsiaTheme="majorEastAsia" w:cstheme="majorEastAsia"/>
          <w:b/>
          <w:bCs/>
          <w:snapToGrid/>
          <w:color w:val="auto"/>
          <w:spacing w:val="-3"/>
          <w:kern w:val="2"/>
          <w:sz w:val="32"/>
          <w:szCs w:val="32"/>
          <w:highlight w:val="none"/>
          <w:lang w:val="en-US" w:eastAsia="zh-CN"/>
        </w:rPr>
        <w:t>三、</w:t>
      </w:r>
      <w:r>
        <w:rPr>
          <w:rFonts w:hint="eastAsia" w:asciiTheme="majorEastAsia" w:hAnsiTheme="majorEastAsia" w:eastAsiaTheme="majorEastAsia" w:cstheme="majorEastAsia"/>
          <w:b/>
          <w:bCs/>
          <w:snapToGrid/>
          <w:color w:val="auto"/>
          <w:spacing w:val="-3"/>
          <w:kern w:val="2"/>
          <w:sz w:val="32"/>
          <w:szCs w:val="32"/>
          <w:highlight w:val="none"/>
          <w:lang w:eastAsia="zh-CN"/>
        </w:rPr>
        <w:t>报价一览表格式</w:t>
      </w:r>
    </w:p>
    <w:tbl>
      <w:tblPr>
        <w:tblStyle w:val="17"/>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7368"/>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color w:val="auto"/>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color w:val="auto"/>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color w:val="auto"/>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color w:val="auto"/>
                <w:spacing w:val="24"/>
                <w:sz w:val="24"/>
                <w:highlight w:val="none"/>
              </w:rPr>
            </w:pPr>
            <w:r>
              <w:rPr>
                <w:rFonts w:hint="eastAsia" w:ascii="宋体" w:hAnsi="宋体" w:cs="宋体"/>
                <w:color w:val="auto"/>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color w:val="auto"/>
                <w:spacing w:val="-8"/>
                <w:sz w:val="24"/>
                <w:highlight w:val="none"/>
                <w:lang w:eastAsia="zh-CN"/>
              </w:rPr>
            </w:pPr>
            <w:r>
              <w:rPr>
                <w:rFonts w:hint="eastAsia" w:ascii="宋体" w:hAnsi="宋体" w:eastAsia="宋体" w:cs="宋体"/>
                <w:b/>
                <w:bCs/>
                <w:color w:val="auto"/>
                <w:spacing w:val="-8"/>
                <w:sz w:val="24"/>
                <w:highlight w:val="none"/>
                <w:lang w:val="en-US" w:eastAsia="zh-CN"/>
              </w:rPr>
              <w:t>服务期限</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color w:val="auto"/>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color w:val="auto"/>
                <w:spacing w:val="-8"/>
                <w:sz w:val="24"/>
                <w:highlight w:val="none"/>
              </w:rPr>
            </w:pPr>
            <w:r>
              <w:rPr>
                <w:rFonts w:hint="eastAsia" w:ascii="宋体" w:hAnsi="宋体" w:eastAsia="宋体" w:cs="宋体"/>
                <w:b/>
                <w:bCs/>
                <w:color w:val="auto"/>
                <w:spacing w:val="-8"/>
                <w:sz w:val="24"/>
                <w:highlight w:val="none"/>
                <w:lang w:val="en-US" w:eastAsia="zh-CN"/>
              </w:rPr>
              <w:t>服务</w:t>
            </w:r>
            <w:r>
              <w:rPr>
                <w:rFonts w:hint="eastAsia" w:ascii="宋体" w:hAnsi="宋体" w:cs="宋体"/>
                <w:b/>
                <w:bCs/>
                <w:color w:val="auto"/>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color w:val="auto"/>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color w:val="auto"/>
                <w:spacing w:val="24"/>
                <w:sz w:val="24"/>
                <w:highlight w:val="none"/>
              </w:rPr>
            </w:pPr>
          </w:p>
          <w:p w14:paraId="5E36B42D">
            <w:pPr>
              <w:wordWrap w:val="0"/>
              <w:spacing w:line="360" w:lineRule="auto"/>
              <w:rPr>
                <w:rFonts w:ascii="宋体" w:hAnsi="宋体" w:cs="宋体"/>
                <w:color w:val="auto"/>
                <w:spacing w:val="24"/>
                <w:sz w:val="24"/>
                <w:highlight w:val="none"/>
              </w:rPr>
            </w:pPr>
          </w:p>
        </w:tc>
      </w:tr>
    </w:tbl>
    <w:p w14:paraId="613FB931">
      <w:pPr>
        <w:wordWrap w:val="0"/>
        <w:spacing w:line="360" w:lineRule="auto"/>
        <w:rPr>
          <w:rFonts w:hint="eastAsia" w:ascii="宋体" w:hAnsi="宋体" w:cs="宋体"/>
          <w:b/>
          <w:bCs/>
          <w:color w:val="auto"/>
          <w:spacing w:val="-8"/>
          <w:sz w:val="24"/>
          <w:highlight w:val="none"/>
        </w:rPr>
      </w:pPr>
    </w:p>
    <w:p w14:paraId="42E2412D">
      <w:pPr>
        <w:wordWrap w:val="0"/>
        <w:spacing w:line="360" w:lineRule="auto"/>
        <w:rPr>
          <w:rFonts w:hint="eastAsia" w:ascii="宋体" w:hAnsi="宋体" w:cs="宋体"/>
          <w:b/>
          <w:bCs/>
          <w:color w:val="auto"/>
          <w:spacing w:val="-8"/>
          <w:sz w:val="24"/>
          <w:highlight w:val="none"/>
        </w:rPr>
      </w:pPr>
      <w:r>
        <w:rPr>
          <w:rFonts w:hint="eastAsia" w:ascii="宋体" w:hAnsi="宋体" w:cs="宋体"/>
          <w:b/>
          <w:bCs/>
          <w:color w:val="auto"/>
          <w:spacing w:val="-8"/>
          <w:sz w:val="24"/>
          <w:highlight w:val="none"/>
        </w:rPr>
        <w:t>供应商（公章）：</w:t>
      </w:r>
    </w:p>
    <w:p w14:paraId="2BD11F16">
      <w:pPr>
        <w:wordWrap w:val="0"/>
        <w:spacing w:line="360" w:lineRule="auto"/>
        <w:rPr>
          <w:rFonts w:ascii="宋体" w:hAnsi="宋体" w:cs="宋体"/>
          <w:b/>
          <w:bCs/>
          <w:color w:val="auto"/>
          <w:spacing w:val="-8"/>
          <w:sz w:val="24"/>
          <w:highlight w:val="none"/>
        </w:rPr>
      </w:pPr>
      <w:r>
        <w:rPr>
          <w:rFonts w:hint="eastAsia" w:ascii="宋体" w:hAnsi="宋体" w:cs="宋体"/>
          <w:b/>
          <w:bCs/>
          <w:color w:val="auto"/>
          <w:spacing w:val="-8"/>
          <w:sz w:val="24"/>
          <w:highlight w:val="none"/>
        </w:rPr>
        <w:t>法定代表人（负责人）或授权代表（签字）：</w:t>
      </w:r>
    </w:p>
    <w:p w14:paraId="6E0155DF">
      <w:pPr>
        <w:wordWrap w:val="0"/>
        <w:spacing w:line="360" w:lineRule="auto"/>
        <w:rPr>
          <w:rFonts w:ascii="宋体" w:hAnsi="宋体" w:cs="宋体"/>
          <w:b/>
          <w:bCs/>
          <w:color w:val="auto"/>
          <w:spacing w:val="-8"/>
          <w:sz w:val="24"/>
          <w:highlight w:val="none"/>
          <w:lang w:val="zh-CN"/>
        </w:rPr>
      </w:pPr>
      <w:r>
        <w:rPr>
          <w:rFonts w:hint="eastAsia" w:ascii="宋体" w:hAnsi="宋体" w:cs="宋体"/>
          <w:b/>
          <w:bCs/>
          <w:color w:val="auto"/>
          <w:spacing w:val="-8"/>
          <w:sz w:val="24"/>
          <w:highlight w:val="none"/>
        </w:rPr>
        <w:t>日期：</w:t>
      </w:r>
      <w:r>
        <w:rPr>
          <w:rFonts w:hint="eastAsia" w:ascii="宋体" w:hAnsi="宋体" w:eastAsia="宋体" w:cs="宋体"/>
          <w:b/>
          <w:bCs/>
          <w:color w:val="auto"/>
          <w:spacing w:val="-8"/>
          <w:sz w:val="24"/>
          <w:highlight w:val="none"/>
          <w:lang w:val="en-US" w:eastAsia="zh-CN"/>
        </w:rPr>
        <w:t xml:space="preserve">  </w:t>
      </w:r>
      <w:r>
        <w:rPr>
          <w:rFonts w:hint="eastAsia" w:ascii="宋体" w:hAnsi="宋体" w:cs="宋体"/>
          <w:b/>
          <w:bCs/>
          <w:color w:val="auto"/>
          <w:spacing w:val="-8"/>
          <w:sz w:val="24"/>
          <w:highlight w:val="none"/>
        </w:rPr>
        <w:t>年</w:t>
      </w:r>
      <w:r>
        <w:rPr>
          <w:rFonts w:hint="eastAsia" w:ascii="宋体" w:hAnsi="宋体" w:eastAsia="宋体" w:cs="宋体"/>
          <w:b/>
          <w:bCs/>
          <w:color w:val="auto"/>
          <w:spacing w:val="-8"/>
          <w:sz w:val="24"/>
          <w:highlight w:val="none"/>
          <w:lang w:val="en-US" w:eastAsia="zh-CN"/>
        </w:rPr>
        <w:t xml:space="preserve">   </w:t>
      </w:r>
      <w:r>
        <w:rPr>
          <w:rFonts w:hint="eastAsia" w:ascii="宋体" w:hAnsi="宋体" w:cs="宋体"/>
          <w:b/>
          <w:bCs/>
          <w:color w:val="auto"/>
          <w:spacing w:val="-8"/>
          <w:sz w:val="24"/>
          <w:highlight w:val="none"/>
        </w:rPr>
        <w:t>月</w:t>
      </w:r>
      <w:r>
        <w:rPr>
          <w:rFonts w:hint="eastAsia" w:ascii="宋体" w:hAnsi="宋体" w:eastAsia="宋体" w:cs="宋体"/>
          <w:b/>
          <w:bCs/>
          <w:color w:val="auto"/>
          <w:spacing w:val="-8"/>
          <w:sz w:val="24"/>
          <w:highlight w:val="none"/>
          <w:lang w:val="en-US" w:eastAsia="zh-CN"/>
        </w:rPr>
        <w:t xml:space="preserve">   </w:t>
      </w:r>
      <w:r>
        <w:rPr>
          <w:rFonts w:hint="eastAsia" w:ascii="宋体" w:hAnsi="宋体" w:cs="宋体"/>
          <w:b/>
          <w:bCs/>
          <w:color w:val="auto"/>
          <w:spacing w:val="-8"/>
          <w:sz w:val="24"/>
          <w:highlight w:val="none"/>
        </w:rPr>
        <w:t>日</w:t>
      </w:r>
    </w:p>
    <w:p w14:paraId="034474A0">
      <w:pPr>
        <w:spacing w:line="360" w:lineRule="auto"/>
        <w:rPr>
          <w:rFonts w:hint="eastAsia" w:ascii="宋体" w:hAnsi="宋体" w:cs="宋体"/>
          <w:color w:val="auto"/>
          <w:szCs w:val="21"/>
          <w:highlight w:val="none"/>
        </w:rPr>
      </w:pPr>
    </w:p>
    <w:bookmarkEnd w:id="117"/>
    <w:bookmarkEnd w:id="118"/>
    <w:p w14:paraId="3F692D6F">
      <w:pPr>
        <w:jc w:val="center"/>
        <w:outlineLvl w:val="1"/>
        <w:rPr>
          <w:b/>
          <w:bCs/>
          <w:color w:val="auto"/>
          <w:w w:val="95"/>
          <w:sz w:val="36"/>
          <w:szCs w:val="36"/>
          <w:highlight w:val="none"/>
        </w:rPr>
      </w:pPr>
      <w:bookmarkStart w:id="119" w:name="_Toc27812"/>
      <w:bookmarkStart w:id="120" w:name="_Toc13223"/>
    </w:p>
    <w:p w14:paraId="6004ABD6">
      <w:pPr>
        <w:wordWrap w:val="0"/>
        <w:spacing w:line="360" w:lineRule="auto"/>
        <w:rPr>
          <w:rFonts w:hint="eastAsia" w:ascii="宋体" w:hAnsi="宋体" w:cs="宋体"/>
          <w:b/>
          <w:bCs/>
          <w:color w:val="auto"/>
          <w:sz w:val="24"/>
          <w:highlight w:val="none"/>
        </w:rPr>
      </w:pPr>
    </w:p>
    <w:p w14:paraId="6A77C898">
      <w:pPr>
        <w:wordWrap w:val="0"/>
        <w:spacing w:line="360" w:lineRule="auto"/>
        <w:rPr>
          <w:rFonts w:hint="eastAsia" w:ascii="宋体" w:hAnsi="宋体" w:cs="宋体"/>
          <w:b/>
          <w:bCs/>
          <w:color w:val="auto"/>
          <w:sz w:val="24"/>
          <w:highlight w:val="none"/>
        </w:rPr>
      </w:pPr>
    </w:p>
    <w:p w14:paraId="59B2205E">
      <w:pPr>
        <w:wordWrap w:val="0"/>
        <w:spacing w:line="360" w:lineRule="auto"/>
        <w:rPr>
          <w:rFonts w:hint="eastAsia" w:ascii="宋体" w:hAnsi="宋体" w:cs="宋体"/>
          <w:b/>
          <w:bCs/>
          <w:color w:val="auto"/>
          <w:sz w:val="24"/>
          <w:highlight w:val="none"/>
        </w:rPr>
      </w:pPr>
    </w:p>
    <w:p w14:paraId="590B969B">
      <w:pPr>
        <w:wordWrap w:val="0"/>
        <w:spacing w:line="360" w:lineRule="auto"/>
        <w:rPr>
          <w:rFonts w:hint="eastAsia" w:ascii="宋体" w:hAnsi="宋体" w:cs="宋体"/>
          <w:b/>
          <w:bCs/>
          <w:color w:val="auto"/>
          <w:sz w:val="24"/>
          <w:highlight w:val="none"/>
        </w:rPr>
      </w:pPr>
    </w:p>
    <w:p w14:paraId="1BCE1923">
      <w:pPr>
        <w:wordWrap w:val="0"/>
        <w:spacing w:line="360" w:lineRule="auto"/>
        <w:rPr>
          <w:rFonts w:hint="eastAsia" w:ascii="宋体" w:hAnsi="宋体" w:cs="宋体"/>
          <w:b/>
          <w:bCs/>
          <w:color w:val="auto"/>
          <w:sz w:val="24"/>
          <w:highlight w:val="none"/>
        </w:rPr>
      </w:pPr>
    </w:p>
    <w:p w14:paraId="2A2DDBF4">
      <w:pPr>
        <w:wordWrap w:val="0"/>
        <w:spacing w:line="360" w:lineRule="auto"/>
        <w:rPr>
          <w:rFonts w:hint="eastAsia" w:ascii="宋体" w:hAnsi="宋体" w:cs="宋体"/>
          <w:b/>
          <w:bCs/>
          <w:color w:val="auto"/>
          <w:sz w:val="24"/>
          <w:highlight w:val="none"/>
        </w:rPr>
      </w:pPr>
    </w:p>
    <w:p w14:paraId="730B3526">
      <w:pPr>
        <w:keepNext w:val="0"/>
        <w:keepLines w:val="0"/>
        <w:pageBreakBefore w:val="0"/>
        <w:numPr>
          <w:ilvl w:val="0"/>
          <w:numId w:val="5"/>
        </w:numPr>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t>营业执照副本、依法缴纳税收和社会保障资金的缴费凭证、审计或财务报告、具有履行合同所必需的设备和专业技术能力的承诺、近三年内在经营活动中没有重大违法记录的声明等；</w:t>
      </w:r>
    </w:p>
    <w:p w14:paraId="2A0228F8">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pPr>
    </w:p>
    <w:p w14:paraId="368CD83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val="0"/>
          <w:bCs w:val="0"/>
          <w:snapToGrid w:val="0"/>
          <w:color w:val="auto"/>
          <w:spacing w:val="-3"/>
          <w:kern w:val="0"/>
          <w:sz w:val="28"/>
          <w:szCs w:val="28"/>
          <w:highlight w:val="none"/>
          <w:lang w:val="en-US" w:eastAsia="zh-CN" w:bidi="ar-SA"/>
        </w:rPr>
      </w:pPr>
      <w:r>
        <w:rPr>
          <w:rFonts w:hint="eastAsia" w:asciiTheme="minorEastAsia" w:hAnsiTheme="minorEastAsia" w:eastAsiaTheme="minorEastAsia" w:cstheme="minorEastAsia"/>
          <w:b w:val="0"/>
          <w:bCs w:val="0"/>
          <w:snapToGrid w:val="0"/>
          <w:color w:val="auto"/>
          <w:spacing w:val="-3"/>
          <w:kern w:val="0"/>
          <w:sz w:val="28"/>
          <w:szCs w:val="28"/>
          <w:highlight w:val="none"/>
          <w:lang w:val="en-US" w:eastAsia="zh-CN" w:bidi="ar-SA"/>
        </w:rPr>
        <w:t>审计或财务报告说明：</w:t>
      </w:r>
    </w:p>
    <w:p w14:paraId="25748EEA">
      <w:pPr>
        <w:keepNext w:val="0"/>
        <w:keepLines w:val="0"/>
        <w:pageBreakBefore w:val="0"/>
        <w:numPr>
          <w:ilvl w:val="0"/>
          <w:numId w:val="6"/>
        </w:numPr>
        <w:kinsoku/>
        <w:wordWrap w:val="0"/>
        <w:overflowPunct/>
        <w:topLinePunct w:val="0"/>
        <w:bidi w:val="0"/>
        <w:spacing w:line="360" w:lineRule="auto"/>
        <w:ind w:left="548" w:leftChars="0" w:firstLine="0" w:firstLineChars="0"/>
        <w:jc w:val="both"/>
        <w:rPr>
          <w:rFonts w:hint="eastAsia" w:asciiTheme="minorEastAsia" w:hAnsiTheme="minorEastAsia" w:eastAsiaTheme="minorEastAsia" w:cstheme="minorEastAsia"/>
          <w:b w:val="0"/>
          <w:bCs w:val="0"/>
          <w:snapToGrid w:val="0"/>
          <w:color w:val="auto"/>
          <w:spacing w:val="-3"/>
          <w:kern w:val="0"/>
          <w:sz w:val="28"/>
          <w:szCs w:val="28"/>
          <w:highlight w:val="none"/>
          <w:lang w:val="en-US" w:eastAsia="zh-CN" w:bidi="ar-SA"/>
        </w:rPr>
      </w:pPr>
      <w:r>
        <w:rPr>
          <w:rFonts w:hint="eastAsia" w:asciiTheme="minorEastAsia" w:hAnsiTheme="minorEastAsia" w:eastAsiaTheme="minorEastAsia" w:cstheme="minorEastAsia"/>
          <w:b w:val="0"/>
          <w:bCs w:val="0"/>
          <w:snapToGrid w:val="0"/>
          <w:color w:val="auto"/>
          <w:spacing w:val="-3"/>
          <w:kern w:val="0"/>
          <w:sz w:val="28"/>
          <w:szCs w:val="28"/>
          <w:highlight w:val="none"/>
          <w:lang w:val="en-US" w:eastAsia="zh-CN" w:bidi="ar-SA"/>
        </w:rPr>
        <w:t>提供本单位2024年年度经会计师事务所出具的审计报告或本公司出具的财务报表或提供银行出具的证明文件。银行出具的证明文件应能说明该供应商与银行之间业务往来正常，企业信誉良好等。</w:t>
      </w:r>
    </w:p>
    <w:p w14:paraId="1E06E623">
      <w:pPr>
        <w:keepNext w:val="0"/>
        <w:keepLines w:val="0"/>
        <w:pageBreakBefore w:val="0"/>
        <w:numPr>
          <w:ilvl w:val="0"/>
          <w:numId w:val="6"/>
        </w:numPr>
        <w:kinsoku/>
        <w:wordWrap w:val="0"/>
        <w:overflowPunct/>
        <w:topLinePunct w:val="0"/>
        <w:bidi w:val="0"/>
        <w:spacing w:line="360" w:lineRule="auto"/>
        <w:ind w:left="548" w:leftChars="0" w:firstLine="0" w:firstLineChars="0"/>
        <w:jc w:val="both"/>
        <w:rPr>
          <w:rFonts w:hint="eastAsia" w:asciiTheme="minorEastAsia" w:hAnsiTheme="minorEastAsia" w:eastAsiaTheme="minorEastAsia" w:cstheme="minorEastAsia"/>
          <w:b w:val="0"/>
          <w:bCs w:val="0"/>
          <w:snapToGrid w:val="0"/>
          <w:color w:val="auto"/>
          <w:spacing w:val="-3"/>
          <w:kern w:val="0"/>
          <w:sz w:val="28"/>
          <w:szCs w:val="28"/>
          <w:highlight w:val="none"/>
          <w:lang w:val="en-US" w:eastAsia="zh-CN" w:bidi="ar-SA"/>
        </w:rPr>
      </w:pPr>
      <w:r>
        <w:rPr>
          <w:rFonts w:hint="eastAsia" w:asciiTheme="minorEastAsia" w:hAnsiTheme="minorEastAsia" w:eastAsiaTheme="minorEastAsia" w:cstheme="minorEastAsia"/>
          <w:b w:val="0"/>
          <w:bCs w:val="0"/>
          <w:snapToGrid w:val="0"/>
          <w:color w:val="auto"/>
          <w:spacing w:val="-3"/>
          <w:kern w:val="0"/>
          <w:sz w:val="28"/>
          <w:szCs w:val="28"/>
          <w:highlight w:val="none"/>
          <w:lang w:val="en-US" w:eastAsia="zh-CN" w:bidi="ar-SA"/>
        </w:rPr>
        <w:t>供应商提供企业有关财务会计制度。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p>
    <w:p w14:paraId="5E5465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（法定代表人或其授权代表）代表</w:t>
      </w:r>
      <w:r>
        <w:rPr>
          <w:rFonts w:hint="eastAsia" w:asciiTheme="minorEastAsia" w:hAnsiTheme="minorEastAsia" w:eastAsiaTheme="minorEastAsia" w:cstheme="minorEastAsia"/>
          <w:b w:val="0"/>
          <w:bCs w:val="0"/>
          <w:color w:val="auto"/>
          <w:sz w:val="24"/>
          <w:szCs w:val="24"/>
          <w:highlight w:val="none"/>
          <w:u w:val="single"/>
          <w:lang w:eastAsia="zh-CN"/>
        </w:rPr>
        <w:t>（</w:t>
      </w:r>
      <w:r>
        <w:rPr>
          <w:rFonts w:hint="eastAsia" w:asciiTheme="minorEastAsia" w:hAnsiTheme="minorEastAsia" w:eastAsiaTheme="minorEastAsia" w:cstheme="minorEastAsia"/>
          <w:b w:val="0"/>
          <w:bCs w:val="0"/>
          <w:color w:val="auto"/>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法定代表人或其授权代表（签字）：</w:t>
      </w:r>
    </w:p>
    <w:p w14:paraId="2E4DDB4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057CB70">
      <w:pPr>
        <w:keepNext w:val="0"/>
        <w:keepLines w:val="0"/>
        <w:pageBreakBefore w:val="0"/>
        <w:kinsoku/>
        <w:wordWrap w:val="0"/>
        <w:overflowPunct/>
        <w:topLinePunct w:val="0"/>
        <w:bidi w:val="0"/>
        <w:spacing w:line="360" w:lineRule="auto"/>
        <w:ind w:firstLine="564" w:firstLineChars="252"/>
        <w:jc w:val="both"/>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pPr>
    </w:p>
    <w:p w14:paraId="402483CB">
      <w:pPr>
        <w:numPr>
          <w:ilvl w:val="0"/>
          <w:numId w:val="0"/>
        </w:numPr>
        <w:spacing w:after="312" w:afterLines="100" w:line="440" w:lineRule="exact"/>
        <w:ind w:leftChars="0"/>
        <w:jc w:val="left"/>
        <w:outlineLvl w:val="0"/>
        <w:rPr>
          <w:rFonts w:hint="eastAsia" w:ascii="宋体" w:hAnsi="宋体" w:eastAsia="宋体" w:cs="宋体"/>
          <w:b/>
          <w:bCs w:val="0"/>
          <w:color w:val="auto"/>
          <w:sz w:val="28"/>
          <w:szCs w:val="28"/>
          <w:highlight w:val="none"/>
          <w:lang w:val="en-US" w:eastAsia="zh-CN"/>
        </w:rPr>
      </w:pPr>
    </w:p>
    <w:p w14:paraId="0CE7D23A">
      <w:pPr>
        <w:numPr>
          <w:ilvl w:val="0"/>
          <w:numId w:val="0"/>
        </w:numPr>
        <w:spacing w:after="312" w:afterLines="100" w:line="440" w:lineRule="exact"/>
        <w:ind w:leftChars="0"/>
        <w:jc w:val="left"/>
        <w:outlineLvl w:val="0"/>
        <w:rPr>
          <w:rFonts w:hint="eastAsia" w:ascii="宋体" w:hAnsi="宋体" w:eastAsia="宋体" w:cs="宋体"/>
          <w:b/>
          <w:bCs w:val="0"/>
          <w:color w:val="auto"/>
          <w:sz w:val="28"/>
          <w:szCs w:val="28"/>
          <w:highlight w:val="none"/>
          <w:lang w:val="en-US" w:eastAsia="zh-CN"/>
        </w:rPr>
      </w:pPr>
    </w:p>
    <w:p w14:paraId="72450C76">
      <w:pPr>
        <w:numPr>
          <w:ilvl w:val="0"/>
          <w:numId w:val="0"/>
        </w:numPr>
        <w:spacing w:after="312" w:afterLines="100" w:line="440" w:lineRule="exact"/>
        <w:ind w:leftChars="0"/>
        <w:jc w:val="left"/>
        <w:outlineLvl w:val="0"/>
        <w:rPr>
          <w:rFonts w:hint="eastAsia" w:ascii="宋体" w:hAnsi="宋体" w:eastAsia="宋体" w:cs="宋体"/>
          <w:b/>
          <w:bCs w:val="0"/>
          <w:color w:val="auto"/>
          <w:sz w:val="28"/>
          <w:szCs w:val="28"/>
          <w:highlight w:val="none"/>
          <w:lang w:val="en-US" w:eastAsia="zh-CN"/>
        </w:rPr>
      </w:pPr>
    </w:p>
    <w:p w14:paraId="0E1E2684">
      <w:pPr>
        <w:numPr>
          <w:ilvl w:val="0"/>
          <w:numId w:val="0"/>
        </w:numPr>
        <w:spacing w:after="312" w:afterLines="100" w:line="440" w:lineRule="exact"/>
        <w:ind w:leftChars="0"/>
        <w:jc w:val="left"/>
        <w:outlineLvl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五、投标人出具信用记录查询结果网页截图（加盖单位公章）</w:t>
      </w:r>
    </w:p>
    <w:p w14:paraId="3DE86B01">
      <w:pPr>
        <w:spacing w:after="312" w:afterLines="100" w:line="440" w:lineRule="exact"/>
        <w:jc w:val="left"/>
        <w:outlineLvl w:val="0"/>
        <w:rPr>
          <w:rFonts w:hint="eastAsia" w:ascii="宋体" w:hAnsi="宋体" w:eastAsia="宋体" w:cs="宋体"/>
          <w:b/>
          <w:bCs w:val="0"/>
          <w:color w:val="auto"/>
          <w:sz w:val="28"/>
          <w:szCs w:val="28"/>
          <w:highlight w:val="none"/>
          <w:lang w:val="en-US" w:eastAsia="zh-CN"/>
        </w:rPr>
      </w:pPr>
    </w:p>
    <w:p w14:paraId="7D698531">
      <w:pPr>
        <w:numPr>
          <w:ilvl w:val="0"/>
          <w:numId w:val="0"/>
        </w:numPr>
        <w:spacing w:after="312" w:afterLines="100" w:line="440" w:lineRule="exact"/>
        <w:jc w:val="left"/>
        <w:outlineLvl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六、技术部分（根据评审标准进行编写，格式自拟）</w:t>
      </w:r>
    </w:p>
    <w:p w14:paraId="7DC100A4">
      <w:pPr>
        <w:numPr>
          <w:ilvl w:val="0"/>
          <w:numId w:val="0"/>
        </w:numPr>
        <w:kinsoku w:val="0"/>
        <w:autoSpaceDE w:val="0"/>
        <w:autoSpaceDN w:val="0"/>
        <w:adjustRightInd w:val="0"/>
        <w:snapToGrid w:val="0"/>
        <w:spacing w:after="312" w:afterLines="100" w:line="440" w:lineRule="exact"/>
        <w:jc w:val="left"/>
        <w:textAlignment w:val="baseline"/>
        <w:outlineLvl w:val="0"/>
        <w:rPr>
          <w:rFonts w:hint="eastAsia" w:ascii="宋体" w:hAnsi="宋体" w:eastAsia="宋体" w:cs="宋体"/>
          <w:b/>
          <w:bCs w:val="0"/>
          <w:color w:val="auto"/>
          <w:sz w:val="28"/>
          <w:szCs w:val="28"/>
          <w:highlight w:val="none"/>
          <w:lang w:val="en-US" w:eastAsia="zh-CN"/>
        </w:rPr>
      </w:pPr>
    </w:p>
    <w:p w14:paraId="59A29401">
      <w:pPr>
        <w:numPr>
          <w:ilvl w:val="0"/>
          <w:numId w:val="0"/>
        </w:numPr>
        <w:kinsoku w:val="0"/>
        <w:autoSpaceDE w:val="0"/>
        <w:autoSpaceDN w:val="0"/>
        <w:adjustRightInd w:val="0"/>
        <w:snapToGrid w:val="0"/>
        <w:spacing w:after="312" w:afterLines="100" w:line="440" w:lineRule="exact"/>
        <w:jc w:val="left"/>
        <w:textAlignment w:val="baseline"/>
        <w:outlineLvl w:val="0"/>
        <w:rPr>
          <w:rFonts w:hint="eastAsia" w:ascii="宋体" w:hAnsi="宋体" w:eastAsia="宋体" w:cs="宋体"/>
          <w:b/>
          <w:bCs w:val="0"/>
          <w:color w:val="auto"/>
          <w:sz w:val="28"/>
          <w:szCs w:val="28"/>
          <w:highlight w:val="none"/>
          <w:lang w:val="en-US" w:eastAsia="zh-CN"/>
        </w:rPr>
      </w:pPr>
    </w:p>
    <w:p w14:paraId="0C00B038">
      <w:pPr>
        <w:numPr>
          <w:ilvl w:val="0"/>
          <w:numId w:val="0"/>
        </w:numPr>
        <w:kinsoku w:val="0"/>
        <w:autoSpaceDE w:val="0"/>
        <w:autoSpaceDN w:val="0"/>
        <w:adjustRightInd w:val="0"/>
        <w:snapToGrid w:val="0"/>
        <w:spacing w:after="312" w:afterLines="100" w:line="440" w:lineRule="exact"/>
        <w:jc w:val="left"/>
        <w:textAlignment w:val="baseline"/>
        <w:outlineLvl w:val="0"/>
        <w:rPr>
          <w:rFonts w:hint="eastAsia" w:ascii="宋体" w:hAnsi="宋体" w:eastAsia="宋体" w:cs="宋体"/>
          <w:b/>
          <w:bCs w:val="0"/>
          <w:color w:val="auto"/>
          <w:sz w:val="28"/>
          <w:szCs w:val="28"/>
          <w:highlight w:val="none"/>
          <w:lang w:val="en-US" w:eastAsia="zh-CN"/>
        </w:rPr>
      </w:pPr>
    </w:p>
    <w:p w14:paraId="0C1188C8">
      <w:pPr>
        <w:numPr>
          <w:ilvl w:val="0"/>
          <w:numId w:val="0"/>
        </w:numPr>
        <w:kinsoku w:val="0"/>
        <w:autoSpaceDE w:val="0"/>
        <w:autoSpaceDN w:val="0"/>
        <w:adjustRightInd w:val="0"/>
        <w:snapToGrid w:val="0"/>
        <w:spacing w:after="312" w:afterLines="100" w:line="440" w:lineRule="exact"/>
        <w:jc w:val="left"/>
        <w:textAlignment w:val="baseline"/>
        <w:outlineLvl w:val="0"/>
        <w:rPr>
          <w:rFonts w:hint="eastAsia" w:ascii="宋体" w:hAnsi="宋体" w:eastAsia="宋体" w:cs="宋体"/>
          <w:b/>
          <w:bCs w:val="0"/>
          <w:color w:val="auto"/>
          <w:sz w:val="28"/>
          <w:szCs w:val="28"/>
          <w:highlight w:val="none"/>
          <w:lang w:val="en-US" w:eastAsia="zh-CN"/>
        </w:rPr>
      </w:pPr>
    </w:p>
    <w:p w14:paraId="26A8381E">
      <w:pPr>
        <w:numPr>
          <w:ilvl w:val="0"/>
          <w:numId w:val="0"/>
        </w:numPr>
        <w:spacing w:after="312" w:afterLines="100" w:line="440" w:lineRule="exact"/>
        <w:ind w:leftChars="0"/>
        <w:jc w:val="left"/>
        <w:outlineLvl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七、综合部分（根据评审标准进行编写，格式自拟）</w:t>
      </w:r>
    </w:p>
    <w:p w14:paraId="63AB169D">
      <w:pPr>
        <w:numPr>
          <w:ilvl w:val="0"/>
          <w:numId w:val="0"/>
        </w:numPr>
        <w:spacing w:after="312" w:afterLines="100" w:line="440" w:lineRule="exact"/>
        <w:ind w:leftChars="0"/>
        <w:jc w:val="left"/>
        <w:outlineLvl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 xml:space="preserve">    </w:t>
      </w:r>
    </w:p>
    <w:p w14:paraId="32796A0E">
      <w:pPr>
        <w:numPr>
          <w:ilvl w:val="0"/>
          <w:numId w:val="0"/>
        </w:numPr>
        <w:spacing w:after="312" w:afterLines="100" w:line="440" w:lineRule="exact"/>
        <w:ind w:leftChars="0"/>
        <w:jc w:val="left"/>
        <w:outlineLvl w:val="0"/>
        <w:rPr>
          <w:rFonts w:hint="eastAsia" w:ascii="宋体" w:hAnsi="宋体" w:eastAsia="宋体" w:cs="宋体"/>
          <w:b/>
          <w:bCs w:val="0"/>
          <w:color w:val="auto"/>
          <w:sz w:val="28"/>
          <w:szCs w:val="28"/>
          <w:highlight w:val="none"/>
          <w:lang w:val="en-US" w:eastAsia="zh-CN"/>
        </w:rPr>
      </w:pPr>
    </w:p>
    <w:p w14:paraId="1ABB5C2C">
      <w:pPr>
        <w:numPr>
          <w:ilvl w:val="0"/>
          <w:numId w:val="0"/>
        </w:numPr>
        <w:spacing w:after="312" w:afterLines="100" w:line="440" w:lineRule="exact"/>
        <w:ind w:leftChars="0"/>
        <w:jc w:val="left"/>
        <w:outlineLvl w:val="0"/>
        <w:rPr>
          <w:rFonts w:hint="default" w:ascii="宋体" w:hAnsi="宋体" w:eastAsia="宋体" w:cs="宋体"/>
          <w:b/>
          <w:bCs w:val="0"/>
          <w:color w:val="auto"/>
          <w:sz w:val="28"/>
          <w:szCs w:val="28"/>
          <w:highlight w:val="none"/>
          <w:lang w:val="en-US" w:eastAsia="zh-CN"/>
        </w:rPr>
      </w:pPr>
    </w:p>
    <w:p w14:paraId="1C1C794B">
      <w:pPr>
        <w:numPr>
          <w:ilvl w:val="0"/>
          <w:numId w:val="0"/>
        </w:numPr>
        <w:spacing w:after="312" w:afterLines="100" w:line="440" w:lineRule="exact"/>
        <w:ind w:leftChars="0"/>
        <w:jc w:val="left"/>
        <w:outlineLvl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八、其他资格证明</w:t>
      </w:r>
    </w:p>
    <w:p w14:paraId="58DB39F1">
      <w:pPr>
        <w:numPr>
          <w:ilvl w:val="0"/>
          <w:numId w:val="0"/>
        </w:numPr>
        <w:spacing w:after="312" w:afterLines="100" w:line="440" w:lineRule="exact"/>
        <w:ind w:leftChars="0"/>
        <w:jc w:val="left"/>
        <w:outlineLvl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 xml:space="preserve">    </w:t>
      </w:r>
    </w:p>
    <w:p w14:paraId="66AA11EA">
      <w:pPr>
        <w:numPr>
          <w:ilvl w:val="0"/>
          <w:numId w:val="0"/>
        </w:numPr>
        <w:spacing w:after="312" w:afterLines="100" w:line="440" w:lineRule="exact"/>
        <w:ind w:leftChars="0"/>
        <w:jc w:val="left"/>
        <w:outlineLvl w:val="0"/>
        <w:rPr>
          <w:rFonts w:hint="eastAsia" w:ascii="宋体" w:hAnsi="宋体" w:eastAsia="宋体" w:cs="宋体"/>
          <w:b/>
          <w:bCs w:val="0"/>
          <w:color w:val="auto"/>
          <w:sz w:val="28"/>
          <w:szCs w:val="28"/>
          <w:highlight w:val="none"/>
          <w:lang w:val="en-US" w:eastAsia="zh-CN"/>
        </w:rPr>
      </w:pPr>
    </w:p>
    <w:p w14:paraId="387FE17B">
      <w:pPr>
        <w:numPr>
          <w:ilvl w:val="0"/>
          <w:numId w:val="0"/>
        </w:numPr>
        <w:spacing w:after="312" w:afterLines="100" w:line="440" w:lineRule="exact"/>
        <w:ind w:leftChars="0"/>
        <w:jc w:val="left"/>
        <w:outlineLvl w:val="0"/>
        <w:rPr>
          <w:rFonts w:hint="default" w:ascii="宋体" w:hAnsi="宋体" w:eastAsia="宋体" w:cs="宋体"/>
          <w:b/>
          <w:bCs w:val="0"/>
          <w:color w:val="auto"/>
          <w:sz w:val="28"/>
          <w:szCs w:val="28"/>
          <w:highlight w:val="none"/>
          <w:lang w:val="en-US" w:eastAsia="zh-CN"/>
        </w:rPr>
      </w:pPr>
    </w:p>
    <w:p w14:paraId="50C36948">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b/>
          <w:color w:val="auto"/>
          <w:sz w:val="32"/>
          <w:highlight w:val="none"/>
        </w:rPr>
      </w:pPr>
    </w:p>
    <w:p w14:paraId="533CB645">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b/>
          <w:color w:val="auto"/>
          <w:sz w:val="32"/>
          <w:highlight w:val="none"/>
        </w:rPr>
      </w:pPr>
    </w:p>
    <w:p w14:paraId="6E17C273">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b/>
          <w:color w:val="auto"/>
          <w:sz w:val="32"/>
          <w:highlight w:val="none"/>
        </w:rPr>
      </w:pPr>
    </w:p>
    <w:p w14:paraId="3399219F">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b/>
          <w:color w:val="auto"/>
          <w:sz w:val="32"/>
          <w:highlight w:val="none"/>
        </w:rPr>
      </w:pPr>
    </w:p>
    <w:p w14:paraId="6CE359B4">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b/>
          <w:color w:val="auto"/>
          <w:sz w:val="32"/>
          <w:highlight w:val="none"/>
        </w:rPr>
      </w:pPr>
    </w:p>
    <w:p w14:paraId="16082844">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b/>
          <w:color w:val="auto"/>
          <w:sz w:val="32"/>
          <w:highlight w:val="none"/>
        </w:rPr>
      </w:pPr>
    </w:p>
    <w:p w14:paraId="3882A69D">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b/>
          <w:color w:val="auto"/>
          <w:sz w:val="32"/>
          <w:highlight w:val="none"/>
        </w:rPr>
      </w:pPr>
    </w:p>
    <w:p w14:paraId="475E9419">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b/>
          <w:color w:val="auto"/>
          <w:sz w:val="32"/>
          <w:highlight w:val="none"/>
        </w:rPr>
      </w:pPr>
    </w:p>
    <w:p w14:paraId="71BC5171">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b/>
          <w:color w:val="auto"/>
          <w:sz w:val="32"/>
          <w:highlight w:val="none"/>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九、供应商诚信承诺书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p>
    <w:p w14:paraId="3F7A7F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w:t>
      </w:r>
      <w:r>
        <w:rPr>
          <w:rFonts w:hint="eastAsia" w:asciiTheme="minorEastAsia" w:hAnsiTheme="minorEastAsia" w:eastAsiaTheme="minorEastAsia" w:cstheme="minorEastAsia"/>
          <w:b w:val="0"/>
          <w:bCs w:val="0"/>
          <w:color w:val="auto"/>
          <w:sz w:val="24"/>
          <w:szCs w:val="24"/>
          <w:highlight w:val="none"/>
          <w:lang w:val="en-US" w:eastAsia="zh-CN"/>
        </w:rPr>
        <w:t>采购</w:t>
      </w:r>
      <w:r>
        <w:rPr>
          <w:rFonts w:hint="eastAsia" w:asciiTheme="minorEastAsia" w:hAnsiTheme="minorEastAsia" w:eastAsiaTheme="minorEastAsia" w:cstheme="minorEastAsia"/>
          <w:b w:val="0"/>
          <w:bCs w:val="0"/>
          <w:color w:val="auto"/>
          <w:sz w:val="24"/>
          <w:szCs w:val="24"/>
          <w:highlight w:val="none"/>
          <w:lang w:eastAsia="zh-CN"/>
        </w:rPr>
        <w:t>在电子</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十、信用承诺书（投标人范本）</w:t>
      </w:r>
    </w:p>
    <w:p w14:paraId="6148AC33">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color w:val="auto"/>
          <w:w w:val="95"/>
          <w:sz w:val="36"/>
          <w:szCs w:val="36"/>
          <w:highlight w:val="none"/>
        </w:rPr>
      </w:pPr>
    </w:p>
    <w:p w14:paraId="608DED0B">
      <w:pPr>
        <w:jc w:val="center"/>
        <w:outlineLvl w:val="1"/>
        <w:rPr>
          <w:b/>
          <w:bCs/>
          <w:color w:val="auto"/>
          <w:w w:val="95"/>
          <w:sz w:val="36"/>
          <w:szCs w:val="36"/>
          <w:highlight w:val="none"/>
        </w:rPr>
      </w:pPr>
    </w:p>
    <w:p w14:paraId="670ECEA9">
      <w:pPr>
        <w:pStyle w:val="15"/>
        <w:rPr>
          <w:color w:val="auto"/>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十一、投标承诺函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auto"/>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color w:val="auto"/>
          <w:w w:val="95"/>
          <w:sz w:val="36"/>
          <w:szCs w:val="36"/>
          <w:highlight w:val="none"/>
        </w:rPr>
      </w:pPr>
      <w:r>
        <w:rPr>
          <w:rFonts w:hint="eastAsia" w:ascii="宋体" w:hAnsi="宋体" w:eastAsia="宋体" w:cs="宋体"/>
          <w:snapToGrid/>
          <w:color w:val="auto"/>
          <w:kern w:val="0"/>
          <w:sz w:val="24"/>
          <w:szCs w:val="24"/>
          <w:highlight w:val="none"/>
          <w:lang w:val="en-US" w:eastAsia="zh-CN" w:bidi="ar"/>
        </w:rPr>
        <w:t>日期：</w:t>
      </w:r>
      <w:r>
        <w:rPr>
          <w:rFonts w:hint="eastAsia" w:ascii="新宋体" w:hAnsi="新宋体" w:eastAsia="新宋体" w:cs="新宋体"/>
          <w:snapToGrid/>
          <w:color w:val="auto"/>
          <w:kern w:val="0"/>
          <w:sz w:val="24"/>
          <w:szCs w:val="24"/>
          <w:highlight w:val="none"/>
          <w:lang w:val="en-US" w:eastAsia="zh-CN" w:bidi="ar"/>
        </w:rPr>
        <w:t xml:space="preserve"> </w:t>
      </w:r>
    </w:p>
    <w:bookmarkEnd w:id="119"/>
    <w:bookmarkEnd w:id="120"/>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bookmarkStart w:id="121" w:name="_Toc16799"/>
      <w:bookmarkStart w:id="122" w:name="_Toc12153"/>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十二、</w:t>
      </w:r>
      <w:bookmarkEnd w:id="121"/>
      <w:bookmarkEnd w:id="122"/>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供应商认为需要的其他文件资料</w:t>
      </w:r>
    </w:p>
    <w:p w14:paraId="5E6B91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6E8D7C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7C7F6D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库﹝2020﹞46 号）</w:t>
      </w:r>
      <w:r>
        <w:rPr>
          <w:rFonts w:hint="eastAsia" w:asciiTheme="minorEastAsia" w:hAnsiTheme="minorEastAsia" w:eastAsiaTheme="minorEastAsia" w:cstheme="minorEastAsia"/>
          <w:color w:val="auto"/>
          <w:spacing w:val="-6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的规定，本公司（联合体）参加（单位名称）</w:t>
      </w:r>
      <w:r>
        <w:rPr>
          <w:rFonts w:hint="eastAsia" w:asciiTheme="minorEastAsia" w:hAnsiTheme="minorEastAsia" w:eastAsiaTheme="minorEastAsia" w:cstheme="minorEastAsia"/>
          <w:color w:val="auto"/>
          <w:spacing w:val="-67"/>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采购活动，工程的施工单位全部为符合政策要求</w:t>
      </w:r>
      <w:r>
        <w:rPr>
          <w:rFonts w:hint="eastAsia" w:asciiTheme="minorEastAsia" w:hAnsiTheme="minorEastAsia" w:eastAsiaTheme="minorEastAsia" w:cstheme="minorEastAsia"/>
          <w:color w:val="auto"/>
          <w:spacing w:val="11"/>
          <w:sz w:val="24"/>
          <w:szCs w:val="24"/>
          <w:highlight w:val="none"/>
        </w:rPr>
        <w:t>的中小企业（或者：服务全部由符</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color w:val="auto"/>
          <w:spacing w:val="4"/>
          <w:sz w:val="24"/>
          <w:szCs w:val="24"/>
          <w:highlight w:val="none"/>
        </w:rPr>
        <w:t>、签订分包意向协</w:t>
      </w:r>
    </w:p>
    <w:p w14:paraId="2EA920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议的中小企业）</w:t>
      </w:r>
      <w:r>
        <w:rPr>
          <w:rFonts w:hint="eastAsia" w:asciiTheme="minorEastAsia" w:hAnsiTheme="minorEastAsia" w:eastAsiaTheme="minorEastAsia" w:cstheme="minorEastAsia"/>
          <w:color w:val="auto"/>
          <w:spacing w:val="-65"/>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的具体情况如下：</w:t>
      </w:r>
    </w:p>
    <w:p w14:paraId="1931B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w:t>
      </w:r>
      <w:r>
        <w:rPr>
          <w:rFonts w:hint="eastAsia" w:asciiTheme="minorEastAsia" w:hAnsiTheme="minorEastAsia" w:eastAsiaTheme="minorEastAsia" w:cstheme="minorEastAsia"/>
          <w:color w:val="auto"/>
          <w:spacing w:val="7"/>
          <w:sz w:val="24"/>
          <w:szCs w:val="24"/>
          <w:highlight w:val="none"/>
        </w:rPr>
        <w:t>（承接）企业</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8"/>
          <w:sz w:val="24"/>
          <w:szCs w:val="24"/>
          <w:highlight w:val="none"/>
        </w:rPr>
        <w:t>万元</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8"/>
          <w:position w:val="6"/>
          <w:sz w:val="16"/>
          <w:szCs w:val="16"/>
          <w:highlight w:val="none"/>
        </w:rPr>
        <w:t>1</w:t>
      </w:r>
      <w:r>
        <w:rPr>
          <w:rFonts w:hint="eastAsia" w:asciiTheme="minorEastAsia" w:hAnsiTheme="minorEastAsia" w:eastAsiaTheme="minorEastAsia" w:cstheme="minorEastAsia"/>
          <w:color w:val="auto"/>
          <w:spacing w:val="-12"/>
          <w:position w:val="6"/>
          <w:sz w:val="16"/>
          <w:szCs w:val="16"/>
          <w:highlight w:val="none"/>
        </w:rPr>
        <w:t xml:space="preserve"> </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（中型企业、小型企业、微型企业</w:t>
      </w:r>
      <w:r>
        <w:rPr>
          <w:rFonts w:hint="eastAsia" w:asciiTheme="minorEastAsia" w:hAnsiTheme="minorEastAsia" w:eastAsiaTheme="minorEastAsia" w:cstheme="minorEastAsia"/>
          <w:color w:val="auto"/>
          <w:spacing w:val="-50"/>
          <w:sz w:val="24"/>
          <w:szCs w:val="24"/>
          <w:highlight w:val="none"/>
          <w:u w:val="single" w:color="auto"/>
        </w:rPr>
        <w:t>）</w:t>
      </w:r>
      <w:r>
        <w:rPr>
          <w:rFonts w:hint="eastAsia" w:asciiTheme="minorEastAsia" w:hAnsiTheme="minorEastAsia" w:eastAsiaTheme="minorEastAsia" w:cstheme="minorEastAsia"/>
          <w:color w:val="auto"/>
          <w:spacing w:val="-50"/>
          <w:sz w:val="24"/>
          <w:szCs w:val="24"/>
          <w:highlight w:val="none"/>
        </w:rPr>
        <w:t>；</w:t>
      </w:r>
    </w:p>
    <w:p w14:paraId="153445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行业；承建（承接）企业</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
          <w:sz w:val="24"/>
          <w:szCs w:val="24"/>
          <w:highlight w:val="none"/>
        </w:rPr>
        <w:t>万元，属于</w:t>
      </w:r>
      <w:r>
        <w:rPr>
          <w:rFonts w:hint="eastAsia" w:asciiTheme="minorEastAsia" w:hAnsiTheme="minorEastAsia" w:eastAsiaTheme="minorEastAsia" w:cstheme="minorEastAsia"/>
          <w:color w:val="auto"/>
          <w:spacing w:val="10"/>
          <w:sz w:val="24"/>
          <w:szCs w:val="24"/>
          <w:highlight w:val="none"/>
          <w:u w:val="single" w:color="auto"/>
        </w:rPr>
        <w:t>（中型企业、小型企业、微型企业</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5097DDF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color w:val="auto"/>
          <w:spacing w:val="10"/>
          <w:position w:val="17"/>
          <w:sz w:val="24"/>
          <w:szCs w:val="24"/>
          <w:highlight w:val="none"/>
        </w:rPr>
        <w:t>为大企业的情形，也不</w:t>
      </w:r>
    </w:p>
    <w:p w14:paraId="34EA1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存在与大企业的负责人为同一人的情形。</w:t>
      </w:r>
    </w:p>
    <w:p w14:paraId="4BBC24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621DD5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8E23C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9"/>
          <w:position w:val="5"/>
          <w:sz w:val="24"/>
          <w:szCs w:val="24"/>
          <w:highlight w:val="none"/>
          <w:lang w:val="en-US" w:eastAsia="zh-CN"/>
        </w:rPr>
      </w:pPr>
    </w:p>
    <w:p w14:paraId="6467A7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position w:val="5"/>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p>
    <w:p w14:paraId="7358389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color w:val="auto"/>
          <w:spacing w:val="0"/>
          <w:sz w:val="24"/>
          <w:szCs w:val="24"/>
          <w:highlight w:val="none"/>
        </w:rPr>
      </w:pPr>
    </w:p>
    <w:p w14:paraId="039FA7CE">
      <w:pPr>
        <w:pStyle w:val="12"/>
        <w:rPr>
          <w:rFonts w:ascii="新宋体"/>
          <w:color w:val="auto"/>
          <w:sz w:val="20"/>
          <w:highlight w:val="none"/>
        </w:rPr>
      </w:pPr>
    </w:p>
    <w:p w14:paraId="5EE07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本单位郑重声明，根据《财政部民政部中国残疾人联合会关于促进残疾人就</w:t>
      </w:r>
    </w:p>
    <w:p w14:paraId="55A498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业政府采购政策的通知》（财库〔2017〕141号）的规定，本单位</w:t>
      </w: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color w:val="auto"/>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6"/>
          <w:sz w:val="24"/>
          <w:szCs w:val="24"/>
          <w:highlight w:val="none"/>
        </w:rPr>
        <w:t>：</w:t>
      </w:r>
    </w:p>
    <w:p w14:paraId="65CD16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8"/>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单位的</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71"/>
          <w:sz w:val="24"/>
          <w:szCs w:val="24"/>
          <w:highlight w:val="none"/>
        </w:rPr>
        <w:t xml:space="preserve"> </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3F083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77695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8580C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color w:val="auto"/>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15"/>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6"/>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15"/>
        <w:rPr>
          <w:rFonts w:hint="eastAsia"/>
          <w:color w:val="auto"/>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88F70A7">
      <w:pPr>
        <w:rPr>
          <w:color w:val="auto"/>
          <w:sz w:val="24"/>
          <w:szCs w:val="24"/>
          <w:highlight w:val="none"/>
        </w:rPr>
        <w:sectPr>
          <w:footerReference r:id="rId6" w:type="default"/>
          <w:pgSz w:w="11910" w:h="16840"/>
          <w:pgMar w:top="1420" w:right="840" w:bottom="1000" w:left="860" w:header="1151" w:footer="805" w:gutter="0"/>
          <w:pgNumType w:fmt="decimal"/>
          <w:cols w:space="720" w:num="1"/>
        </w:sectPr>
      </w:pPr>
      <w:bookmarkStart w:id="123" w:name="_bookmark22"/>
      <w:bookmarkEnd w:id="123"/>
    </w:p>
    <w:p w14:paraId="5EFE2A08">
      <w:pPr>
        <w:pStyle w:val="3"/>
        <w:bidi w:val="0"/>
        <w:jc w:val="center"/>
        <w:outlineLvl w:val="0"/>
        <w:rPr>
          <w:rFonts w:hint="eastAsia"/>
          <w:color w:val="auto"/>
          <w:sz w:val="48"/>
          <w:szCs w:val="48"/>
          <w:highlight w:val="none"/>
          <w:lang w:val="en-US" w:eastAsia="zh-CN"/>
        </w:rPr>
      </w:pPr>
      <w:bookmarkStart w:id="124" w:name="_Toc17438"/>
      <w:bookmarkStart w:id="125" w:name="_Toc31290"/>
      <w:r>
        <w:rPr>
          <w:rFonts w:hint="eastAsia"/>
          <w:color w:val="auto"/>
          <w:sz w:val="48"/>
          <w:szCs w:val="48"/>
          <w:highlight w:val="none"/>
          <w:lang w:val="en-US" w:eastAsia="zh-CN"/>
        </w:rPr>
        <w:t>告知函</w:t>
      </w:r>
      <w:bookmarkEnd w:id="124"/>
      <w:bookmarkEnd w:id="125"/>
    </w:p>
    <w:tbl>
      <w:tblPr>
        <w:tblStyle w:val="18"/>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事项</w:t>
            </w:r>
          </w:p>
        </w:tc>
        <w:tc>
          <w:tcPr>
            <w:tcW w:w="2237" w:type="dxa"/>
          </w:tcPr>
          <w:p w14:paraId="56CD1500">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 xml:space="preserve">时限 </w:t>
            </w:r>
          </w:p>
        </w:tc>
        <w:tc>
          <w:tcPr>
            <w:tcW w:w="6221" w:type="dxa"/>
          </w:tcPr>
          <w:p w14:paraId="52321B19">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color w:val="auto"/>
                <w:sz w:val="24"/>
                <w:szCs w:val="24"/>
                <w:highlight w:val="none"/>
                <w:vertAlign w:val="baseline"/>
                <w:lang w:val="en-US" w:eastAsia="zh-CN"/>
              </w:rPr>
            </w:pPr>
          </w:p>
          <w:p w14:paraId="5A1D0EDE">
            <w:pPr>
              <w:widowControl w:val="0"/>
              <w:jc w:val="center"/>
              <w:rPr>
                <w:rFonts w:hint="eastAsia"/>
                <w:color w:val="auto"/>
                <w:sz w:val="24"/>
                <w:szCs w:val="24"/>
                <w:highlight w:val="none"/>
                <w:vertAlign w:val="baseline"/>
                <w:lang w:val="en-US" w:eastAsia="zh-CN"/>
              </w:rPr>
            </w:pPr>
          </w:p>
          <w:p w14:paraId="521B4E28">
            <w:pPr>
              <w:widowControl w:val="0"/>
              <w:jc w:val="center"/>
              <w:rPr>
                <w:rFonts w:hint="eastAsia"/>
                <w:color w:val="auto"/>
                <w:sz w:val="24"/>
                <w:szCs w:val="24"/>
                <w:highlight w:val="none"/>
                <w:vertAlign w:val="baseline"/>
                <w:lang w:val="en-US" w:eastAsia="zh-CN"/>
              </w:rPr>
            </w:pPr>
          </w:p>
          <w:p w14:paraId="72BA18D3">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合同签订</w:t>
            </w:r>
          </w:p>
        </w:tc>
        <w:tc>
          <w:tcPr>
            <w:tcW w:w="2237" w:type="dxa"/>
          </w:tcPr>
          <w:p w14:paraId="636840B6">
            <w:pPr>
              <w:widowControl w:val="0"/>
              <w:ind w:firstLine="480" w:firstLineChars="200"/>
              <w:rPr>
                <w:rFonts w:hint="default"/>
                <w:color w:val="auto"/>
                <w:sz w:val="24"/>
                <w:szCs w:val="24"/>
                <w:highlight w:val="none"/>
                <w:vertAlign w:val="baseline"/>
                <w:lang w:val="en-US" w:eastAsia="zh-CN"/>
              </w:rPr>
            </w:pPr>
          </w:p>
          <w:p w14:paraId="5BA34501">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中标(成交)通知书发出之日起</w:t>
            </w:r>
            <w:r>
              <w:rPr>
                <w:rFonts w:hint="eastAsia"/>
                <w:color w:val="auto"/>
                <w:sz w:val="24"/>
                <w:szCs w:val="24"/>
                <w:highlight w:val="none"/>
                <w:vertAlign w:val="baseline"/>
                <w:lang w:val="en-US" w:eastAsia="zh-CN"/>
              </w:rPr>
              <w:t>1</w:t>
            </w:r>
            <w:r>
              <w:rPr>
                <w:rFonts w:hint="default"/>
                <w:color w:val="auto"/>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color w:val="auto"/>
                <w:highlight w:val="none"/>
              </w:rPr>
            </w:pPr>
          </w:p>
          <w:p w14:paraId="0E0AAFCE">
            <w:pPr>
              <w:widowControl w:val="0"/>
              <w:ind w:firstLine="480" w:firstLineChars="200"/>
              <w:rPr>
                <w:rFonts w:hint="eastAsia"/>
                <w:color w:val="auto"/>
                <w:sz w:val="24"/>
                <w:szCs w:val="24"/>
                <w:highlight w:val="none"/>
              </w:rPr>
            </w:pPr>
            <w:r>
              <w:rPr>
                <w:rFonts w:hint="eastAsia"/>
                <w:color w:val="auto"/>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color w:val="auto"/>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color w:val="auto"/>
                <w:sz w:val="24"/>
                <w:szCs w:val="24"/>
                <w:highlight w:val="none"/>
                <w:vertAlign w:val="baseline"/>
                <w:lang w:val="en-US" w:eastAsia="zh-CN"/>
              </w:rPr>
            </w:pPr>
          </w:p>
          <w:p w14:paraId="24925948">
            <w:pPr>
              <w:widowControl w:val="0"/>
              <w:jc w:val="center"/>
              <w:rPr>
                <w:rFonts w:hint="eastAsia"/>
                <w:color w:val="auto"/>
                <w:sz w:val="24"/>
                <w:szCs w:val="24"/>
                <w:highlight w:val="none"/>
                <w:vertAlign w:val="baseline"/>
                <w:lang w:val="en-US" w:eastAsia="zh-CN"/>
              </w:rPr>
            </w:pPr>
          </w:p>
          <w:p w14:paraId="15EAD521">
            <w:pPr>
              <w:widowControl w:val="0"/>
              <w:jc w:val="center"/>
              <w:rPr>
                <w:rFonts w:hint="eastAsia"/>
                <w:color w:val="auto"/>
                <w:sz w:val="24"/>
                <w:szCs w:val="24"/>
                <w:highlight w:val="none"/>
                <w:vertAlign w:val="baseline"/>
                <w:lang w:val="en-US" w:eastAsia="zh-CN"/>
              </w:rPr>
            </w:pPr>
          </w:p>
          <w:p w14:paraId="69D094AA">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合同备案</w:t>
            </w:r>
          </w:p>
        </w:tc>
        <w:tc>
          <w:tcPr>
            <w:tcW w:w="2237" w:type="dxa"/>
          </w:tcPr>
          <w:p w14:paraId="6AAD09E8">
            <w:pPr>
              <w:widowControl w:val="0"/>
              <w:ind w:firstLine="480" w:firstLineChars="200"/>
              <w:rPr>
                <w:rFonts w:hint="default"/>
                <w:color w:val="auto"/>
                <w:sz w:val="24"/>
                <w:szCs w:val="24"/>
                <w:highlight w:val="none"/>
                <w:vertAlign w:val="baseline"/>
                <w:lang w:val="en-US" w:eastAsia="zh-CN"/>
              </w:rPr>
            </w:pPr>
          </w:p>
          <w:p w14:paraId="2AFB0BB2">
            <w:pPr>
              <w:widowControl w:val="0"/>
              <w:ind w:firstLine="480" w:firstLineChars="200"/>
              <w:rPr>
                <w:rFonts w:hint="default"/>
                <w:color w:val="auto"/>
                <w:sz w:val="24"/>
                <w:szCs w:val="24"/>
                <w:highlight w:val="none"/>
                <w:vertAlign w:val="baseline"/>
                <w:lang w:val="en-US" w:eastAsia="zh-CN"/>
              </w:rPr>
            </w:pPr>
          </w:p>
          <w:p w14:paraId="5723A974">
            <w:pPr>
              <w:widowControl w:val="0"/>
              <w:ind w:firstLine="480" w:firstLineChars="200"/>
              <w:rPr>
                <w:rFonts w:hint="default"/>
                <w:color w:val="auto"/>
                <w:sz w:val="24"/>
                <w:szCs w:val="24"/>
                <w:highlight w:val="none"/>
                <w:vertAlign w:val="baseline"/>
                <w:lang w:val="en-US" w:eastAsia="zh-CN"/>
              </w:rPr>
            </w:pPr>
          </w:p>
          <w:p w14:paraId="0E08BAB7">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政府采购合同签订之日起</w:t>
            </w:r>
            <w:r>
              <w:rPr>
                <w:rFonts w:hint="eastAsia"/>
                <w:color w:val="auto"/>
                <w:sz w:val="24"/>
                <w:szCs w:val="24"/>
                <w:highlight w:val="none"/>
                <w:vertAlign w:val="baseline"/>
                <w:lang w:val="en-US" w:eastAsia="zh-CN"/>
              </w:rPr>
              <w:t>1</w:t>
            </w:r>
            <w:r>
              <w:rPr>
                <w:rFonts w:hint="default"/>
                <w:color w:val="auto"/>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color w:val="auto"/>
                <w:sz w:val="24"/>
                <w:szCs w:val="24"/>
                <w:highlight w:val="none"/>
                <w:vertAlign w:val="baseline"/>
                <w:lang w:val="en-US" w:eastAsia="zh-CN"/>
              </w:rPr>
            </w:pPr>
          </w:p>
          <w:p w14:paraId="2C18317D">
            <w:pPr>
              <w:widowControl w:val="0"/>
              <w:ind w:firstLine="480" w:firstLineChars="200"/>
              <w:rPr>
                <w:rFonts w:hint="default"/>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color w:val="auto"/>
                <w:sz w:val="24"/>
                <w:szCs w:val="24"/>
                <w:highlight w:val="none"/>
                <w:vertAlign w:val="baseline"/>
                <w:lang w:val="en-US" w:eastAsia="zh-CN"/>
              </w:rPr>
            </w:pPr>
          </w:p>
          <w:p w14:paraId="6C4B7FE1">
            <w:pPr>
              <w:widowControl w:val="0"/>
              <w:jc w:val="center"/>
              <w:rPr>
                <w:rFonts w:hint="eastAsia"/>
                <w:color w:val="auto"/>
                <w:sz w:val="24"/>
                <w:szCs w:val="24"/>
                <w:highlight w:val="none"/>
                <w:vertAlign w:val="baseline"/>
                <w:lang w:val="en-US" w:eastAsia="zh-CN"/>
              </w:rPr>
            </w:pPr>
          </w:p>
          <w:p w14:paraId="51891975">
            <w:pPr>
              <w:widowControl w:val="0"/>
              <w:jc w:val="center"/>
              <w:rPr>
                <w:rFonts w:hint="eastAsia"/>
                <w:color w:val="auto"/>
                <w:sz w:val="24"/>
                <w:szCs w:val="24"/>
                <w:highlight w:val="none"/>
                <w:vertAlign w:val="baseline"/>
                <w:lang w:val="en-US" w:eastAsia="zh-CN"/>
              </w:rPr>
            </w:pPr>
          </w:p>
          <w:p w14:paraId="1453B99D">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履约验收</w:t>
            </w:r>
          </w:p>
        </w:tc>
        <w:tc>
          <w:tcPr>
            <w:tcW w:w="2237" w:type="dxa"/>
          </w:tcPr>
          <w:p w14:paraId="5268DD43">
            <w:pPr>
              <w:widowControl w:val="0"/>
              <w:ind w:firstLine="480" w:firstLineChars="200"/>
              <w:rPr>
                <w:rFonts w:hint="default"/>
                <w:color w:val="auto"/>
                <w:sz w:val="24"/>
                <w:szCs w:val="24"/>
                <w:highlight w:val="none"/>
                <w:vertAlign w:val="baseline"/>
                <w:lang w:val="en-US" w:eastAsia="zh-CN"/>
              </w:rPr>
            </w:pPr>
          </w:p>
          <w:p w14:paraId="1F4A7EBC">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采购人应该在供应商提出验收申请之日起</w:t>
            </w:r>
            <w:r>
              <w:rPr>
                <w:rFonts w:hint="eastAsia"/>
                <w:color w:val="auto"/>
                <w:sz w:val="24"/>
                <w:szCs w:val="24"/>
                <w:highlight w:val="none"/>
                <w:vertAlign w:val="baseline"/>
                <w:lang w:val="en-US" w:eastAsia="zh-CN"/>
              </w:rPr>
              <w:t>3</w:t>
            </w:r>
            <w:r>
              <w:rPr>
                <w:rFonts w:hint="default"/>
                <w:color w:val="auto"/>
                <w:sz w:val="24"/>
                <w:szCs w:val="24"/>
                <w:highlight w:val="none"/>
                <w:vertAlign w:val="baseline"/>
                <w:lang w:val="en-US" w:eastAsia="zh-CN"/>
              </w:rPr>
              <w:t>个工作日内完成验收，验收完成之日起</w:t>
            </w:r>
            <w:r>
              <w:rPr>
                <w:rFonts w:hint="eastAsia"/>
                <w:color w:val="auto"/>
                <w:sz w:val="24"/>
                <w:szCs w:val="24"/>
                <w:highlight w:val="none"/>
                <w:vertAlign w:val="baseline"/>
                <w:lang w:val="en-US" w:eastAsia="zh-CN"/>
              </w:rPr>
              <w:t>2</w:t>
            </w:r>
            <w:r>
              <w:rPr>
                <w:rFonts w:hint="default"/>
                <w:color w:val="auto"/>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color w:val="auto"/>
                <w:sz w:val="24"/>
                <w:szCs w:val="24"/>
                <w:highlight w:val="none"/>
                <w:vertAlign w:val="baseline"/>
                <w:lang w:val="en-US" w:eastAsia="zh-CN"/>
              </w:rPr>
            </w:pPr>
          </w:p>
          <w:p w14:paraId="254CE4FE">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color w:val="auto"/>
                <w:sz w:val="24"/>
                <w:szCs w:val="24"/>
                <w:highlight w:val="none"/>
                <w:vertAlign w:val="baseline"/>
                <w:lang w:val="en-US" w:eastAsia="zh-CN"/>
              </w:rPr>
              <w:t>2</w:t>
            </w:r>
            <w:r>
              <w:rPr>
                <w:rFonts w:hint="default"/>
                <w:color w:val="auto"/>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color w:val="auto"/>
                <w:sz w:val="24"/>
                <w:szCs w:val="24"/>
                <w:highlight w:val="none"/>
                <w:vertAlign w:val="baseline"/>
                <w:lang w:val="en-US" w:eastAsia="zh-CN"/>
              </w:rPr>
            </w:pPr>
          </w:p>
          <w:p w14:paraId="32DC10D6">
            <w:pPr>
              <w:widowControl w:val="0"/>
              <w:jc w:val="center"/>
              <w:rPr>
                <w:rFonts w:hint="eastAsia"/>
                <w:color w:val="auto"/>
                <w:sz w:val="24"/>
                <w:szCs w:val="24"/>
                <w:highlight w:val="none"/>
                <w:vertAlign w:val="baseline"/>
                <w:lang w:val="en-US" w:eastAsia="zh-CN"/>
              </w:rPr>
            </w:pPr>
          </w:p>
          <w:p w14:paraId="64240244">
            <w:pPr>
              <w:widowControl w:val="0"/>
              <w:jc w:val="center"/>
              <w:rPr>
                <w:rFonts w:hint="eastAsia"/>
                <w:color w:val="auto"/>
                <w:sz w:val="24"/>
                <w:szCs w:val="24"/>
                <w:highlight w:val="none"/>
                <w:vertAlign w:val="baseline"/>
                <w:lang w:val="en-US" w:eastAsia="zh-CN"/>
              </w:rPr>
            </w:pPr>
          </w:p>
          <w:p w14:paraId="3DE78AE8">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资金支付</w:t>
            </w:r>
          </w:p>
        </w:tc>
        <w:tc>
          <w:tcPr>
            <w:tcW w:w="2237" w:type="dxa"/>
          </w:tcPr>
          <w:p w14:paraId="0F35E306">
            <w:pPr>
              <w:widowControl w:val="0"/>
              <w:ind w:firstLine="480" w:firstLineChars="200"/>
              <w:rPr>
                <w:rFonts w:hint="default"/>
                <w:color w:val="auto"/>
                <w:sz w:val="24"/>
                <w:szCs w:val="24"/>
                <w:highlight w:val="none"/>
                <w:vertAlign w:val="baseline"/>
                <w:lang w:val="en-US" w:eastAsia="zh-CN"/>
              </w:rPr>
            </w:pPr>
          </w:p>
          <w:p w14:paraId="3E12313B">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验收合格具备付款条件的项目， 采购人应在</w:t>
            </w:r>
            <w:r>
              <w:rPr>
                <w:rFonts w:hint="eastAsia"/>
                <w:color w:val="auto"/>
                <w:sz w:val="24"/>
                <w:szCs w:val="24"/>
                <w:highlight w:val="none"/>
                <w:vertAlign w:val="baseline"/>
                <w:lang w:val="en-US" w:eastAsia="zh-CN"/>
              </w:rPr>
              <w:t>3</w:t>
            </w:r>
            <w:r>
              <w:rPr>
                <w:rFonts w:hint="default"/>
                <w:color w:val="auto"/>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color w:val="auto"/>
                <w:sz w:val="24"/>
                <w:szCs w:val="24"/>
                <w:highlight w:val="none"/>
                <w:vertAlign w:val="baseline"/>
                <w:lang w:val="en-US" w:eastAsia="zh-CN"/>
              </w:rPr>
            </w:pPr>
          </w:p>
          <w:p w14:paraId="68C5BF58">
            <w:pPr>
              <w:widowControl w:val="0"/>
              <w:ind w:firstLine="480" w:firstLineChars="200"/>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color w:val="auto"/>
          <w:sz w:val="24"/>
          <w:szCs w:val="24"/>
          <w:highlight w:val="none"/>
          <w:lang w:val="en-US" w:eastAsia="zh-CN"/>
        </w:rPr>
      </w:pPr>
    </w:p>
    <w:p w14:paraId="26D0B260">
      <w:pPr>
        <w:ind w:firstLine="240" w:firstLineChars="100"/>
        <w:jc w:val="left"/>
        <w:rPr>
          <w:rFonts w:hint="default"/>
          <w:color w:val="auto"/>
          <w:sz w:val="24"/>
          <w:szCs w:val="32"/>
          <w:highlight w:val="none"/>
          <w:lang w:val="en-US" w:eastAsia="zh-CN"/>
        </w:rPr>
      </w:pPr>
    </w:p>
    <w:p w14:paraId="0CB7E5C4">
      <w:pPr>
        <w:jc w:val="right"/>
        <w:rPr>
          <w:rFonts w:hint="eastAsia"/>
          <w:color w:val="auto"/>
          <w:sz w:val="24"/>
          <w:szCs w:val="24"/>
          <w:highlight w:val="none"/>
          <w:lang w:val="en-US" w:eastAsia="zh-CN"/>
        </w:rPr>
      </w:pPr>
      <w:r>
        <w:rPr>
          <w:rFonts w:hint="eastAsia"/>
          <w:color w:val="auto"/>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0"/>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0"/>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0"/>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C44AB"/>
    <w:multiLevelType w:val="singleLevel"/>
    <w:tmpl w:val="AF8C44AB"/>
    <w:lvl w:ilvl="0" w:tentative="0">
      <w:start w:val="1"/>
      <w:numFmt w:val="decimal"/>
      <w:suff w:val="nothing"/>
      <w:lvlText w:val="（%1）"/>
      <w:lvlJc w:val="left"/>
      <w:pPr>
        <w:ind w:left="-56"/>
      </w:pPr>
    </w:lvl>
  </w:abstractNum>
  <w:abstractNum w:abstractNumId="1">
    <w:nsid w:val="C8C869F7"/>
    <w:multiLevelType w:val="singleLevel"/>
    <w:tmpl w:val="C8C869F7"/>
    <w:lvl w:ilvl="0" w:tentative="0">
      <w:start w:val="1"/>
      <w:numFmt w:val="decimal"/>
      <w:lvlText w:val="%1."/>
      <w:lvlJc w:val="left"/>
      <w:pPr>
        <w:tabs>
          <w:tab w:val="left" w:pos="312"/>
        </w:tabs>
        <w:ind w:left="548" w:leftChars="0" w:firstLine="0" w:firstLineChars="0"/>
      </w:pPr>
    </w:lvl>
  </w:abstractNum>
  <w:abstractNum w:abstractNumId="2">
    <w:nsid w:val="CC8689E2"/>
    <w:multiLevelType w:val="singleLevel"/>
    <w:tmpl w:val="CC8689E2"/>
    <w:lvl w:ilvl="0" w:tentative="0">
      <w:start w:val="5"/>
      <w:numFmt w:val="decimal"/>
      <w:lvlText w:val="%1."/>
      <w:lvlJc w:val="left"/>
      <w:pPr>
        <w:tabs>
          <w:tab w:val="left" w:pos="312"/>
        </w:tabs>
      </w:pPr>
    </w:lvl>
  </w:abstractNum>
  <w:abstractNum w:abstractNumId="3">
    <w:nsid w:val="E62CB252"/>
    <w:multiLevelType w:val="singleLevel"/>
    <w:tmpl w:val="E62CB252"/>
    <w:lvl w:ilvl="0" w:tentative="0">
      <w:start w:val="1"/>
      <w:numFmt w:val="decimal"/>
      <w:suff w:val="nothing"/>
      <w:lvlText w:val="%1、"/>
      <w:lvlJc w:val="left"/>
    </w:lvl>
  </w:abstractNum>
  <w:abstractNum w:abstractNumId="4">
    <w:nsid w:val="01DF6793"/>
    <w:multiLevelType w:val="singleLevel"/>
    <w:tmpl w:val="01DF6793"/>
    <w:lvl w:ilvl="0" w:tentative="0">
      <w:start w:val="6"/>
      <w:numFmt w:val="chineseCounting"/>
      <w:suff w:val="space"/>
      <w:lvlText w:val="第%1章"/>
      <w:lvlJc w:val="left"/>
      <w:rPr>
        <w:rFonts w:hint="eastAsia"/>
      </w:rPr>
    </w:lvl>
  </w:abstractNum>
  <w:abstractNum w:abstractNumId="5">
    <w:nsid w:val="394D0E92"/>
    <w:multiLevelType w:val="singleLevel"/>
    <w:tmpl w:val="394D0E92"/>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A324E9"/>
    <w:rsid w:val="01AE15BA"/>
    <w:rsid w:val="01E52B01"/>
    <w:rsid w:val="02290C40"/>
    <w:rsid w:val="0281282A"/>
    <w:rsid w:val="02980B47"/>
    <w:rsid w:val="02C95554"/>
    <w:rsid w:val="0304627B"/>
    <w:rsid w:val="0313167D"/>
    <w:rsid w:val="032D29B2"/>
    <w:rsid w:val="03B63E3A"/>
    <w:rsid w:val="03F005BF"/>
    <w:rsid w:val="049308F0"/>
    <w:rsid w:val="05704DD8"/>
    <w:rsid w:val="05BF5DDB"/>
    <w:rsid w:val="05C82C12"/>
    <w:rsid w:val="05D714B4"/>
    <w:rsid w:val="064B2778"/>
    <w:rsid w:val="06731CDB"/>
    <w:rsid w:val="06BD7DF4"/>
    <w:rsid w:val="06E4782C"/>
    <w:rsid w:val="07387EAF"/>
    <w:rsid w:val="073F4A62"/>
    <w:rsid w:val="07654CC1"/>
    <w:rsid w:val="07660F14"/>
    <w:rsid w:val="07D319FD"/>
    <w:rsid w:val="0800229D"/>
    <w:rsid w:val="08114650"/>
    <w:rsid w:val="084C47B3"/>
    <w:rsid w:val="08743EB7"/>
    <w:rsid w:val="087D3A94"/>
    <w:rsid w:val="08896F10"/>
    <w:rsid w:val="08D712A1"/>
    <w:rsid w:val="08DF64FD"/>
    <w:rsid w:val="092D54BA"/>
    <w:rsid w:val="095962AF"/>
    <w:rsid w:val="098A46BA"/>
    <w:rsid w:val="098F0954"/>
    <w:rsid w:val="09A960A9"/>
    <w:rsid w:val="0A2175C7"/>
    <w:rsid w:val="0A397E8E"/>
    <w:rsid w:val="0A4E3858"/>
    <w:rsid w:val="0A530F50"/>
    <w:rsid w:val="0ABE2B63"/>
    <w:rsid w:val="0ADC6029"/>
    <w:rsid w:val="0B2E509D"/>
    <w:rsid w:val="0B9C2483"/>
    <w:rsid w:val="0BA457DB"/>
    <w:rsid w:val="0BFC6D02"/>
    <w:rsid w:val="0C236700"/>
    <w:rsid w:val="0C272EF4"/>
    <w:rsid w:val="0C450913"/>
    <w:rsid w:val="0CE85EBA"/>
    <w:rsid w:val="0CF167FE"/>
    <w:rsid w:val="0CF307C8"/>
    <w:rsid w:val="0D533015"/>
    <w:rsid w:val="0D701E19"/>
    <w:rsid w:val="0D894C89"/>
    <w:rsid w:val="0DC61A39"/>
    <w:rsid w:val="0DD759F4"/>
    <w:rsid w:val="0E063D24"/>
    <w:rsid w:val="0E15651D"/>
    <w:rsid w:val="0E3E7CBD"/>
    <w:rsid w:val="0EB14497"/>
    <w:rsid w:val="0EC03DD0"/>
    <w:rsid w:val="0EE83C0B"/>
    <w:rsid w:val="0F130CAE"/>
    <w:rsid w:val="0F306297"/>
    <w:rsid w:val="0FE42AE8"/>
    <w:rsid w:val="0FF95996"/>
    <w:rsid w:val="0FFF7484"/>
    <w:rsid w:val="10832DEB"/>
    <w:rsid w:val="11E54B27"/>
    <w:rsid w:val="11F10D0E"/>
    <w:rsid w:val="12372F05"/>
    <w:rsid w:val="123F1DBA"/>
    <w:rsid w:val="12623EFE"/>
    <w:rsid w:val="126D4444"/>
    <w:rsid w:val="132C233E"/>
    <w:rsid w:val="13504EE3"/>
    <w:rsid w:val="135E4018"/>
    <w:rsid w:val="13824654"/>
    <w:rsid w:val="13D1738A"/>
    <w:rsid w:val="13D318D3"/>
    <w:rsid w:val="14184102"/>
    <w:rsid w:val="143516C6"/>
    <w:rsid w:val="146A4EE4"/>
    <w:rsid w:val="147A2410"/>
    <w:rsid w:val="148B3D51"/>
    <w:rsid w:val="14A625C4"/>
    <w:rsid w:val="14B05372"/>
    <w:rsid w:val="14D64C58"/>
    <w:rsid w:val="156F62EF"/>
    <w:rsid w:val="159E5049"/>
    <w:rsid w:val="15BB5765"/>
    <w:rsid w:val="15C27640"/>
    <w:rsid w:val="15D373E9"/>
    <w:rsid w:val="15FC3460"/>
    <w:rsid w:val="16534914"/>
    <w:rsid w:val="16652BDF"/>
    <w:rsid w:val="16655340"/>
    <w:rsid w:val="16882EF5"/>
    <w:rsid w:val="16BC673F"/>
    <w:rsid w:val="16E6314C"/>
    <w:rsid w:val="16FD3ABE"/>
    <w:rsid w:val="16FF3AA5"/>
    <w:rsid w:val="172F0E42"/>
    <w:rsid w:val="17942BA8"/>
    <w:rsid w:val="17CE60BA"/>
    <w:rsid w:val="196A0814"/>
    <w:rsid w:val="1A420699"/>
    <w:rsid w:val="1AC217DA"/>
    <w:rsid w:val="1AE17EB2"/>
    <w:rsid w:val="1B1E2EB4"/>
    <w:rsid w:val="1B4346C9"/>
    <w:rsid w:val="1B4E29D7"/>
    <w:rsid w:val="1B526017"/>
    <w:rsid w:val="1BD4716C"/>
    <w:rsid w:val="1BFF6021"/>
    <w:rsid w:val="1C587110"/>
    <w:rsid w:val="1C755A82"/>
    <w:rsid w:val="1CC05665"/>
    <w:rsid w:val="1CED6FE2"/>
    <w:rsid w:val="1D2A5785"/>
    <w:rsid w:val="1D7F2147"/>
    <w:rsid w:val="1D941A61"/>
    <w:rsid w:val="1D996CC8"/>
    <w:rsid w:val="1DA01659"/>
    <w:rsid w:val="1DD12460"/>
    <w:rsid w:val="1E6454A8"/>
    <w:rsid w:val="1E696FED"/>
    <w:rsid w:val="1EF83A1C"/>
    <w:rsid w:val="1F114ADE"/>
    <w:rsid w:val="1F6966C8"/>
    <w:rsid w:val="1FCD677B"/>
    <w:rsid w:val="1FCF1E87"/>
    <w:rsid w:val="20133F01"/>
    <w:rsid w:val="208E4164"/>
    <w:rsid w:val="212C3E51"/>
    <w:rsid w:val="215B0293"/>
    <w:rsid w:val="2188552B"/>
    <w:rsid w:val="21A07893"/>
    <w:rsid w:val="226001BA"/>
    <w:rsid w:val="22673393"/>
    <w:rsid w:val="22EE13BE"/>
    <w:rsid w:val="234B6811"/>
    <w:rsid w:val="23554AEF"/>
    <w:rsid w:val="23645F64"/>
    <w:rsid w:val="23D24BDB"/>
    <w:rsid w:val="23F5677C"/>
    <w:rsid w:val="23FB5E39"/>
    <w:rsid w:val="241A61E3"/>
    <w:rsid w:val="244A2A1D"/>
    <w:rsid w:val="2488340F"/>
    <w:rsid w:val="24C806D7"/>
    <w:rsid w:val="24F84776"/>
    <w:rsid w:val="251F3917"/>
    <w:rsid w:val="2564491D"/>
    <w:rsid w:val="25893620"/>
    <w:rsid w:val="25B83A87"/>
    <w:rsid w:val="260E1D77"/>
    <w:rsid w:val="266463E7"/>
    <w:rsid w:val="26E72CF4"/>
    <w:rsid w:val="26E9311B"/>
    <w:rsid w:val="26F31699"/>
    <w:rsid w:val="27C93253"/>
    <w:rsid w:val="28032F0B"/>
    <w:rsid w:val="28706D19"/>
    <w:rsid w:val="290B2C18"/>
    <w:rsid w:val="29413AEE"/>
    <w:rsid w:val="296868E7"/>
    <w:rsid w:val="29A44ECD"/>
    <w:rsid w:val="29F800B9"/>
    <w:rsid w:val="2A1C7CF7"/>
    <w:rsid w:val="2A3D0E7D"/>
    <w:rsid w:val="2A4842BE"/>
    <w:rsid w:val="2A924A38"/>
    <w:rsid w:val="2AB13D32"/>
    <w:rsid w:val="2AC05D36"/>
    <w:rsid w:val="2AE32E31"/>
    <w:rsid w:val="2B0F6376"/>
    <w:rsid w:val="2BDD46C6"/>
    <w:rsid w:val="2C255C52"/>
    <w:rsid w:val="2C7A0167"/>
    <w:rsid w:val="2CD208B5"/>
    <w:rsid w:val="2D1E59F5"/>
    <w:rsid w:val="2D4824EE"/>
    <w:rsid w:val="2DFC54A4"/>
    <w:rsid w:val="2E48683F"/>
    <w:rsid w:val="2E584CD9"/>
    <w:rsid w:val="2E6C7ED8"/>
    <w:rsid w:val="2E8C4181"/>
    <w:rsid w:val="2E8D537C"/>
    <w:rsid w:val="2EA57FA1"/>
    <w:rsid w:val="2EC92CDF"/>
    <w:rsid w:val="2ED342D1"/>
    <w:rsid w:val="2EF243BC"/>
    <w:rsid w:val="2F7178DE"/>
    <w:rsid w:val="2FB87F35"/>
    <w:rsid w:val="2FF52F52"/>
    <w:rsid w:val="30161F54"/>
    <w:rsid w:val="305B3E0B"/>
    <w:rsid w:val="30EF0857"/>
    <w:rsid w:val="31227AD3"/>
    <w:rsid w:val="31313EB9"/>
    <w:rsid w:val="3140197F"/>
    <w:rsid w:val="316E7B6E"/>
    <w:rsid w:val="318D2D70"/>
    <w:rsid w:val="31E05F1C"/>
    <w:rsid w:val="320C16C0"/>
    <w:rsid w:val="32672625"/>
    <w:rsid w:val="32831B16"/>
    <w:rsid w:val="329B61C3"/>
    <w:rsid w:val="32F6583E"/>
    <w:rsid w:val="333A48FA"/>
    <w:rsid w:val="334A1323"/>
    <w:rsid w:val="338B608A"/>
    <w:rsid w:val="338C4E79"/>
    <w:rsid w:val="33D862C4"/>
    <w:rsid w:val="33D92F7A"/>
    <w:rsid w:val="33F64577"/>
    <w:rsid w:val="340824FC"/>
    <w:rsid w:val="34605E94"/>
    <w:rsid w:val="34724980"/>
    <w:rsid w:val="34796F56"/>
    <w:rsid w:val="34B2130C"/>
    <w:rsid w:val="34B86087"/>
    <w:rsid w:val="350E12EA"/>
    <w:rsid w:val="354173ED"/>
    <w:rsid w:val="35992C99"/>
    <w:rsid w:val="35C44201"/>
    <w:rsid w:val="35E13004"/>
    <w:rsid w:val="360F3354"/>
    <w:rsid w:val="36486409"/>
    <w:rsid w:val="367C4ADB"/>
    <w:rsid w:val="3685264F"/>
    <w:rsid w:val="37533A8E"/>
    <w:rsid w:val="37BD0585"/>
    <w:rsid w:val="37CA6352"/>
    <w:rsid w:val="38533A18"/>
    <w:rsid w:val="38B814EC"/>
    <w:rsid w:val="38C74734"/>
    <w:rsid w:val="3950627E"/>
    <w:rsid w:val="395D6E46"/>
    <w:rsid w:val="396226AE"/>
    <w:rsid w:val="3A1149CC"/>
    <w:rsid w:val="3AB900AC"/>
    <w:rsid w:val="3B223EA3"/>
    <w:rsid w:val="3B4C0F20"/>
    <w:rsid w:val="3B8B7C9A"/>
    <w:rsid w:val="3BAF7174"/>
    <w:rsid w:val="3CB8706B"/>
    <w:rsid w:val="3CF52D1A"/>
    <w:rsid w:val="3D16230C"/>
    <w:rsid w:val="3D660BE0"/>
    <w:rsid w:val="3DBA03C3"/>
    <w:rsid w:val="3DCB60EE"/>
    <w:rsid w:val="3E3A2B95"/>
    <w:rsid w:val="3EB07A18"/>
    <w:rsid w:val="3EB41E07"/>
    <w:rsid w:val="3ED74FA5"/>
    <w:rsid w:val="3F1271D0"/>
    <w:rsid w:val="407C4056"/>
    <w:rsid w:val="40A430BB"/>
    <w:rsid w:val="410858E9"/>
    <w:rsid w:val="41314E40"/>
    <w:rsid w:val="41354204"/>
    <w:rsid w:val="41F66AB4"/>
    <w:rsid w:val="420936C7"/>
    <w:rsid w:val="426D6756"/>
    <w:rsid w:val="43016A94"/>
    <w:rsid w:val="432E04F5"/>
    <w:rsid w:val="43A721F6"/>
    <w:rsid w:val="43C206CC"/>
    <w:rsid w:val="43D372D6"/>
    <w:rsid w:val="440529C7"/>
    <w:rsid w:val="445048FA"/>
    <w:rsid w:val="44A26055"/>
    <w:rsid w:val="44B74AB0"/>
    <w:rsid w:val="44C27AD5"/>
    <w:rsid w:val="44FA379B"/>
    <w:rsid w:val="44FB7243"/>
    <w:rsid w:val="45300AE7"/>
    <w:rsid w:val="455C26A8"/>
    <w:rsid w:val="463F4C16"/>
    <w:rsid w:val="46492C2C"/>
    <w:rsid w:val="46832AB5"/>
    <w:rsid w:val="46942B8F"/>
    <w:rsid w:val="46A20D0C"/>
    <w:rsid w:val="46B1432D"/>
    <w:rsid w:val="47717886"/>
    <w:rsid w:val="480A0199"/>
    <w:rsid w:val="48435459"/>
    <w:rsid w:val="49033089"/>
    <w:rsid w:val="497C0C22"/>
    <w:rsid w:val="498A3D49"/>
    <w:rsid w:val="49D62A28"/>
    <w:rsid w:val="49D722FD"/>
    <w:rsid w:val="4A122688"/>
    <w:rsid w:val="4A3A46FC"/>
    <w:rsid w:val="4ACA3C0F"/>
    <w:rsid w:val="4AE4014A"/>
    <w:rsid w:val="4B515E20"/>
    <w:rsid w:val="4B58746D"/>
    <w:rsid w:val="4B743FB4"/>
    <w:rsid w:val="4B7B2DFC"/>
    <w:rsid w:val="4BBB7B8C"/>
    <w:rsid w:val="4C602A7D"/>
    <w:rsid w:val="4C806C7C"/>
    <w:rsid w:val="4C9425BB"/>
    <w:rsid w:val="4CB97E79"/>
    <w:rsid w:val="4CBA2C7D"/>
    <w:rsid w:val="4D2770F7"/>
    <w:rsid w:val="4D2B3DA6"/>
    <w:rsid w:val="4D422183"/>
    <w:rsid w:val="4DC94652"/>
    <w:rsid w:val="4E0C4B21"/>
    <w:rsid w:val="4E467A51"/>
    <w:rsid w:val="4E5C03B2"/>
    <w:rsid w:val="4E9E163B"/>
    <w:rsid w:val="4EC15329"/>
    <w:rsid w:val="4F0B7A65"/>
    <w:rsid w:val="4F2935FA"/>
    <w:rsid w:val="4F8922EB"/>
    <w:rsid w:val="4FA36E2B"/>
    <w:rsid w:val="50A56CB1"/>
    <w:rsid w:val="50CD1D3A"/>
    <w:rsid w:val="50D92DFE"/>
    <w:rsid w:val="50DF62FA"/>
    <w:rsid w:val="51943136"/>
    <w:rsid w:val="51C92E73"/>
    <w:rsid w:val="51E101BC"/>
    <w:rsid w:val="522B768A"/>
    <w:rsid w:val="527C6C82"/>
    <w:rsid w:val="528079D5"/>
    <w:rsid w:val="538452A3"/>
    <w:rsid w:val="54CE266B"/>
    <w:rsid w:val="554A067A"/>
    <w:rsid w:val="55B55BE8"/>
    <w:rsid w:val="55EE2EA8"/>
    <w:rsid w:val="56090B56"/>
    <w:rsid w:val="562B2D19"/>
    <w:rsid w:val="565B336A"/>
    <w:rsid w:val="566F2249"/>
    <w:rsid w:val="56C72EAD"/>
    <w:rsid w:val="571C70F4"/>
    <w:rsid w:val="572F3BCF"/>
    <w:rsid w:val="57716714"/>
    <w:rsid w:val="578C1E3F"/>
    <w:rsid w:val="57FD3876"/>
    <w:rsid w:val="57FD40DE"/>
    <w:rsid w:val="58122B18"/>
    <w:rsid w:val="582157B7"/>
    <w:rsid w:val="583737A8"/>
    <w:rsid w:val="584A5D0C"/>
    <w:rsid w:val="586A64C1"/>
    <w:rsid w:val="591A29EC"/>
    <w:rsid w:val="591C7D2C"/>
    <w:rsid w:val="59791FCF"/>
    <w:rsid w:val="59C70462"/>
    <w:rsid w:val="59F45FB0"/>
    <w:rsid w:val="5A246C8E"/>
    <w:rsid w:val="5A65117C"/>
    <w:rsid w:val="5A715E56"/>
    <w:rsid w:val="5AB67D0C"/>
    <w:rsid w:val="5B8550F6"/>
    <w:rsid w:val="5B942EAB"/>
    <w:rsid w:val="5BFB1656"/>
    <w:rsid w:val="5C805C3A"/>
    <w:rsid w:val="5C841E70"/>
    <w:rsid w:val="5CDF1725"/>
    <w:rsid w:val="5CE172C2"/>
    <w:rsid w:val="5CED210B"/>
    <w:rsid w:val="5D036E6E"/>
    <w:rsid w:val="5D1818CA"/>
    <w:rsid w:val="5D186A5C"/>
    <w:rsid w:val="5D415FB3"/>
    <w:rsid w:val="5DD33159"/>
    <w:rsid w:val="5E401EE1"/>
    <w:rsid w:val="5E862024"/>
    <w:rsid w:val="5F265461"/>
    <w:rsid w:val="5F9A60AB"/>
    <w:rsid w:val="5FA840ED"/>
    <w:rsid w:val="5FAB4C02"/>
    <w:rsid w:val="5FE54AEF"/>
    <w:rsid w:val="5FE6029A"/>
    <w:rsid w:val="5FE62E42"/>
    <w:rsid w:val="5FF150C3"/>
    <w:rsid w:val="604F0C94"/>
    <w:rsid w:val="60811390"/>
    <w:rsid w:val="60E905BC"/>
    <w:rsid w:val="611C486A"/>
    <w:rsid w:val="612C3317"/>
    <w:rsid w:val="613320B7"/>
    <w:rsid w:val="61D92C5E"/>
    <w:rsid w:val="626A7D5A"/>
    <w:rsid w:val="62F15D85"/>
    <w:rsid w:val="63901A42"/>
    <w:rsid w:val="639037F0"/>
    <w:rsid w:val="63BC45E5"/>
    <w:rsid w:val="63CB6D8C"/>
    <w:rsid w:val="63D062E3"/>
    <w:rsid w:val="64754794"/>
    <w:rsid w:val="647924D6"/>
    <w:rsid w:val="648F1CFA"/>
    <w:rsid w:val="64B4350F"/>
    <w:rsid w:val="64C17C5F"/>
    <w:rsid w:val="64E32222"/>
    <w:rsid w:val="658B5A63"/>
    <w:rsid w:val="660C0310"/>
    <w:rsid w:val="66F81DD8"/>
    <w:rsid w:val="674A54CB"/>
    <w:rsid w:val="67503E05"/>
    <w:rsid w:val="675A15D5"/>
    <w:rsid w:val="679B09B6"/>
    <w:rsid w:val="67B633EB"/>
    <w:rsid w:val="68740EAF"/>
    <w:rsid w:val="68AA1941"/>
    <w:rsid w:val="68EB6B91"/>
    <w:rsid w:val="691A37DC"/>
    <w:rsid w:val="695F7E2D"/>
    <w:rsid w:val="69C51D1A"/>
    <w:rsid w:val="69DF0ECC"/>
    <w:rsid w:val="6A443604"/>
    <w:rsid w:val="6ACC2E0B"/>
    <w:rsid w:val="6ADF0295"/>
    <w:rsid w:val="6B3B245C"/>
    <w:rsid w:val="6B6B37C9"/>
    <w:rsid w:val="6B9B0F84"/>
    <w:rsid w:val="6B9F656F"/>
    <w:rsid w:val="6BA77929"/>
    <w:rsid w:val="6BCB3384"/>
    <w:rsid w:val="6CAB0B4B"/>
    <w:rsid w:val="6CF03552"/>
    <w:rsid w:val="6D1F7993"/>
    <w:rsid w:val="6DAF0580"/>
    <w:rsid w:val="6DD02520"/>
    <w:rsid w:val="6DE17F47"/>
    <w:rsid w:val="6E1128F7"/>
    <w:rsid w:val="6E6B7F83"/>
    <w:rsid w:val="6ED02582"/>
    <w:rsid w:val="6EE2110B"/>
    <w:rsid w:val="70090BB2"/>
    <w:rsid w:val="70411D13"/>
    <w:rsid w:val="70C1148D"/>
    <w:rsid w:val="70DF1A5B"/>
    <w:rsid w:val="711A294B"/>
    <w:rsid w:val="713C6D66"/>
    <w:rsid w:val="716562BC"/>
    <w:rsid w:val="718B602C"/>
    <w:rsid w:val="7222612A"/>
    <w:rsid w:val="722A439F"/>
    <w:rsid w:val="724335AB"/>
    <w:rsid w:val="727D45B0"/>
    <w:rsid w:val="727F5D14"/>
    <w:rsid w:val="72EE408F"/>
    <w:rsid w:val="730218E9"/>
    <w:rsid w:val="73571C35"/>
    <w:rsid w:val="74143D3D"/>
    <w:rsid w:val="74267540"/>
    <w:rsid w:val="74604500"/>
    <w:rsid w:val="74A90F89"/>
    <w:rsid w:val="750546EE"/>
    <w:rsid w:val="75427F45"/>
    <w:rsid w:val="754E350B"/>
    <w:rsid w:val="7571756C"/>
    <w:rsid w:val="75A1661C"/>
    <w:rsid w:val="75CE5F39"/>
    <w:rsid w:val="75F75951"/>
    <w:rsid w:val="76102BC1"/>
    <w:rsid w:val="766F3739"/>
    <w:rsid w:val="768D73E4"/>
    <w:rsid w:val="773A3D47"/>
    <w:rsid w:val="778B45A3"/>
    <w:rsid w:val="77AC443F"/>
    <w:rsid w:val="77AD62C7"/>
    <w:rsid w:val="78482494"/>
    <w:rsid w:val="786749F3"/>
    <w:rsid w:val="78C35701"/>
    <w:rsid w:val="78D02F76"/>
    <w:rsid w:val="78F607B2"/>
    <w:rsid w:val="795C61F7"/>
    <w:rsid w:val="79A15AC2"/>
    <w:rsid w:val="7A2F56B9"/>
    <w:rsid w:val="7A831F22"/>
    <w:rsid w:val="7B2E771F"/>
    <w:rsid w:val="7B4F3823"/>
    <w:rsid w:val="7B890DF9"/>
    <w:rsid w:val="7BC65611"/>
    <w:rsid w:val="7BD76009"/>
    <w:rsid w:val="7C2C76E7"/>
    <w:rsid w:val="7C6B5FBF"/>
    <w:rsid w:val="7CDC31AB"/>
    <w:rsid w:val="7DAB214F"/>
    <w:rsid w:val="7DC72F71"/>
    <w:rsid w:val="7DCA74A7"/>
    <w:rsid w:val="7E357BE9"/>
    <w:rsid w:val="7E521976"/>
    <w:rsid w:val="7E9B156F"/>
    <w:rsid w:val="7EDC1B88"/>
    <w:rsid w:val="7F5009DE"/>
    <w:rsid w:val="7F590A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4">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pPr>
      <w:snapToGrid w:val="0"/>
    </w:pPr>
    <w:rPr>
      <w:rFonts w:ascii="Arial" w:hAnsi="Arial"/>
    </w:rPr>
  </w:style>
  <w:style w:type="paragraph" w:styleId="9">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rPr>
  </w:style>
  <w:style w:type="paragraph" w:styleId="15">
    <w:name w:val="Body Text First Indent"/>
    <w:basedOn w:val="6"/>
    <w:next w:val="16"/>
    <w:qFormat/>
    <w:uiPriority w:val="0"/>
    <w:pPr>
      <w:ind w:firstLine="420" w:firstLineChars="100"/>
    </w:pPr>
  </w:style>
  <w:style w:type="paragraph" w:styleId="16">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paragraph" w:customStyle="1" w:styleId="22">
    <w:name w:val="style4"/>
    <w:basedOn w:val="1"/>
    <w:next w:val="23"/>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4">
    <w:name w:val="Default"/>
    <w:next w:val="25"/>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5">
    <w:name w:val="Char Char10 Char Char Char Char"/>
    <w:next w:val="26"/>
    <w:qFormat/>
    <w:uiPriority w:val="0"/>
    <w:pPr>
      <w:widowControl w:val="0"/>
      <w:jc w:val="both"/>
    </w:pPr>
    <w:rPr>
      <w:rFonts w:ascii="Calibri" w:hAnsi="Calibri" w:eastAsia="宋体" w:cs="Times New Roman"/>
      <w:kern w:val="0"/>
      <w:sz w:val="21"/>
      <w:szCs w:val="24"/>
      <w:lang w:val="en-US" w:eastAsia="zh-CN" w:bidi="ar-SA"/>
    </w:rPr>
  </w:style>
  <w:style w:type="paragraph" w:customStyle="1" w:styleId="26">
    <w:name w:val="xl87"/>
    <w:next w:val="27"/>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7">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Arial" w:hAnsi="Arial" w:eastAsia="Arial" w:cs="Arial"/>
      <w:sz w:val="21"/>
      <w:szCs w:val="21"/>
      <w:lang w:val="en-US" w:eastAsia="en-US" w:bidi="ar-SA"/>
    </w:rPr>
  </w:style>
  <w:style w:type="paragraph" w:customStyle="1" w:styleId="31">
    <w:name w:val="Table Paragraph"/>
    <w:basedOn w:val="1"/>
    <w:autoRedefine/>
    <w:qFormat/>
    <w:uiPriority w:val="1"/>
    <w:rPr>
      <w:rFonts w:ascii="宋体" w:hAnsi="宋体" w:eastAsia="宋体" w:cs="宋体"/>
      <w:lang w:val="en-US" w:eastAsia="zh-CN" w:bidi="ar-SA"/>
    </w:rPr>
  </w:style>
  <w:style w:type="paragraph" w:customStyle="1" w:styleId="32">
    <w:name w:val="无间隔1"/>
    <w:basedOn w:val="1"/>
    <w:autoRedefine/>
    <w:qFormat/>
    <w:uiPriority w:val="99"/>
    <w:pPr>
      <w:spacing w:line="400" w:lineRule="exact"/>
    </w:pPr>
  </w:style>
  <w:style w:type="paragraph" w:styleId="33">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4">
    <w:name w:val="列出段落1"/>
    <w:basedOn w:val="1"/>
    <w:unhideWhenUsed/>
    <w:qFormat/>
    <w:uiPriority w:val="99"/>
    <w:pPr>
      <w:ind w:firstLine="420" w:firstLineChars="200"/>
    </w:p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8">
    <w:name w:val="toolbarlabel2"/>
    <w:basedOn w:val="19"/>
    <w:qFormat/>
    <w:uiPriority w:val="0"/>
  </w:style>
  <w:style w:type="character" w:customStyle="1" w:styleId="39">
    <w:name w:val="toolbarlabel"/>
    <w:basedOn w:val="19"/>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7717</Words>
  <Characters>8349</Characters>
  <TotalTime>156</TotalTime>
  <ScaleCrop>false</ScaleCrop>
  <LinksUpToDate>false</LinksUpToDate>
  <CharactersWithSpaces>8655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女王</cp:lastModifiedBy>
  <cp:lastPrinted>2026-03-19T01:55:00Z</cp:lastPrinted>
  <dcterms:modified xsi:type="dcterms:W3CDTF">2026-03-27T09:25:44Z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2052-12.1.0.25225</vt:lpwstr>
  </property>
  <property fmtid="{D5CDD505-2E9C-101B-9397-08002B2CF9AE}" pid="5" name="ICV">
    <vt:lpwstr>6A5BC980787B4A94A917CBAF821FB823_13</vt:lpwstr>
  </property>
  <property fmtid="{D5CDD505-2E9C-101B-9397-08002B2CF9AE}" pid="6" name="KSOTemplateDocerSaveRecord">
    <vt:lpwstr>eyJoZGlkIjoiZjdhNWEyYWQ0MTdkNjQ0YjlhMjRiZjcxM2Q2Y2QxOGEiLCJ1c2VySWQiOiIxMjA3MzQ3MjY1In0=</vt:lpwstr>
  </property>
</Properties>
</file>