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8276CF">
      <w:pPr>
        <w:pStyle w:val="2"/>
        <w:numPr>
          <w:ilvl w:val="0"/>
          <w:numId w:val="0"/>
        </w:numPr>
        <w:jc w:val="center"/>
        <w:rPr>
          <w:rFonts w:hint="eastAsia" w:ascii="宋体" w:hAnsi="宋体" w:eastAsia="宋体" w:cs="宋体"/>
          <w:b/>
          <w:color w:val="000000" w:themeColor="text1"/>
          <w:kern w:val="2"/>
          <w:sz w:val="36"/>
          <w:szCs w:val="36"/>
          <w:lang w:val="en-US" w:eastAsia="zh-CN" w:bidi="ar-SA"/>
          <w14:textFill>
            <w14:solidFill>
              <w14:schemeClr w14:val="tx1"/>
            </w14:solidFill>
          </w14:textFill>
        </w:rPr>
      </w:pPr>
      <w:r>
        <w:rPr>
          <w:rFonts w:hint="eastAsia" w:ascii="宋体" w:hAnsi="宋体" w:eastAsia="宋体" w:cs="宋体"/>
          <w:b/>
          <w:color w:val="000000" w:themeColor="text1"/>
          <w:kern w:val="2"/>
          <w:sz w:val="36"/>
          <w:szCs w:val="36"/>
          <w:lang w:val="en-US" w:eastAsia="zh-CN" w:bidi="ar-SA"/>
          <w14:textFill>
            <w14:solidFill>
              <w14:schemeClr w14:val="tx1"/>
            </w14:solidFill>
          </w14:textFill>
        </w:rPr>
        <w:t>采购需求及技术要求</w:t>
      </w:r>
    </w:p>
    <w:p w14:paraId="60F5C245">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jc w:val="left"/>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b/>
          <w:bCs/>
          <w:snapToGrid w:val="0"/>
          <w:color w:val="000000"/>
          <w:spacing w:val="7"/>
          <w:kern w:val="0"/>
          <w:sz w:val="21"/>
          <w:szCs w:val="21"/>
          <w:lang w:eastAsia="en-US"/>
        </w:rPr>
        <w:t>一、</w:t>
      </w:r>
      <w:r>
        <w:rPr>
          <w:rFonts w:hint="eastAsia" w:ascii="宋体" w:hAnsi="宋体" w:eastAsia="宋体" w:cs="宋体"/>
          <w:b/>
          <w:bCs/>
          <w:snapToGrid w:val="0"/>
          <w:color w:val="000000"/>
          <w:spacing w:val="6"/>
          <w:kern w:val="0"/>
          <w:sz w:val="21"/>
          <w:szCs w:val="21"/>
          <w:lang w:eastAsia="en-US"/>
        </w:rPr>
        <w:t>技术</w:t>
      </w:r>
      <w:r>
        <w:rPr>
          <w:rFonts w:hint="eastAsia" w:ascii="宋体" w:hAnsi="宋体" w:cs="宋体"/>
          <w:b/>
          <w:bCs/>
          <w:snapToGrid w:val="0"/>
          <w:color w:val="000000"/>
          <w:spacing w:val="6"/>
          <w:kern w:val="0"/>
          <w:sz w:val="21"/>
          <w:szCs w:val="21"/>
          <w:lang w:val="en-US" w:eastAsia="zh-CN"/>
        </w:rPr>
        <w:t>参数</w:t>
      </w:r>
      <w:r>
        <w:rPr>
          <w:rFonts w:hint="eastAsia" w:ascii="宋体" w:hAnsi="宋体" w:eastAsia="宋体" w:cs="宋体"/>
          <w:b/>
          <w:bCs/>
          <w:snapToGrid w:val="0"/>
          <w:color w:val="000000"/>
          <w:spacing w:val="6"/>
          <w:kern w:val="0"/>
          <w:sz w:val="21"/>
          <w:szCs w:val="21"/>
          <w:lang w:eastAsia="en-US"/>
        </w:rPr>
        <w:t>要求：</w:t>
      </w:r>
    </w:p>
    <w:p w14:paraId="349334B2">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（一）主要功能要求</w:t>
      </w:r>
    </w:p>
    <w:p w14:paraId="21364180">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本项目配备核心交换机2套</w:t>
      </w:r>
    </w:p>
    <w:p w14:paraId="4A212201">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★1.国产化芯片交换机；正交CLOS架构，支持≥2个主控槽位，≥6个独立交换网板，≥8个业务槽位；（提供第三方检测报告或原厂/厂商参数截图或公开发布的产品彩页）</w:t>
      </w:r>
    </w:p>
    <w:p w14:paraId="30D63A11">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2.交换容量≥1800Tbps，包转发率</w:t>
      </w:r>
      <w:bookmarkStart w:id="0" w:name="_GoBack"/>
      <w:bookmarkEnd w:id="0"/>
      <w:r>
        <w:rPr>
          <w:rFonts w:hint="eastAsia" w:ascii="宋体" w:hAnsi="宋体" w:eastAsia="宋体" w:cs="宋体"/>
          <w:color w:val="auto"/>
          <w:szCs w:val="21"/>
          <w:highlight w:val="none"/>
          <w:lang w:val="en-US" w:eastAsia="zh-CN"/>
        </w:rPr>
        <w:t>≥460000Mpps；</w:t>
      </w:r>
    </w:p>
    <w:p w14:paraId="5B6CE8AF">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3.支持主控、网板、风扇框、电源、电源总开关等关键器件冗余设计；</w:t>
      </w:r>
    </w:p>
    <w:p w14:paraId="67078286">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4.支持故障检测、双向链路切换，双向链路恢复无丢包；（提供第三方检测报告或原厂/厂商参数截图或公开发布的产品彩页）</w:t>
      </w:r>
    </w:p>
    <w:p w14:paraId="36CB0B39">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5.支持4K VLAN数量，支持PrivateVlan/MUX VLAN</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支持SuperVlan，支持QinQ，支持VLAN Mapping；</w:t>
      </w:r>
    </w:p>
    <w:p w14:paraId="3C4C0C59">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6.支持IPv4/IPv6静态路由，支持路由协议加密，包括RIP V1/V2、OSFPv2、ISISv4、BGP、RIPng、OSPFv3、ISISv6、BGP4+，支持ICMPv6转发；</w:t>
      </w:r>
    </w:p>
    <w:p w14:paraId="148508E9">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7.支持Telemetry可视化功能，支持sFlow流量统计分析功能；</w:t>
      </w:r>
    </w:p>
    <w:p w14:paraId="5C126B89">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8.支持流量无损功能；（提供第三方检测报告或原厂/厂商参数截图或公开发布的产品彩页）</w:t>
      </w:r>
    </w:p>
    <w:p w14:paraId="3D319100">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9.配置2个主控，配置4个交换网板，配置≥16个100G以太网光接口，≥48个千兆以太网电接口，≥48个万兆以太网光接口；配置堆叠线缆；各接口满配光模块（根据实际需求调整单模、多模配比）；满配风扇、电源；</w:t>
      </w:r>
    </w:p>
    <w:p w14:paraId="105D1407">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（二）汇聚交换设备要求</w:t>
      </w:r>
    </w:p>
    <w:p w14:paraId="5E4005F1">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本项目共配置汇聚交换设备，配合业务核心交换网络用</w:t>
      </w:r>
    </w:p>
    <w:p w14:paraId="60A4DBAB">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★1.本项目共配置汇聚交换设备6套，国产化芯片交换机；</w:t>
      </w:r>
    </w:p>
    <w:p w14:paraId="723CD03C">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2.单台设备交换容量≥4.8Tbps，包转发率≥2000Mpps；</w:t>
      </w:r>
    </w:p>
    <w:p w14:paraId="6ACF7738">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3.单台设备提供≥48个1G/10G SFP端口，≥8个40G/100G QSFP28端口；</w:t>
      </w:r>
    </w:p>
    <w:p w14:paraId="0360E226">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4.支持M-LAG跨设备链路聚合技术；支持VxLAN；</w:t>
      </w:r>
    </w:p>
    <w:p w14:paraId="1BE56AAF">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5.支持全端口MACsec；</w:t>
      </w:r>
    </w:p>
    <w:p w14:paraId="1EA6E80B">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6.单台设备配置≥2个电源模块，配置足量风扇模块，配置≥48个万兆多模光模块，配置≥7个100G多模光模块，配置40G堆叠线；</w:t>
      </w:r>
    </w:p>
    <w:p w14:paraId="5285D495">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（三）服务要求</w:t>
      </w:r>
    </w:p>
    <w:p w14:paraId="046D8F8E">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1.医院现有交换机板卡扩容，配置≥16个100G以太网光接口，满配光模块；配置堆叠光缆；</w:t>
      </w:r>
    </w:p>
    <w:p w14:paraId="4C056CBF">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2.提供本次项目实施中所有光纤跳线、网线、电源线等线材；完成硬件设备的上架、系统配置调试、网络割接等工作。</w:t>
      </w:r>
    </w:p>
    <w:p w14:paraId="78B2006B">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注：1、上表中★条款不允许负偏离，不作为评分内容。技术偏离表中的投标响应内容应当如实填写所投实际产品具体配置参数。2、供应商应当提供技术证明文件，证明文件可以是产品彩页或技术白皮书或产品说明书或检测报告或技术参数证明或软件相关功能截图和相关说明描述等作为参数支撑材料（技术要求中有特定要求的按其要求执行）。</w:t>
      </w:r>
    </w:p>
    <w:p w14:paraId="75228A51">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jc w:val="left"/>
        <w:textAlignment w:val="baseline"/>
        <w:rPr>
          <w:rFonts w:hint="eastAsia" w:ascii="宋体" w:hAnsi="宋体" w:cs="宋体"/>
          <w:b/>
          <w:bCs/>
          <w:snapToGrid w:val="0"/>
          <w:color w:val="000000"/>
          <w:spacing w:val="6"/>
          <w:kern w:val="0"/>
          <w:sz w:val="21"/>
          <w:szCs w:val="21"/>
          <w:lang w:val="en-US" w:eastAsia="zh-CN"/>
        </w:rPr>
      </w:pPr>
      <w:r>
        <w:rPr>
          <w:rFonts w:hint="eastAsia" w:ascii="宋体" w:hAnsi="宋体" w:cs="宋体"/>
          <w:b/>
          <w:bCs/>
          <w:snapToGrid w:val="0"/>
          <w:color w:val="000000"/>
          <w:spacing w:val="6"/>
          <w:kern w:val="0"/>
          <w:sz w:val="21"/>
          <w:szCs w:val="21"/>
          <w:lang w:val="en-US" w:eastAsia="zh-CN"/>
        </w:rPr>
        <w:t>二、商务要求（以下条款不允许负偏离）</w:t>
      </w:r>
    </w:p>
    <w:p w14:paraId="6314E1FE">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1、自合同签订之日起90个日历天内送达并安装调试完毕。</w:t>
      </w:r>
    </w:p>
    <w:p w14:paraId="59DBEFED">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2、验收合格之日起原厂质保5年（提供原厂售后服务承诺函）。</w:t>
      </w:r>
    </w:p>
    <w:p w14:paraId="20963667">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3、保证货物及时运到东风路院区及五龙口院区指定位置，保证产品的质量稳定，包装完好，解答用户在应用中遇到的实际问题。</w:t>
      </w:r>
    </w:p>
    <w:p w14:paraId="6B70F5A3">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4、质保期内</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供应商负责保养和维修本次所供的所有软硬件，对出现故障、损坏的软硬件提供无偿更换和维修服务，包括维修所需的零配件、人工费、交通费等所有维修费用和产品使用培训和调试费用。</w:t>
      </w:r>
    </w:p>
    <w:p w14:paraId="0928BF13">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5、采购人反映的软硬件系统故障，供应商承诺在接到采购人报修起，1小时到达现场，24小时解决问题；若不能解决，负责免费提供备用软硬件，以保证系统正常运行。</w:t>
      </w:r>
    </w:p>
    <w:p w14:paraId="664B71E0">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6、供应商在产品安装部署时根据招标文件要求和货物及服务技术状况提供机房内设备安装调试、远端运行管理调试所有必要材料，以满足现场实施需要为准。</w:t>
      </w:r>
    </w:p>
    <w:p w14:paraId="285977B6">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7、供应商需承诺提供原厂工程师上门安装、调试服务。</w:t>
      </w:r>
    </w:p>
    <w:p w14:paraId="387F76A9">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420" w:firstLineChars="200"/>
        <w:jc w:val="left"/>
        <w:textAlignment w:val="baseline"/>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8、供应商需承诺合同签订前向采购人提供由制造商出具的加盖制造商公章的技术参数真实性确认函。</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2312">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chineseCountingThousand"/>
      <w:pStyle w:val="2"/>
      <w:lvlText w:val="%1."/>
      <w:legacy w:legacy="1" w:legacySpace="113" w:legacyIndent="425"/>
      <w:lvlJc w:val="left"/>
      <w:pPr>
        <w:ind w:left="425" w:hanging="425"/>
      </w:pPr>
      <w:rPr>
        <w:rFonts w:cs="Times New Roman"/>
      </w:rPr>
    </w:lvl>
    <w:lvl w:ilvl="1" w:tentative="0">
      <w:start w:val="1"/>
      <w:numFmt w:val="decimal"/>
      <w:lvlText w:val="%2."/>
      <w:legacy w:legacy="1" w:legacySpace="0" w:legacyIndent="425"/>
      <w:lvlJc w:val="left"/>
      <w:pPr>
        <w:ind w:left="851" w:hanging="425"/>
      </w:pPr>
      <w:rPr>
        <w:rFonts w:cs="Times New Roman"/>
      </w:rPr>
    </w:lvl>
    <w:lvl w:ilvl="2" w:tentative="0">
      <w:start w:val="1"/>
      <w:numFmt w:val="none"/>
      <w:suff w:val="nothing"/>
      <w:lvlText w:val=""/>
      <w:lvlJc w:val="left"/>
      <w:pPr>
        <w:ind w:left="851" w:hanging="425"/>
      </w:pPr>
      <w:rPr>
        <w:rFonts w:cs="Times New Roman"/>
      </w:rPr>
    </w:lvl>
    <w:lvl w:ilvl="3" w:tentative="0">
      <w:start w:val="1"/>
      <w:numFmt w:val="lowerLetter"/>
      <w:lvlText w:val="%4)"/>
      <w:legacy w:legacy="1" w:legacySpace="0" w:legacyIndent="425"/>
      <w:lvlJc w:val="left"/>
      <w:pPr>
        <w:ind w:left="1700" w:hanging="425"/>
      </w:pPr>
      <w:rPr>
        <w:rFonts w:cs="Times New Roman"/>
      </w:rPr>
    </w:lvl>
    <w:lvl w:ilvl="4" w:tentative="0">
      <w:start w:val="1"/>
      <w:numFmt w:val="decimal"/>
      <w:lvlText w:val="(%5)"/>
      <w:legacy w:legacy="1" w:legacySpace="0" w:legacyIndent="425"/>
      <w:lvlJc w:val="left"/>
      <w:pPr>
        <w:ind w:left="2125" w:hanging="425"/>
      </w:pPr>
      <w:rPr>
        <w:rFonts w:cs="Times New Roman"/>
      </w:rPr>
    </w:lvl>
    <w:lvl w:ilvl="5" w:tentative="0">
      <w:start w:val="1"/>
      <w:numFmt w:val="lowerLetter"/>
      <w:lvlText w:val="(%6)"/>
      <w:legacy w:legacy="1" w:legacySpace="0" w:legacyIndent="425"/>
      <w:lvlJc w:val="left"/>
      <w:pPr>
        <w:ind w:left="2550" w:hanging="425"/>
      </w:pPr>
      <w:rPr>
        <w:rFonts w:cs="Times New Roman"/>
      </w:rPr>
    </w:lvl>
    <w:lvl w:ilvl="6" w:tentative="0">
      <w:start w:val="1"/>
      <w:numFmt w:val="lowerRoman"/>
      <w:lvlText w:val="(%7)"/>
      <w:legacy w:legacy="1" w:legacySpace="0" w:legacyIndent="425"/>
      <w:lvlJc w:val="left"/>
      <w:pPr>
        <w:ind w:left="2975" w:hanging="425"/>
      </w:pPr>
      <w:rPr>
        <w:rFonts w:cs="Times New Roman"/>
      </w:rPr>
    </w:lvl>
    <w:lvl w:ilvl="7" w:tentative="0">
      <w:start w:val="1"/>
      <w:numFmt w:val="lowerLetter"/>
      <w:lvlText w:val="(%8)"/>
      <w:legacy w:legacy="1" w:legacySpace="0" w:legacyIndent="425"/>
      <w:lvlJc w:val="left"/>
      <w:pPr>
        <w:ind w:left="3400" w:hanging="425"/>
      </w:pPr>
      <w:rPr>
        <w:rFonts w:cs="Times New Roman"/>
      </w:rPr>
    </w:lvl>
    <w:lvl w:ilvl="8" w:tentative="0">
      <w:start w:val="1"/>
      <w:numFmt w:val="lowerRoman"/>
      <w:lvlText w:val="(%9)"/>
      <w:legacy w:legacy="1" w:legacySpace="0" w:legacyIndent="425"/>
      <w:lvlJc w:val="left"/>
      <w:pPr>
        <w:ind w:left="3825" w:hanging="425"/>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270E0B"/>
    <w:rsid w:val="27270E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qFormat/>
    <w:uiPriority w:val="99"/>
    <w:pPr>
      <w:keepNext/>
      <w:keepLines/>
      <w:numPr>
        <w:ilvl w:val="0"/>
        <w:numId w:val="1"/>
      </w:numPr>
      <w:adjustRightInd w:val="0"/>
      <w:spacing w:before="160" w:after="160" w:line="160" w:lineRule="atLeast"/>
      <w:textAlignment w:val="baseline"/>
      <w:outlineLvl w:val="0"/>
    </w:pPr>
    <w:rPr>
      <w:rFonts w:ascii="黑体" w:eastAsia="黑体"/>
      <w:kern w:val="44"/>
      <w:sz w:val="32"/>
      <w:szCs w:val="20"/>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3">
    <w:name w:val="文档正文"/>
    <w:basedOn w:val="1"/>
    <w:autoRedefine/>
    <w:qFormat/>
    <w:uiPriority w:val="99"/>
    <w:pPr>
      <w:adjustRightInd w:val="0"/>
      <w:spacing w:line="480" w:lineRule="atLeast"/>
      <w:ind w:firstLine="567"/>
      <w:textAlignment w:val="baseline"/>
    </w:pPr>
    <w:rPr>
      <w:rFonts w:ascii="方正仿宋_GB2312" w:eastAsia="方正仿宋_GB2312"/>
      <w:kern w:val="0"/>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2026-07-02T01:48:00Z</dcterms:created>
  <dc:creator>张亚龙</dc:creator>
  <cp:lastModifiedBy>张亚龙</cp:lastModifiedBy>
  <dcterms:modified xsi:type="dcterms:W3CDTF">2026-07-02T01:48:44Z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73FF3004FAF84B7A8D6122A2AB1BE939_11</vt:lpwstr>
  </property>
  <property fmtid="{D5CDD505-2E9C-101B-9397-08002B2CF9AE}" pid="4" name="KSOTemplateDocerSaveRecord">
    <vt:lpwstr>eyJoZGlkIjoiODM0YzQzMGFjMjUzMGYwODMwZjhmZTEzMTA0N2U0NTciLCJ1c2VySWQiOiIxOTIxOTYxNDEifQ==</vt:lpwstr>
  </property>
</Properties>
</file>